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1BB52430" w:rsidR="00582F78" w:rsidRDefault="008B6A44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4</w:t>
      </w:r>
      <w:r w:rsidR="00B83969">
        <w:rPr>
          <w:b/>
          <w:spacing w:val="-2"/>
          <w:sz w:val="20"/>
        </w:rPr>
        <w:t>5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C3646B">
        <w:rPr>
          <w:b/>
          <w:spacing w:val="-4"/>
          <w:sz w:val="20"/>
        </w:rPr>
        <w:t>MED</w:t>
      </w:r>
      <w:r w:rsidR="002D2383">
        <w:rPr>
          <w:b/>
          <w:spacing w:val="-4"/>
          <w:sz w:val="20"/>
        </w:rPr>
        <w:t>/202</w:t>
      </w:r>
      <w:r w:rsidR="001D0C24"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515990D0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44647F">
        <w:rPr>
          <w:sz w:val="24"/>
        </w:rPr>
        <w:t>„</w:t>
      </w:r>
      <w:r w:rsidR="0044647F" w:rsidRPr="0044647F">
        <w:rPr>
          <w:i/>
          <w:iCs/>
          <w:sz w:val="24"/>
        </w:rPr>
        <w:t>Świadczenie usług zabezpieczenia medycznego podczas III Igrzysk Europejskich 2023 – miasta Oświęcim, Rzeszów, Wrocław i Aglomeracja Katowicka</w:t>
      </w:r>
      <w:r w:rsidR="0044647F">
        <w:rPr>
          <w:i/>
          <w:iCs/>
          <w:sz w:val="24"/>
        </w:rPr>
        <w:t>”</w:t>
      </w:r>
      <w:r w:rsidR="005C2828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024FE1F3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8B6A44">
        <w:rPr>
          <w:color w:val="222222"/>
          <w:sz w:val="24"/>
        </w:rPr>
        <w:t>„</w:t>
      </w:r>
      <w:r w:rsidR="008B6A44" w:rsidRPr="008B6A44">
        <w:rPr>
          <w:rFonts w:eastAsia="Times New Roman"/>
          <w:i/>
          <w:iCs/>
          <w:sz w:val="24"/>
          <w:szCs w:val="24"/>
          <w:lang w:eastAsia="pl-PL"/>
        </w:rPr>
        <w:t>Świadczenie usług zabezpieczenia medycznego podczas III Igrzysk Europejskich 2023 – miasta Oświęcim, Rzeszów, Wrocław i Aglomeracja Katowicka</w:t>
      </w:r>
      <w:r w:rsidR="008B6A44">
        <w:rPr>
          <w:rFonts w:eastAsia="Times New Roman"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1D0C24"/>
    <w:rsid w:val="002B27A6"/>
    <w:rsid w:val="002D2383"/>
    <w:rsid w:val="0044647F"/>
    <w:rsid w:val="004468DD"/>
    <w:rsid w:val="004F7885"/>
    <w:rsid w:val="00582F78"/>
    <w:rsid w:val="005C2828"/>
    <w:rsid w:val="00734027"/>
    <w:rsid w:val="008B6A44"/>
    <w:rsid w:val="0093366E"/>
    <w:rsid w:val="00B83969"/>
    <w:rsid w:val="00C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5</cp:revision>
  <dcterms:created xsi:type="dcterms:W3CDTF">2023-02-22T16:53:00Z</dcterms:created>
  <dcterms:modified xsi:type="dcterms:W3CDTF">2023-04-27T19:02:00Z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