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5E6D4D"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5E6D4D"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62B7DE8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21</w:t>
      </w:r>
      <w:r w:rsidRPr="00CF5FC0">
        <w:rPr>
          <w:bCs/>
          <w:sz w:val="28"/>
          <w:szCs w:val="28"/>
        </w:rPr>
        <w:t xml:space="preserve">r. poz. </w:t>
      </w:r>
      <w:r w:rsidR="00C667D5">
        <w:rPr>
          <w:bCs/>
          <w:sz w:val="28"/>
          <w:szCs w:val="28"/>
        </w:rPr>
        <w:t>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3E00A20" w:rsidR="00AC6630" w:rsidRDefault="00CF5FC0" w:rsidP="002D1B0C">
      <w:pPr>
        <w:jc w:val="center"/>
        <w:rPr>
          <w:b/>
          <w:bCs/>
          <w:sz w:val="28"/>
          <w:szCs w:val="28"/>
        </w:rPr>
      </w:pPr>
      <w:r>
        <w:rPr>
          <w:b/>
          <w:bCs/>
          <w:sz w:val="28"/>
          <w:szCs w:val="28"/>
        </w:rPr>
        <w:t>„</w:t>
      </w:r>
      <w:r w:rsidR="00C667D5">
        <w:rPr>
          <w:b/>
          <w:bCs/>
          <w:sz w:val="28"/>
          <w:szCs w:val="28"/>
        </w:rPr>
        <w:t xml:space="preserve">Zakup i dostawa </w:t>
      </w:r>
      <w:r w:rsidR="00F71A1E">
        <w:rPr>
          <w:b/>
          <w:bCs/>
          <w:sz w:val="28"/>
          <w:szCs w:val="28"/>
        </w:rPr>
        <w:t>dwóch wózków widłowych</w:t>
      </w:r>
      <w:r>
        <w:rPr>
          <w:b/>
          <w:bCs/>
          <w:sz w:val="28"/>
          <w:szCs w:val="28"/>
        </w:rPr>
        <w:t>”</w:t>
      </w:r>
    </w:p>
    <w:p w14:paraId="15000904" w14:textId="0D1647DF" w:rsidR="00CF5FC0" w:rsidRDefault="00616BA8" w:rsidP="002D1B0C">
      <w:pPr>
        <w:jc w:val="center"/>
        <w:rPr>
          <w:b/>
          <w:bCs/>
          <w:sz w:val="24"/>
          <w:szCs w:val="24"/>
        </w:rPr>
      </w:pPr>
      <w:r>
        <w:rPr>
          <w:b/>
          <w:bCs/>
          <w:sz w:val="24"/>
          <w:szCs w:val="24"/>
        </w:rPr>
        <w:t xml:space="preserve">znak postępowania: </w:t>
      </w:r>
      <w:r w:rsidR="008A2435">
        <w:rPr>
          <w:b/>
          <w:bCs/>
          <w:sz w:val="24"/>
          <w:szCs w:val="24"/>
        </w:rPr>
        <w:t>5</w:t>
      </w:r>
      <w:r w:rsidR="00CF5FC0" w:rsidRPr="00CF5FC0">
        <w:rPr>
          <w:b/>
          <w:bCs/>
          <w:sz w:val="24"/>
          <w:szCs w:val="24"/>
        </w:rPr>
        <w:t>/ZP/202</w:t>
      </w:r>
      <w:r w:rsidR="00F71A1E">
        <w:rPr>
          <w:b/>
          <w:bCs/>
          <w:sz w:val="24"/>
          <w:szCs w:val="24"/>
        </w:rPr>
        <w:t>2</w:t>
      </w:r>
    </w:p>
    <w:p w14:paraId="45FE0C05" w14:textId="77777777" w:rsidR="00CF5FC0" w:rsidRDefault="00CF5FC0" w:rsidP="002D1B0C">
      <w:pPr>
        <w:jc w:val="center"/>
        <w:rPr>
          <w:b/>
          <w:bCs/>
          <w:sz w:val="24"/>
          <w:szCs w:val="24"/>
        </w:rPr>
      </w:pPr>
    </w:p>
    <w:p w14:paraId="3E1FEDF0" w14:textId="73D0F1C1"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w:t>
      </w:r>
      <w:r w:rsidR="00F71A1E">
        <w:rPr>
          <w:b/>
          <w:bCs/>
          <w:sz w:val="24"/>
          <w:szCs w:val="24"/>
        </w:rPr>
        <w:t>5</w:t>
      </w:r>
      <w:r w:rsidR="00262BB0">
        <w:rPr>
          <w:b/>
          <w:bCs/>
          <w:sz w:val="24"/>
          <w:szCs w:val="24"/>
        </w:rPr>
        <w:t> 000 euro</w:t>
      </w:r>
    </w:p>
    <w:p w14:paraId="0985C775" w14:textId="31D770B3" w:rsidR="00262BB0" w:rsidRDefault="00262BB0" w:rsidP="00262BB0">
      <w:pP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088855AD" w:rsidR="00AC6630" w:rsidRPr="00E87002" w:rsidRDefault="00262BB0" w:rsidP="00AC6630">
      <w:pPr>
        <w:rPr>
          <w:bCs/>
        </w:rPr>
      </w:pPr>
      <w:r w:rsidRPr="00262BB0">
        <w:rPr>
          <w:bCs/>
        </w:rPr>
        <w:t xml:space="preserve">Bolesław, dn. </w:t>
      </w:r>
      <w:r w:rsidR="008A2435">
        <w:rPr>
          <w:bCs/>
        </w:rPr>
        <w:t>06</w:t>
      </w:r>
      <w:r w:rsidR="00616BA8">
        <w:rPr>
          <w:bCs/>
        </w:rPr>
        <w:t>.</w:t>
      </w:r>
      <w:r w:rsidR="00F71A1E">
        <w:rPr>
          <w:bCs/>
        </w:rPr>
        <w:t>0</w:t>
      </w:r>
      <w:r w:rsidR="008A2435">
        <w:rPr>
          <w:bCs/>
        </w:rPr>
        <w:t>4</w:t>
      </w:r>
      <w:r w:rsidR="00616BA8">
        <w:rPr>
          <w:bCs/>
        </w:rPr>
        <w:t>.202</w:t>
      </w:r>
      <w:r w:rsidR="00F71A1E">
        <w:rPr>
          <w:bCs/>
        </w:rPr>
        <w:t>2</w:t>
      </w:r>
      <w:r w:rsidR="00616BA8">
        <w:rPr>
          <w:bCs/>
        </w:rPr>
        <w:t>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5F70AADE"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B96FF1">
        <w:rPr>
          <w:rFonts w:asciiTheme="majorHAnsi" w:hAnsiTheme="majorHAnsi"/>
          <w:sz w:val="24"/>
          <w:szCs w:val="24"/>
        </w:rPr>
        <w:t>Łukasz Bazan</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68A1BAD7"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82464D">
        <w:rPr>
          <w:rFonts w:asciiTheme="majorHAnsi" w:hAnsiTheme="majorHAnsi"/>
          <w:sz w:val="24"/>
          <w:szCs w:val="24"/>
          <w:lang w:val="en-US"/>
        </w:rPr>
        <w:t>bazan</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7B61DFA7"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8A2435">
        <w:rPr>
          <w:rFonts w:asciiTheme="majorHAnsi" w:hAnsiTheme="majorHAnsi"/>
          <w:sz w:val="24"/>
          <w:szCs w:val="24"/>
        </w:rPr>
        <w:t>5</w:t>
      </w:r>
      <w:r w:rsidR="00F2454F">
        <w:rPr>
          <w:rFonts w:asciiTheme="majorHAnsi" w:hAnsiTheme="majorHAnsi"/>
          <w:sz w:val="24"/>
          <w:szCs w:val="24"/>
        </w:rPr>
        <w:t>/ZP/202</w:t>
      </w:r>
      <w:r w:rsidR="00B96FF1">
        <w:rPr>
          <w:rFonts w:asciiTheme="majorHAnsi" w:hAnsiTheme="majorHAnsi"/>
          <w:sz w:val="24"/>
          <w:szCs w:val="24"/>
        </w:rPr>
        <w:t>2</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21</w:t>
      </w:r>
      <w:r w:rsidRPr="003D1E2D">
        <w:rPr>
          <w:rFonts w:asciiTheme="majorHAnsi" w:hAnsiTheme="majorHAnsi"/>
          <w:sz w:val="24"/>
          <w:szCs w:val="24"/>
        </w:rPr>
        <w:t xml:space="preserve"> r. , poz. </w:t>
      </w:r>
      <w:r w:rsidR="00C667D5">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70B41A7D" w:rsidR="00AC6630" w:rsidRPr="00954D70" w:rsidRDefault="00AC6630" w:rsidP="0086479D">
      <w:pPr>
        <w:pStyle w:val="Akapitzlist"/>
        <w:numPr>
          <w:ilvl w:val="3"/>
          <w:numId w:val="25"/>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sidR="00634618">
        <w:rPr>
          <w:rFonts w:asciiTheme="majorHAnsi" w:hAnsiTheme="majorHAnsi"/>
          <w:b/>
          <w:sz w:val="24"/>
          <w:szCs w:val="24"/>
        </w:rPr>
        <w:t xml:space="preserve">zakup i dostawa </w:t>
      </w:r>
      <w:r w:rsidR="00913CB2">
        <w:rPr>
          <w:rFonts w:asciiTheme="majorHAnsi" w:hAnsiTheme="majorHAnsi"/>
          <w:b/>
          <w:sz w:val="24"/>
          <w:szCs w:val="24"/>
        </w:rPr>
        <w:t>dwóch wózków widłowych</w:t>
      </w:r>
      <w:r w:rsidR="0002407D" w:rsidRPr="00954D70">
        <w:rPr>
          <w:rFonts w:asciiTheme="majorHAnsi" w:hAnsiTheme="majorHAnsi"/>
          <w:b/>
          <w:sz w:val="24"/>
          <w:szCs w:val="24"/>
        </w:rPr>
        <w:t>.</w:t>
      </w:r>
      <w:r w:rsidRPr="00954D70">
        <w:rPr>
          <w:rFonts w:asciiTheme="majorHAnsi" w:hAnsiTheme="majorHAnsi"/>
          <w:b/>
          <w:sz w:val="24"/>
          <w:szCs w:val="24"/>
        </w:rPr>
        <w:t xml:space="preserve"> </w:t>
      </w:r>
    </w:p>
    <w:p w14:paraId="334568CF" w14:textId="641C8C25"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Opis przedmiotu zamówienia stanowi załącznik nr 5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79BF21BF" w14:textId="7958DE40" w:rsidR="00A06287" w:rsidRDefault="00913CB2" w:rsidP="00913CB2">
      <w:pPr>
        <w:spacing w:after="0" w:line="276" w:lineRule="auto"/>
        <w:ind w:firstLine="284"/>
        <w:jc w:val="both"/>
        <w:rPr>
          <w:rFonts w:asciiTheme="majorHAnsi" w:hAnsiTheme="majorHAnsi" w:cs="Arial"/>
          <w:bCs/>
          <w:sz w:val="24"/>
          <w:szCs w:val="24"/>
        </w:rPr>
      </w:pPr>
      <w:r>
        <w:rPr>
          <w:rFonts w:asciiTheme="majorHAnsi" w:hAnsiTheme="majorHAnsi" w:cs="Arial"/>
          <w:bCs/>
          <w:sz w:val="24"/>
          <w:szCs w:val="24"/>
        </w:rPr>
        <w:t>42000000-6 Maszyny przemysłowe</w:t>
      </w:r>
    </w:p>
    <w:p w14:paraId="61534458" w14:textId="5CCE62DA" w:rsidR="00913CB2" w:rsidRDefault="00913CB2" w:rsidP="00913CB2">
      <w:pPr>
        <w:spacing w:after="0" w:line="276" w:lineRule="auto"/>
        <w:ind w:firstLine="284"/>
        <w:jc w:val="both"/>
        <w:rPr>
          <w:rFonts w:asciiTheme="majorHAnsi" w:hAnsiTheme="majorHAnsi" w:cs="Arial"/>
          <w:bCs/>
          <w:sz w:val="24"/>
          <w:szCs w:val="24"/>
        </w:rPr>
      </w:pPr>
      <w:r>
        <w:rPr>
          <w:rFonts w:asciiTheme="majorHAnsi" w:hAnsiTheme="majorHAnsi" w:cs="Arial"/>
          <w:bCs/>
          <w:sz w:val="24"/>
          <w:szCs w:val="24"/>
        </w:rPr>
        <w:t>42415110-2 Wózki widłowe</w:t>
      </w:r>
    </w:p>
    <w:p w14:paraId="3603161E" w14:textId="6E0E0BCB" w:rsidR="00D157C5" w:rsidRDefault="00D157C5" w:rsidP="00634618">
      <w:pPr>
        <w:jc w:val="both"/>
        <w:rPr>
          <w:rFonts w:asciiTheme="majorHAnsi" w:hAnsiTheme="majorHAnsi" w:cs="Arial"/>
          <w:bCs/>
          <w:sz w:val="24"/>
          <w:szCs w:val="24"/>
        </w:rPr>
      </w:pPr>
    </w:p>
    <w:p w14:paraId="2BE753CC" w14:textId="6486860F" w:rsidR="00634618" w:rsidRDefault="00634618" w:rsidP="00634618">
      <w:pPr>
        <w:jc w:val="both"/>
        <w:rPr>
          <w:rFonts w:asciiTheme="majorHAnsi" w:hAnsiTheme="majorHAnsi" w:cs="Arial"/>
          <w:bCs/>
          <w:sz w:val="24"/>
          <w:szCs w:val="24"/>
        </w:rPr>
      </w:pPr>
    </w:p>
    <w:p w14:paraId="17D1DC32" w14:textId="74B328EC" w:rsidR="00634618" w:rsidRDefault="00634618" w:rsidP="00634618">
      <w:pPr>
        <w:jc w:val="both"/>
        <w:rPr>
          <w:rFonts w:asciiTheme="majorHAnsi" w:hAnsiTheme="majorHAnsi" w:cs="Arial"/>
          <w:bCs/>
          <w:sz w:val="24"/>
          <w:szCs w:val="24"/>
        </w:rPr>
      </w:pPr>
    </w:p>
    <w:p w14:paraId="1835E856" w14:textId="77777777" w:rsidR="00913CB2" w:rsidRDefault="00913CB2" w:rsidP="00634618">
      <w:pPr>
        <w:jc w:val="both"/>
        <w:rPr>
          <w:rFonts w:asciiTheme="majorHAnsi" w:hAnsiTheme="majorHAnsi" w:cs="Arial"/>
          <w:bCs/>
          <w:sz w:val="24"/>
          <w:szCs w:val="24"/>
        </w:rPr>
      </w:pPr>
    </w:p>
    <w:p w14:paraId="3A9F0F79" w14:textId="77777777" w:rsidR="00634618" w:rsidRPr="00634618" w:rsidRDefault="00634618"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2308E8F6" w14:textId="199AD12D" w:rsidR="00AC6630" w:rsidRPr="002117BB" w:rsidRDefault="004F4EA6" w:rsidP="00913CB2">
      <w:pPr>
        <w:spacing w:line="240" w:lineRule="auto"/>
        <w:rPr>
          <w:rFonts w:asciiTheme="majorHAnsi" w:hAnsiTheme="majorHAnsi"/>
          <w:sz w:val="24"/>
          <w:szCs w:val="24"/>
        </w:rPr>
      </w:pPr>
      <w:r w:rsidRPr="002117BB">
        <w:rPr>
          <w:rFonts w:asciiTheme="majorHAnsi" w:hAnsiTheme="majorHAnsi"/>
          <w:sz w:val="24"/>
          <w:szCs w:val="24"/>
        </w:rPr>
        <w:t xml:space="preserve">Wykonawca zobowiązany jest </w:t>
      </w:r>
      <w:r w:rsidR="00764EB1">
        <w:rPr>
          <w:rFonts w:asciiTheme="majorHAnsi" w:hAnsiTheme="majorHAnsi"/>
          <w:sz w:val="24"/>
          <w:szCs w:val="24"/>
        </w:rPr>
        <w:t xml:space="preserve">dostarczyć </w:t>
      </w:r>
      <w:r w:rsidRPr="002117BB">
        <w:rPr>
          <w:rFonts w:asciiTheme="majorHAnsi" w:hAnsiTheme="majorHAnsi"/>
          <w:sz w:val="24"/>
          <w:szCs w:val="24"/>
        </w:rPr>
        <w:t xml:space="preserve">przedmiot zamówienia w terminie </w:t>
      </w:r>
      <w:r w:rsidR="005C49A8">
        <w:rPr>
          <w:rFonts w:asciiTheme="majorHAnsi" w:hAnsiTheme="majorHAnsi"/>
          <w:sz w:val="24"/>
          <w:szCs w:val="24"/>
        </w:rPr>
        <w:t>do</w:t>
      </w:r>
      <w:r w:rsidR="00616BA8">
        <w:rPr>
          <w:rFonts w:asciiTheme="majorHAnsi" w:hAnsiTheme="majorHAnsi"/>
          <w:sz w:val="24"/>
          <w:szCs w:val="24"/>
        </w:rPr>
        <w:t xml:space="preserve"> </w:t>
      </w:r>
      <w:r w:rsidR="00913CB2">
        <w:rPr>
          <w:rFonts w:asciiTheme="majorHAnsi" w:hAnsiTheme="majorHAnsi"/>
          <w:sz w:val="24"/>
          <w:szCs w:val="24"/>
        </w:rPr>
        <w:t>30</w:t>
      </w:r>
      <w:r w:rsidR="00764EB1">
        <w:rPr>
          <w:rFonts w:asciiTheme="majorHAnsi" w:hAnsiTheme="majorHAnsi"/>
          <w:sz w:val="24"/>
          <w:szCs w:val="24"/>
        </w:rPr>
        <w:t>.</w:t>
      </w:r>
      <w:r w:rsidR="00913CB2">
        <w:rPr>
          <w:rFonts w:asciiTheme="majorHAnsi" w:hAnsiTheme="majorHAnsi"/>
          <w:sz w:val="24"/>
          <w:szCs w:val="24"/>
        </w:rPr>
        <w:t>06</w:t>
      </w:r>
      <w:r w:rsidR="00764EB1">
        <w:rPr>
          <w:rFonts w:asciiTheme="majorHAnsi" w:hAnsiTheme="majorHAnsi"/>
          <w:sz w:val="24"/>
          <w:szCs w:val="24"/>
        </w:rPr>
        <w:t>.202</w:t>
      </w:r>
      <w:r w:rsidR="00913CB2">
        <w:rPr>
          <w:rFonts w:asciiTheme="majorHAnsi" w:hAnsiTheme="majorHAnsi"/>
          <w:sz w:val="24"/>
          <w:szCs w:val="24"/>
        </w:rPr>
        <w:t>2</w:t>
      </w:r>
      <w:r w:rsidR="00764EB1">
        <w:rPr>
          <w:rFonts w:asciiTheme="majorHAnsi" w:hAnsiTheme="majorHAnsi"/>
          <w:sz w:val="24"/>
          <w:szCs w:val="24"/>
        </w:rPr>
        <w:t xml:space="preserve">r. </w:t>
      </w:r>
      <w:r w:rsidR="00A06287">
        <w:rPr>
          <w:rFonts w:asciiTheme="majorHAnsi" w:hAnsiTheme="majorHAnsi"/>
          <w:sz w:val="24"/>
          <w:szCs w:val="24"/>
        </w:rPr>
        <w:t xml:space="preserve"> </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6F3FDDF9"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 Ponadto </w:t>
      </w:r>
      <w:r w:rsidR="00764EB1">
        <w:rPr>
          <w:rFonts w:asciiTheme="majorHAnsi" w:hAnsiTheme="majorHAnsi"/>
          <w:sz w:val="24"/>
          <w:szCs w:val="24"/>
        </w:rPr>
        <w:t xml:space="preserve">zamówienie dotyczy dostawy </w:t>
      </w:r>
      <w:r w:rsidR="00B46B5A">
        <w:rPr>
          <w:rFonts w:asciiTheme="majorHAnsi" w:hAnsiTheme="majorHAnsi"/>
          <w:sz w:val="24"/>
          <w:szCs w:val="24"/>
        </w:rPr>
        <w:t>2</w:t>
      </w:r>
      <w:r w:rsidR="00764EB1">
        <w:rPr>
          <w:rFonts w:asciiTheme="majorHAnsi" w:hAnsiTheme="majorHAnsi"/>
          <w:sz w:val="24"/>
          <w:szCs w:val="24"/>
        </w:rPr>
        <w:t xml:space="preserve"> szt. identycznych </w:t>
      </w:r>
      <w:r w:rsidR="00B46B5A">
        <w:rPr>
          <w:rFonts w:asciiTheme="majorHAnsi" w:hAnsiTheme="majorHAnsi"/>
          <w:sz w:val="24"/>
          <w:szCs w:val="24"/>
        </w:rPr>
        <w:t>wózków</w:t>
      </w:r>
      <w:r w:rsidR="008A2435">
        <w:rPr>
          <w:rFonts w:asciiTheme="majorHAnsi" w:hAnsiTheme="majorHAnsi"/>
          <w:sz w:val="24"/>
          <w:szCs w:val="24"/>
        </w:rPr>
        <w:t xml:space="preserve"> plus chwytak i łyżka spychająca.</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62A498C2"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62408DE7" w14:textId="3759CAD8" w:rsidR="008E3AF6" w:rsidRDefault="008E3AF6" w:rsidP="00AC6630">
      <w:pPr>
        <w:rPr>
          <w:rFonts w:asciiTheme="majorHAnsi" w:hAnsiTheme="majorHAnsi"/>
          <w:sz w:val="24"/>
          <w:szCs w:val="24"/>
        </w:rPr>
      </w:pPr>
    </w:p>
    <w:p w14:paraId="0AC7A207" w14:textId="279FAD0D" w:rsidR="00170817" w:rsidRDefault="00170817" w:rsidP="00AC6630">
      <w:pPr>
        <w:rPr>
          <w:rFonts w:asciiTheme="majorHAnsi" w:hAnsiTheme="majorHAnsi"/>
          <w:sz w:val="24"/>
          <w:szCs w:val="24"/>
        </w:rPr>
      </w:pPr>
    </w:p>
    <w:p w14:paraId="33BEA2A4" w14:textId="33723C07" w:rsidR="00170817" w:rsidRDefault="00170817" w:rsidP="00AC6630">
      <w:pPr>
        <w:rPr>
          <w:rFonts w:asciiTheme="majorHAnsi" w:hAnsiTheme="majorHAnsi"/>
          <w:sz w:val="24"/>
          <w:szCs w:val="24"/>
        </w:rPr>
      </w:pPr>
    </w:p>
    <w:p w14:paraId="4075B933" w14:textId="7F4EBF80" w:rsidR="00170817" w:rsidRDefault="00170817" w:rsidP="00AC6630">
      <w:pPr>
        <w:rPr>
          <w:rFonts w:asciiTheme="majorHAnsi" w:hAnsiTheme="majorHAnsi"/>
          <w:sz w:val="24"/>
          <w:szCs w:val="24"/>
        </w:rPr>
      </w:pPr>
    </w:p>
    <w:p w14:paraId="0B1599DF" w14:textId="77777777" w:rsidR="00170817" w:rsidRPr="002117BB" w:rsidRDefault="00170817"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lastRenderedPageBreak/>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7628CD26"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 xml:space="preserve">dostawę </w:t>
      </w:r>
      <w:r w:rsidR="0083290F">
        <w:rPr>
          <w:rFonts w:asciiTheme="majorHAnsi" w:hAnsiTheme="majorHAnsi"/>
          <w:sz w:val="24"/>
          <w:szCs w:val="24"/>
        </w:rPr>
        <w:t>wózków widłowych</w:t>
      </w:r>
      <w:r>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83290F">
        <w:rPr>
          <w:rFonts w:asciiTheme="majorHAnsi" w:hAnsiTheme="majorHAnsi"/>
          <w:sz w:val="24"/>
          <w:szCs w:val="24"/>
        </w:rPr>
        <w:t>16</w:t>
      </w:r>
      <w:r w:rsidR="003646A2">
        <w:rPr>
          <w:rFonts w:asciiTheme="majorHAnsi" w:hAnsiTheme="majorHAnsi"/>
          <w:sz w:val="24"/>
          <w:szCs w:val="24"/>
        </w:rPr>
        <w:t>0 000,00</w:t>
      </w:r>
      <w:r>
        <w:rPr>
          <w:rFonts w:asciiTheme="majorHAnsi" w:hAnsiTheme="majorHAnsi"/>
          <w:sz w:val="24"/>
          <w:szCs w:val="24"/>
        </w:rPr>
        <w:t xml:space="preserve"> zł brutto</w:t>
      </w:r>
      <w:r w:rsidR="00616BA8">
        <w:rPr>
          <w:rFonts w:asciiTheme="majorHAnsi" w:hAnsiTheme="majorHAnsi"/>
          <w:sz w:val="24"/>
          <w:szCs w:val="24"/>
        </w:rPr>
        <w:t>.</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77777777"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83290F" w:rsidRPr="002117BB">
        <w:rPr>
          <w:rFonts w:asciiTheme="majorHAnsi" w:hAnsiTheme="majorHAnsi" w:cs="Times New Roman"/>
          <w:sz w:val="24"/>
          <w:szCs w:val="24"/>
        </w:rPr>
        <w:t>o którym mowa w art. 228–230a, art. 250a Kodeksu karnego lub w art. 46 lub art. 48 ustawy z dnia 25 czerwca 2010 r. o sporcie</w:t>
      </w:r>
      <w:r w:rsidR="0083290F">
        <w:rPr>
          <w:rFonts w:asciiTheme="majorHAnsi" w:hAnsiTheme="majorHAnsi" w:cs="Times New Roman"/>
          <w:sz w:val="24"/>
          <w:szCs w:val="24"/>
        </w:rPr>
        <w:t xml:space="preserve"> </w:t>
      </w:r>
      <w:r w:rsidR="0083290F" w:rsidRPr="00080BDD">
        <w:rPr>
          <w:rFonts w:asciiTheme="majorHAnsi" w:hAnsiTheme="majorHAnsi" w:cstheme="majorHAnsi"/>
          <w:sz w:val="24"/>
          <w:szCs w:val="24"/>
        </w:rPr>
        <w:t xml:space="preserve">lub w </w:t>
      </w:r>
      <w:hyperlink r:id="rId18" w:history="1">
        <w:r w:rsidR="0083290F" w:rsidRPr="00080BDD">
          <w:rPr>
            <w:rStyle w:val="Hipercze"/>
            <w:rFonts w:asciiTheme="majorHAnsi" w:hAnsiTheme="majorHAnsi" w:cstheme="majorHAnsi"/>
            <w:color w:val="auto"/>
            <w:sz w:val="24"/>
            <w:szCs w:val="24"/>
            <w:u w:val="none"/>
          </w:rPr>
          <w:t>art. 54 ust. 1-4</w:t>
        </w:r>
      </w:hyperlink>
      <w:r w:rsidR="0083290F"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EFE010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lastRenderedPageBreak/>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70F06508" w:rsidR="00536B75" w:rsidRPr="00F33360" w:rsidRDefault="00D60F92" w:rsidP="00F33360">
      <w:pPr>
        <w:pStyle w:val="Akapitzlist"/>
        <w:spacing w:line="276" w:lineRule="auto"/>
        <w:ind w:left="709" w:hanging="142"/>
        <w:jc w:val="both"/>
        <w:rPr>
          <w:rFonts w:ascii="Calibri Light" w:hAnsi="Calibri Light" w:cs="Calibri Light"/>
          <w:sz w:val="24"/>
          <w:szCs w:val="24"/>
        </w:rPr>
      </w:pPr>
      <w:r w:rsidRPr="00F33360">
        <w:rPr>
          <w:rFonts w:asciiTheme="majorHAnsi" w:hAnsiTheme="majorHAnsi"/>
          <w:sz w:val="24"/>
          <w:szCs w:val="24"/>
        </w:rPr>
        <w:t xml:space="preserve">- </w:t>
      </w:r>
      <w:r w:rsidR="00F33360" w:rsidRPr="00F33360">
        <w:rPr>
          <w:rStyle w:val="markedcontent"/>
          <w:rFonts w:ascii="Calibri Light" w:hAnsi="Calibri Light" w:cs="Calibri Light"/>
          <w:sz w:val="24"/>
          <w:szCs w:val="24"/>
        </w:rPr>
        <w:t>wykazu dostaw wykonanych, a w przypadku świadczeń powtarzających się lub ciągłych również wykonywanych, w okresie ostatnich 3 lat, a jeżeli okres prowadzenia działalności jest krótszy – w tym okresie, wraz</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 xml:space="preserve">z podaniem ich wartości, przedmiotu, dat wykonania i podmiotów, na rzecz których dostawy zostały wykonane lub są </w:t>
      </w:r>
      <w:r w:rsidR="00F33360" w:rsidRPr="00F33360">
        <w:rPr>
          <w:rStyle w:val="markedcontent"/>
          <w:rFonts w:ascii="Calibri Light" w:hAnsi="Calibri Light" w:cs="Calibri Light"/>
          <w:sz w:val="24"/>
          <w:szCs w:val="24"/>
        </w:rPr>
        <w:lastRenderedPageBreak/>
        <w:t>wykonywane, oraz załączeniem dowodów określających, czy te dostawy zostały wykonane lub</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są wykonywane należycie, przy czym dowodami, o których mowa, są referencje bądź inne dokumenty sporządzone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przez podmiot, na rzecz którego dostawy zostały wykonane, a w przypadku świadczeń powtarzających się</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lub ciągłych są wykonywane, a jeżeli wykonawca z przyczyn niezależnych od niego nie jest w stanie uzyskać tych</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ostatnich 3 miesięcy</w:t>
      </w:r>
      <w:r w:rsidR="00F33360" w:rsidRPr="00F33360">
        <w:rPr>
          <w:rFonts w:ascii="Calibri Light" w:hAnsi="Calibri Light" w:cs="Calibri Light"/>
          <w:sz w:val="24"/>
          <w:szCs w:val="24"/>
        </w:rPr>
        <w:t>. Wykaz stanowi załącznik nr 4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6833883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 xml:space="preserve">oświadczenie </w:t>
      </w:r>
      <w:proofErr w:type="spellStart"/>
      <w:r w:rsidRPr="00AE0CDF">
        <w:rPr>
          <w:rFonts w:asciiTheme="majorHAnsi" w:hAnsiTheme="majorHAnsi" w:cs="Times New Roman"/>
          <w:b/>
          <w:bCs/>
          <w:sz w:val="24"/>
          <w:szCs w:val="24"/>
          <w:u w:val="single"/>
        </w:rPr>
        <w:t>wstępne</w:t>
      </w:r>
      <w:r w:rsidR="00400B4A">
        <w:rPr>
          <w:rFonts w:asciiTheme="majorHAnsi" w:hAnsiTheme="majorHAnsi" w:cs="Times New Roman"/>
          <w:b/>
          <w:bCs/>
          <w:sz w:val="24"/>
          <w:szCs w:val="24"/>
          <w:u w:val="single"/>
        </w:rPr>
        <w:t>w</w:t>
      </w:r>
      <w:proofErr w:type="spellEnd"/>
      <w:r w:rsidRPr="00AE0CDF">
        <w:rPr>
          <w:rFonts w:asciiTheme="majorHAnsi" w:hAnsiTheme="majorHAnsi" w:cs="Times New Roman"/>
          <w:b/>
          <w:bCs/>
          <w:sz w:val="24"/>
          <w:szCs w:val="24"/>
          <w:u w:val="single"/>
        </w:rPr>
        <w:t xml:space="preserv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lastRenderedPageBreak/>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3627E5A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C075D6">
        <w:rPr>
          <w:rFonts w:asciiTheme="majorHAnsi" w:hAnsiTheme="majorHAnsi" w:cs="Times New Roman"/>
          <w:sz w:val="24"/>
          <w:szCs w:val="24"/>
        </w:rPr>
        <w:t>2</w:t>
      </w:r>
      <w:r w:rsidR="001758A2">
        <w:rPr>
          <w:rFonts w:asciiTheme="majorHAnsi" w:hAnsiTheme="majorHAnsi" w:cs="Times New Roman"/>
          <w:sz w:val="24"/>
          <w:szCs w:val="24"/>
        </w:rPr>
        <w:t xml:space="preserve"> </w:t>
      </w:r>
      <w:r w:rsidR="007A36CD">
        <w:rPr>
          <w:rFonts w:asciiTheme="majorHAnsi" w:hAnsiTheme="majorHAnsi" w:cs="Times New Roman"/>
          <w:sz w:val="24"/>
          <w:szCs w:val="24"/>
        </w:rPr>
        <w:t xml:space="preserve">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C075D6">
        <w:rPr>
          <w:rFonts w:asciiTheme="majorHAnsi" w:hAnsiTheme="majorHAnsi" w:cs="Times New Roman"/>
          <w:sz w:val="24"/>
          <w:szCs w:val="24"/>
        </w:rPr>
        <w:t xml:space="preserve">dwa tysiące </w:t>
      </w:r>
      <w:r w:rsidRPr="002117BB">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w:t>
      </w:r>
      <w:r w:rsidRPr="00547C42">
        <w:rPr>
          <w:rFonts w:asciiTheme="majorHAnsi" w:hAnsiTheme="majorHAnsi" w:cs="Times New Roman"/>
          <w:iCs/>
          <w:sz w:val="24"/>
          <w:szCs w:val="24"/>
        </w:rPr>
        <w:lastRenderedPageBreak/>
        <w:t xml:space="preserve">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70C7A9A6"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8A2435">
        <w:rPr>
          <w:rFonts w:asciiTheme="majorHAnsi" w:hAnsiTheme="majorHAnsi" w:cs="Times New Roman"/>
          <w:sz w:val="24"/>
          <w:szCs w:val="24"/>
        </w:rPr>
        <w:t>13</w:t>
      </w:r>
      <w:r w:rsidR="00616BA8" w:rsidRPr="00170817">
        <w:rPr>
          <w:rFonts w:asciiTheme="majorHAnsi" w:hAnsiTheme="majorHAnsi" w:cs="Times New Roman"/>
          <w:sz w:val="24"/>
          <w:szCs w:val="24"/>
        </w:rPr>
        <w:t>.</w:t>
      </w:r>
      <w:r w:rsidR="00C075D6">
        <w:rPr>
          <w:rFonts w:asciiTheme="majorHAnsi" w:hAnsiTheme="majorHAnsi" w:cs="Times New Roman"/>
          <w:sz w:val="24"/>
          <w:szCs w:val="24"/>
        </w:rPr>
        <w:t>0</w:t>
      </w:r>
      <w:r w:rsidR="008A2435">
        <w:rPr>
          <w:rFonts w:asciiTheme="majorHAnsi" w:hAnsiTheme="majorHAnsi" w:cs="Times New Roman"/>
          <w:sz w:val="24"/>
          <w:szCs w:val="24"/>
        </w:rPr>
        <w:t>5</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5E6D4D"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31773E84"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8A2435">
        <w:rPr>
          <w:rFonts w:asciiTheme="majorHAnsi" w:hAnsiTheme="majorHAnsi" w:cs="Times New Roman"/>
          <w:sz w:val="24"/>
          <w:szCs w:val="24"/>
        </w:rPr>
        <w:t>1</w:t>
      </w:r>
      <w:r w:rsidR="00C075D6">
        <w:rPr>
          <w:rFonts w:asciiTheme="majorHAnsi" w:hAnsiTheme="majorHAnsi" w:cs="Times New Roman"/>
          <w:sz w:val="24"/>
          <w:szCs w:val="24"/>
        </w:rPr>
        <w:t>4</w:t>
      </w:r>
      <w:r w:rsidR="00616BA8">
        <w:rPr>
          <w:rFonts w:asciiTheme="majorHAnsi" w:hAnsiTheme="majorHAnsi" w:cs="Times New Roman"/>
          <w:sz w:val="24"/>
          <w:szCs w:val="24"/>
        </w:rPr>
        <w:t>.</w:t>
      </w:r>
      <w:r w:rsidR="00C075D6">
        <w:rPr>
          <w:rFonts w:asciiTheme="majorHAnsi" w:hAnsiTheme="majorHAnsi" w:cs="Times New Roman"/>
          <w:sz w:val="24"/>
          <w:szCs w:val="24"/>
        </w:rPr>
        <w:t>0</w:t>
      </w:r>
      <w:r w:rsidR="008A2435">
        <w:rPr>
          <w:rFonts w:asciiTheme="majorHAnsi" w:hAnsiTheme="majorHAnsi" w:cs="Times New Roman"/>
          <w:sz w:val="24"/>
          <w:szCs w:val="24"/>
        </w:rPr>
        <w:t>4</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C075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6F1C8AB"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8A2435">
        <w:rPr>
          <w:rFonts w:asciiTheme="majorHAnsi" w:hAnsiTheme="majorHAnsi" w:cs="Times New Roman"/>
          <w:sz w:val="24"/>
          <w:szCs w:val="24"/>
        </w:rPr>
        <w:t>1</w:t>
      </w:r>
      <w:r w:rsidR="00C075D6">
        <w:rPr>
          <w:rFonts w:asciiTheme="majorHAnsi" w:hAnsiTheme="majorHAnsi" w:cs="Times New Roman"/>
          <w:sz w:val="24"/>
          <w:szCs w:val="24"/>
        </w:rPr>
        <w:t>4</w:t>
      </w:r>
      <w:r w:rsidR="00616BA8">
        <w:rPr>
          <w:rFonts w:asciiTheme="majorHAnsi" w:hAnsiTheme="majorHAnsi" w:cs="Times New Roman"/>
          <w:sz w:val="24"/>
          <w:szCs w:val="24"/>
        </w:rPr>
        <w:t>.</w:t>
      </w:r>
      <w:r w:rsidR="00C075D6">
        <w:rPr>
          <w:rFonts w:asciiTheme="majorHAnsi" w:hAnsiTheme="majorHAnsi" w:cs="Times New Roman"/>
          <w:sz w:val="24"/>
          <w:szCs w:val="24"/>
        </w:rPr>
        <w:t>0</w:t>
      </w:r>
      <w:r w:rsidR="008A2435">
        <w:rPr>
          <w:rFonts w:asciiTheme="majorHAnsi" w:hAnsiTheme="majorHAnsi" w:cs="Times New Roman"/>
          <w:sz w:val="24"/>
          <w:szCs w:val="24"/>
        </w:rPr>
        <w:t>4</w:t>
      </w:r>
      <w:r w:rsidR="00616BA8">
        <w:rPr>
          <w:rFonts w:asciiTheme="majorHAnsi" w:hAnsiTheme="majorHAnsi" w:cs="Times New Roman"/>
          <w:sz w:val="24"/>
          <w:szCs w:val="24"/>
        </w:rPr>
        <w:t>.</w:t>
      </w:r>
      <w:r w:rsidR="00DA5CCC">
        <w:rPr>
          <w:rFonts w:asciiTheme="majorHAnsi" w:hAnsiTheme="majorHAnsi" w:cs="Times New Roman"/>
          <w:sz w:val="24"/>
          <w:szCs w:val="24"/>
        </w:rPr>
        <w:t>202</w:t>
      </w:r>
      <w:r w:rsidR="00C075D6">
        <w:rPr>
          <w:rFonts w:asciiTheme="majorHAnsi" w:hAnsiTheme="majorHAnsi" w:cs="Times New Roman"/>
          <w:sz w:val="24"/>
          <w:szCs w:val="24"/>
        </w:rPr>
        <w:t>2</w:t>
      </w:r>
      <w:r w:rsidR="00DA5CCC">
        <w:rPr>
          <w:rFonts w:asciiTheme="majorHAnsi" w:hAnsiTheme="majorHAnsi" w:cs="Times New Roman"/>
          <w:sz w:val="24"/>
          <w:szCs w:val="24"/>
        </w:rPr>
        <w:t xml:space="preserve"> r. godz. </w:t>
      </w:r>
      <w:r w:rsidR="00C075D6">
        <w:rPr>
          <w:rFonts w:asciiTheme="majorHAnsi" w:hAnsiTheme="majorHAnsi" w:cs="Times New Roman"/>
          <w:sz w:val="24"/>
          <w:szCs w:val="24"/>
        </w:rPr>
        <w:t>08</w:t>
      </w:r>
      <w:r w:rsidRPr="002117BB">
        <w:rPr>
          <w:rFonts w:asciiTheme="majorHAnsi" w:hAnsiTheme="majorHAnsi" w:cs="Times New Roman"/>
          <w:sz w:val="24"/>
          <w:szCs w:val="24"/>
        </w:rPr>
        <w:t>:</w:t>
      </w:r>
      <w:r w:rsidR="00C075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4751FEE9" w14:textId="2FAD0ED5" w:rsidR="003646A2" w:rsidRDefault="003646A2"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6E665C42" w14:textId="77777777" w:rsidR="00C075D6" w:rsidRDefault="00426E28" w:rsidP="00C075D6">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D31D278"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Wybór oferty najkorzystniejszej nastąpi na podstawie następujących kryteriów oceny ofert:</w:t>
      </w:r>
    </w:p>
    <w:p w14:paraId="5B643F47" w14:textId="778EEF58" w:rsidR="005F53FD" w:rsidRDefault="00DD6D29"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w:t>
      </w:r>
      <w:r w:rsidR="003A3670">
        <w:rPr>
          <w:rFonts w:asciiTheme="majorHAnsi" w:hAnsiTheme="majorHAnsi" w:cs="Times New Roman"/>
          <w:b/>
          <w:bCs/>
          <w:color w:val="000000"/>
          <w:sz w:val="24"/>
          <w:szCs w:val="24"/>
        </w:rPr>
        <w:t xml:space="preserve">ena – </w:t>
      </w:r>
      <w:r w:rsidR="008A2435">
        <w:rPr>
          <w:rFonts w:asciiTheme="majorHAnsi" w:hAnsiTheme="majorHAnsi" w:cs="Times New Roman"/>
          <w:b/>
          <w:bCs/>
          <w:color w:val="000000"/>
          <w:sz w:val="24"/>
          <w:szCs w:val="24"/>
        </w:rPr>
        <w:t>9</w:t>
      </w:r>
      <w:r>
        <w:rPr>
          <w:rFonts w:asciiTheme="majorHAnsi" w:hAnsiTheme="majorHAnsi" w:cs="Times New Roman"/>
          <w:b/>
          <w:bCs/>
          <w:color w:val="000000"/>
          <w:sz w:val="24"/>
          <w:szCs w:val="24"/>
        </w:rPr>
        <w:t>0</w:t>
      </w:r>
      <w:r w:rsidR="005F53FD" w:rsidRPr="002117BB">
        <w:rPr>
          <w:rFonts w:asciiTheme="majorHAnsi" w:hAnsiTheme="majorHAnsi" w:cs="Times New Roman"/>
          <w:b/>
          <w:bCs/>
          <w:color w:val="000000"/>
          <w:sz w:val="24"/>
          <w:szCs w:val="24"/>
        </w:rPr>
        <w:t>%</w:t>
      </w:r>
    </w:p>
    <w:p w14:paraId="4159B247" w14:textId="09728E0E" w:rsidR="00DD6D29" w:rsidRDefault="00DD6D29"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Gwarancja – 1</w:t>
      </w:r>
      <w:r w:rsidR="008A2435">
        <w:rPr>
          <w:rFonts w:asciiTheme="majorHAnsi" w:hAnsiTheme="majorHAnsi" w:cs="Times New Roman"/>
          <w:b/>
          <w:bCs/>
          <w:color w:val="000000"/>
          <w:sz w:val="24"/>
          <w:szCs w:val="24"/>
        </w:rPr>
        <w:t>0</w:t>
      </w:r>
      <w:r>
        <w:rPr>
          <w:rFonts w:asciiTheme="majorHAnsi" w:hAnsiTheme="majorHAnsi" w:cs="Times New Roman"/>
          <w:b/>
          <w:bCs/>
          <w:color w:val="000000"/>
          <w:sz w:val="24"/>
          <w:szCs w:val="24"/>
        </w:rPr>
        <w:t>%</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0FCEB44B" w:rsidR="005F53FD" w:rsidRPr="002117BB" w:rsidRDefault="006A2D48" w:rsidP="006A2D48">
      <w:pPr>
        <w:spacing w:after="0" w:line="276" w:lineRule="auto"/>
        <w:ind w:left="708" w:hanging="424"/>
        <w:jc w:val="both"/>
        <w:rPr>
          <w:rFonts w:asciiTheme="majorHAnsi" w:hAnsiTheme="majorHAnsi" w:cs="Times New Roman"/>
          <w:color w:val="000000"/>
          <w:sz w:val="24"/>
          <w:szCs w:val="24"/>
        </w:rPr>
      </w:pPr>
      <w:r>
        <w:rPr>
          <w:rFonts w:asciiTheme="majorHAnsi" w:hAnsiTheme="majorHAnsi" w:cs="Times New Roman"/>
          <w:color w:val="000000"/>
          <w:sz w:val="24"/>
          <w:szCs w:val="24"/>
        </w:rPr>
        <w:t>C</w:t>
      </w:r>
      <w:r w:rsidR="005F53FD" w:rsidRPr="002117BB">
        <w:rPr>
          <w:rFonts w:asciiTheme="majorHAnsi" w:hAnsiTheme="majorHAnsi" w:cs="Times New Roman"/>
          <w:b/>
          <w:bCs/>
          <w:color w:val="000000"/>
          <w:sz w:val="24"/>
          <w:szCs w:val="24"/>
        </w:rPr>
        <w:t>ena</w:t>
      </w:r>
      <w:r w:rsidR="005F53FD" w:rsidRPr="002117BB">
        <w:rPr>
          <w:rFonts w:asciiTheme="majorHAnsi" w:hAnsiTheme="majorHAnsi" w:cs="Times New Roman"/>
          <w:b/>
          <w:bCs/>
          <w:i/>
          <w:iCs/>
          <w:color w:val="000000"/>
          <w:sz w:val="24"/>
          <w:szCs w:val="24"/>
        </w:rPr>
        <w:t xml:space="preserve"> </w:t>
      </w:r>
      <w:r w:rsidR="005F53FD"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8A2435">
        <w:rPr>
          <w:rFonts w:asciiTheme="majorHAnsi" w:hAnsiTheme="majorHAnsi" w:cs="Times New Roman"/>
          <w:b/>
          <w:bCs/>
          <w:color w:val="000000"/>
          <w:sz w:val="24"/>
          <w:szCs w:val="24"/>
        </w:rPr>
        <w:t>9</w:t>
      </w:r>
      <w:r w:rsidR="006F194A" w:rsidRPr="00D943D3">
        <w:rPr>
          <w:rFonts w:asciiTheme="majorHAnsi" w:hAnsiTheme="majorHAnsi" w:cs="Times New Roman"/>
          <w:b/>
          <w:bCs/>
          <w:color w:val="000000"/>
          <w:sz w:val="24"/>
          <w:szCs w:val="24"/>
        </w:rPr>
        <w:t>0</w:t>
      </w:r>
      <w:r w:rsidR="005F53FD" w:rsidRPr="002117BB">
        <w:rPr>
          <w:rFonts w:asciiTheme="majorHAnsi" w:hAnsiTheme="majorHAnsi" w:cs="Times New Roman"/>
          <w:color w:val="000000"/>
          <w:sz w:val="24"/>
          <w:szCs w:val="24"/>
        </w:rPr>
        <w:t>%:</w:t>
      </w:r>
    </w:p>
    <w:p w14:paraId="10424BBC" w14:textId="7A5AC82B" w:rsidR="005F53FD" w:rsidRPr="002117BB" w:rsidRDefault="005F53FD" w:rsidP="006A2D48">
      <w:pPr>
        <w:spacing w:after="0" w:line="276" w:lineRule="auto"/>
        <w:ind w:left="284"/>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4FD27894" w:rsidR="005F53FD" w:rsidRPr="002117BB" w:rsidRDefault="005F53FD" w:rsidP="006A2D48">
      <w:pPr>
        <w:spacing w:after="0" w:line="276" w:lineRule="auto"/>
        <w:ind w:left="284" w:firstLine="142"/>
        <w:jc w:val="both"/>
        <w:rPr>
          <w:rFonts w:asciiTheme="majorHAnsi" w:hAnsiTheme="majorHAnsi" w:cs="Times New Roman"/>
          <w:sz w:val="24"/>
          <w:szCs w:val="24"/>
          <w:lang w:val="en-US"/>
        </w:rPr>
      </w:pPr>
      <w:r w:rsidRPr="00CA34AD">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ml:space="preserve">) x </w:t>
      </w:r>
      <w:r w:rsidR="008A2435">
        <w:rPr>
          <w:rFonts w:asciiTheme="majorHAnsi" w:hAnsiTheme="majorHAnsi" w:cs="Times New Roman"/>
          <w:sz w:val="24"/>
          <w:szCs w:val="24"/>
          <w:lang w:val="en-US"/>
        </w:rPr>
        <w:t>9</w:t>
      </w:r>
      <w:r w:rsidR="006F194A">
        <w:rPr>
          <w:rFonts w:asciiTheme="majorHAnsi" w:hAnsiTheme="majorHAnsi" w:cs="Times New Roman"/>
          <w:sz w:val="24"/>
          <w:szCs w:val="24"/>
          <w:lang w:val="en-US"/>
        </w:rPr>
        <w:t>0</w:t>
      </w:r>
    </w:p>
    <w:p w14:paraId="3358B150" w14:textId="77777777" w:rsidR="005F53FD" w:rsidRPr="002117BB" w:rsidRDefault="005F53FD" w:rsidP="006A2D48">
      <w:pPr>
        <w:spacing w:after="0" w:line="276" w:lineRule="auto"/>
        <w:ind w:left="284"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6A2D48">
      <w:pPr>
        <w:spacing w:after="0" w:line="276" w:lineRule="auto"/>
        <w:ind w:left="284"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6A2D48">
      <w:pPr>
        <w:spacing w:after="0" w:line="276" w:lineRule="auto"/>
        <w:ind w:left="284"/>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6A2D48">
      <w:pPr>
        <w:spacing w:after="0" w:line="276" w:lineRule="auto"/>
        <w:ind w:left="699" w:hanging="415"/>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12BD3276" w:rsidR="005F53FD" w:rsidRDefault="005F53FD" w:rsidP="006A2D48">
      <w:pPr>
        <w:spacing w:after="0" w:line="276" w:lineRule="auto"/>
        <w:ind w:left="284"/>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7F458C0A" w14:textId="77777777" w:rsidR="00AC0513" w:rsidRPr="00476AA1" w:rsidRDefault="00AC0513" w:rsidP="005F53FD">
      <w:pPr>
        <w:spacing w:after="0" w:line="276" w:lineRule="auto"/>
        <w:ind w:left="696" w:firstLine="3"/>
        <w:jc w:val="both"/>
        <w:rPr>
          <w:rFonts w:asciiTheme="majorHAnsi" w:hAnsiTheme="majorHAnsi" w:cs="Times New Roman"/>
          <w:iCs/>
          <w:color w:val="000000"/>
          <w:sz w:val="24"/>
          <w:szCs w:val="24"/>
        </w:rPr>
      </w:pPr>
    </w:p>
    <w:p w14:paraId="1CCBCE53" w14:textId="4101EC02" w:rsidR="006F194A" w:rsidRPr="006A2D48" w:rsidRDefault="006F194A" w:rsidP="006A2D48">
      <w:pPr>
        <w:tabs>
          <w:tab w:val="left" w:pos="567"/>
        </w:tabs>
        <w:spacing w:line="240" w:lineRule="auto"/>
        <w:ind w:left="540" w:hanging="256"/>
        <w:jc w:val="both"/>
        <w:rPr>
          <w:rFonts w:asciiTheme="majorHAnsi" w:hAnsiTheme="majorHAnsi" w:cstheme="majorHAnsi"/>
          <w:b/>
          <w:sz w:val="24"/>
          <w:szCs w:val="24"/>
        </w:rPr>
      </w:pPr>
      <w:r w:rsidRPr="006A2D48">
        <w:rPr>
          <w:rFonts w:asciiTheme="majorHAnsi" w:hAnsiTheme="majorHAnsi" w:cstheme="majorHAnsi"/>
          <w:b/>
          <w:sz w:val="24"/>
          <w:szCs w:val="24"/>
        </w:rPr>
        <w:t xml:space="preserve">Gwarancja </w:t>
      </w:r>
      <w:r w:rsidR="006A2D48" w:rsidRPr="006A2D48">
        <w:rPr>
          <w:rFonts w:asciiTheme="majorHAnsi" w:hAnsiTheme="majorHAnsi" w:cstheme="majorHAnsi"/>
          <w:b/>
          <w:sz w:val="24"/>
          <w:szCs w:val="24"/>
        </w:rPr>
        <w:t xml:space="preserve">(G) </w:t>
      </w:r>
      <w:r w:rsidRPr="006A2D48">
        <w:rPr>
          <w:rFonts w:asciiTheme="majorHAnsi" w:hAnsiTheme="majorHAnsi" w:cstheme="majorHAnsi"/>
          <w:b/>
          <w:sz w:val="24"/>
          <w:szCs w:val="24"/>
        </w:rPr>
        <w:t>– 1</w:t>
      </w:r>
      <w:r w:rsidR="008A2435">
        <w:rPr>
          <w:rFonts w:asciiTheme="majorHAnsi" w:hAnsiTheme="majorHAnsi" w:cstheme="majorHAnsi"/>
          <w:b/>
          <w:sz w:val="24"/>
          <w:szCs w:val="24"/>
        </w:rPr>
        <w:t>0</w:t>
      </w:r>
      <w:r w:rsidRPr="006A2D48">
        <w:rPr>
          <w:rFonts w:asciiTheme="majorHAnsi" w:hAnsiTheme="majorHAnsi" w:cstheme="majorHAnsi"/>
          <w:b/>
          <w:sz w:val="24"/>
          <w:szCs w:val="24"/>
        </w:rPr>
        <w:t>%</w:t>
      </w:r>
    </w:p>
    <w:p w14:paraId="021C8FF8" w14:textId="412B872B"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 zaoferowana gwarancja nie może być krótsza niż 24 miesi</w:t>
      </w:r>
      <w:r w:rsidR="006A2D48" w:rsidRPr="006A2D48">
        <w:rPr>
          <w:rFonts w:asciiTheme="majorHAnsi" w:hAnsiTheme="majorHAnsi" w:cstheme="majorHAnsi"/>
          <w:sz w:val="24"/>
          <w:szCs w:val="24"/>
        </w:rPr>
        <w:t>ące</w:t>
      </w:r>
      <w:r w:rsidRPr="006A2D48">
        <w:rPr>
          <w:rFonts w:asciiTheme="majorHAnsi" w:hAnsiTheme="majorHAnsi" w:cstheme="majorHAnsi"/>
          <w:sz w:val="24"/>
          <w:szCs w:val="24"/>
        </w:rPr>
        <w:t>,</w:t>
      </w:r>
    </w:p>
    <w:p w14:paraId="491CED91" w14:textId="6CBF4DE7"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Zamawiający będzie przyznawał punkty w kryterium „gwarancja” w następujący sposób:</w:t>
      </w:r>
    </w:p>
    <w:p w14:paraId="75D2B993" w14:textId="77777777"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Gwarancja udzielona na okres  od 24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i poniżej   30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 0 pkt,</w:t>
      </w:r>
    </w:p>
    <w:p w14:paraId="30263DCE" w14:textId="5F57C251" w:rsidR="006F194A" w:rsidRPr="006A2D48" w:rsidRDefault="006F194A" w:rsidP="006A2D48">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Gwarancja udzielona na okres  od 30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i poniżej   36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 </w:t>
      </w:r>
      <w:r w:rsidR="006A2D48" w:rsidRPr="006A2D48">
        <w:rPr>
          <w:rFonts w:asciiTheme="majorHAnsi" w:hAnsiTheme="majorHAnsi" w:cstheme="majorHAnsi"/>
          <w:sz w:val="24"/>
          <w:szCs w:val="24"/>
        </w:rPr>
        <w:t>5</w:t>
      </w:r>
      <w:r w:rsidRPr="006A2D48">
        <w:rPr>
          <w:rFonts w:asciiTheme="majorHAnsi" w:hAnsiTheme="majorHAnsi" w:cstheme="majorHAnsi"/>
          <w:sz w:val="24"/>
          <w:szCs w:val="24"/>
        </w:rPr>
        <w:t xml:space="preserve"> pkt,</w:t>
      </w:r>
    </w:p>
    <w:p w14:paraId="16AA00D4" w14:textId="3541C081" w:rsidR="006A2D48" w:rsidRPr="006A2D48" w:rsidRDefault="006F194A" w:rsidP="008A2435">
      <w:pPr>
        <w:tabs>
          <w:tab w:val="left" w:pos="567"/>
        </w:tabs>
        <w:spacing w:after="0" w:line="276" w:lineRule="auto"/>
        <w:ind w:firstLine="284"/>
        <w:jc w:val="both"/>
        <w:rPr>
          <w:rFonts w:asciiTheme="majorHAnsi" w:hAnsiTheme="majorHAnsi" w:cstheme="majorHAnsi"/>
          <w:sz w:val="24"/>
          <w:szCs w:val="24"/>
        </w:rPr>
      </w:pPr>
      <w:r w:rsidRPr="006A2D48">
        <w:rPr>
          <w:rFonts w:asciiTheme="majorHAnsi" w:hAnsiTheme="majorHAnsi" w:cstheme="majorHAnsi"/>
          <w:sz w:val="24"/>
          <w:szCs w:val="24"/>
        </w:rPr>
        <w:t>Gwarancja udzielona na okres od 36 m-</w:t>
      </w:r>
      <w:proofErr w:type="spellStart"/>
      <w:r w:rsidRPr="006A2D48">
        <w:rPr>
          <w:rFonts w:asciiTheme="majorHAnsi" w:hAnsiTheme="majorHAnsi" w:cstheme="majorHAnsi"/>
          <w:sz w:val="24"/>
          <w:szCs w:val="24"/>
        </w:rPr>
        <w:t>cy</w:t>
      </w:r>
      <w:proofErr w:type="spellEnd"/>
      <w:r w:rsidRPr="006A2D48">
        <w:rPr>
          <w:rFonts w:asciiTheme="majorHAnsi" w:hAnsiTheme="majorHAnsi" w:cstheme="majorHAnsi"/>
          <w:sz w:val="24"/>
          <w:szCs w:val="24"/>
        </w:rPr>
        <w:t xml:space="preserve"> i powyżej                 – </w:t>
      </w:r>
      <w:r w:rsidR="006A2D48" w:rsidRPr="006A2D48">
        <w:rPr>
          <w:rFonts w:asciiTheme="majorHAnsi" w:hAnsiTheme="majorHAnsi" w:cstheme="majorHAnsi"/>
          <w:sz w:val="24"/>
          <w:szCs w:val="24"/>
        </w:rPr>
        <w:t>1</w:t>
      </w:r>
      <w:r w:rsidR="008A2435">
        <w:rPr>
          <w:rFonts w:asciiTheme="majorHAnsi" w:hAnsiTheme="majorHAnsi" w:cstheme="majorHAnsi"/>
          <w:sz w:val="24"/>
          <w:szCs w:val="24"/>
        </w:rPr>
        <w:t>0</w:t>
      </w:r>
      <w:r w:rsidRPr="006A2D48">
        <w:rPr>
          <w:rFonts w:asciiTheme="majorHAnsi" w:hAnsiTheme="majorHAnsi" w:cstheme="majorHAnsi"/>
          <w:sz w:val="24"/>
          <w:szCs w:val="24"/>
        </w:rPr>
        <w:t xml:space="preserve"> pkt.</w:t>
      </w:r>
    </w:p>
    <w:p w14:paraId="7B438A5F" w14:textId="77777777" w:rsidR="004B626D" w:rsidRPr="006A2D48" w:rsidRDefault="004B626D" w:rsidP="00AC0513">
      <w:pPr>
        <w:spacing w:after="0" w:line="276" w:lineRule="auto"/>
        <w:ind w:firstLine="360"/>
        <w:jc w:val="both"/>
        <w:rPr>
          <w:rFonts w:asciiTheme="majorHAnsi" w:hAnsiTheme="majorHAnsi" w:cstheme="majorHAnsi"/>
          <w:color w:val="000000"/>
          <w:sz w:val="24"/>
          <w:szCs w:val="24"/>
        </w:rPr>
      </w:pPr>
    </w:p>
    <w:p w14:paraId="073F57A1" w14:textId="77777777" w:rsidR="00AC0513" w:rsidRPr="006A2D48" w:rsidRDefault="00AC0513" w:rsidP="00AC0513">
      <w:pPr>
        <w:numPr>
          <w:ilvl w:val="0"/>
          <w:numId w:val="30"/>
        </w:numPr>
        <w:tabs>
          <w:tab w:val="left" w:pos="284"/>
        </w:tabs>
        <w:suppressAutoHyphens/>
        <w:spacing w:after="0" w:line="240" w:lineRule="auto"/>
        <w:ind w:left="284" w:hanging="284"/>
        <w:jc w:val="both"/>
        <w:rPr>
          <w:rFonts w:asciiTheme="majorHAnsi" w:hAnsiTheme="majorHAnsi" w:cstheme="majorHAnsi"/>
          <w:sz w:val="24"/>
          <w:szCs w:val="24"/>
        </w:rPr>
      </w:pPr>
      <w:r w:rsidRPr="006A2D48">
        <w:rPr>
          <w:rFonts w:asciiTheme="majorHAnsi" w:hAnsiTheme="majorHAnsi" w:cstheme="majorHAnsi"/>
          <w:sz w:val="24"/>
          <w:szCs w:val="24"/>
        </w:rPr>
        <w:t>Ofertą najkorzystniejszą jest oferta z największą ilością punktów z uwzględnieniem wag każdego kryterium i wyliczona wg wzoru:</w:t>
      </w:r>
    </w:p>
    <w:p w14:paraId="24118286" w14:textId="77777777" w:rsidR="00AC0513" w:rsidRPr="006A2D48" w:rsidRDefault="00AC0513" w:rsidP="00AC0513">
      <w:pPr>
        <w:tabs>
          <w:tab w:val="left" w:pos="567"/>
        </w:tabs>
        <w:ind w:left="720"/>
        <w:jc w:val="both"/>
        <w:rPr>
          <w:rFonts w:asciiTheme="majorHAnsi" w:hAnsiTheme="majorHAnsi" w:cstheme="majorHAnsi"/>
          <w:sz w:val="24"/>
          <w:szCs w:val="24"/>
        </w:rPr>
      </w:pPr>
    </w:p>
    <w:p w14:paraId="1183FD46" w14:textId="62F7A55A" w:rsidR="00AC0513" w:rsidRPr="008A2435" w:rsidRDefault="00AC0513" w:rsidP="008A2435">
      <w:pPr>
        <w:tabs>
          <w:tab w:val="left" w:pos="567"/>
        </w:tabs>
        <w:ind w:left="720"/>
        <w:jc w:val="center"/>
        <w:rPr>
          <w:rFonts w:asciiTheme="majorHAnsi" w:hAnsiTheme="majorHAnsi" w:cstheme="majorHAnsi"/>
          <w:b/>
          <w:sz w:val="24"/>
          <w:szCs w:val="24"/>
        </w:rPr>
      </w:pPr>
      <w:r w:rsidRPr="004B626D">
        <w:rPr>
          <w:rFonts w:asciiTheme="majorHAnsi" w:hAnsiTheme="majorHAnsi" w:cstheme="majorHAnsi"/>
          <w:b/>
          <w:sz w:val="24"/>
          <w:szCs w:val="24"/>
        </w:rPr>
        <w:t xml:space="preserve">O = C + G </w:t>
      </w:r>
    </w:p>
    <w:p w14:paraId="0F98235A" w14:textId="77777777" w:rsidR="00AC0513" w:rsidRPr="004B626D" w:rsidRDefault="00AC0513" w:rsidP="004B626D">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Gdzie:</w:t>
      </w:r>
    </w:p>
    <w:p w14:paraId="5A90DAA8" w14:textId="77777777" w:rsidR="00AC0513" w:rsidRPr="004B626D" w:rsidRDefault="00AC0513" w:rsidP="004B626D">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O – oznacza liczbę punktów uzyskanych przez ofertę</w:t>
      </w:r>
    </w:p>
    <w:p w14:paraId="02214A42" w14:textId="77777777" w:rsidR="00AC0513" w:rsidRPr="004B626D" w:rsidRDefault="00AC0513" w:rsidP="004B626D">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C – oznacza liczbę punktów uzyskanych przez ofertę za kryterium „Cena”</w:t>
      </w:r>
    </w:p>
    <w:p w14:paraId="4217CD9A" w14:textId="474952BB" w:rsidR="00AC0513" w:rsidRPr="004B626D" w:rsidRDefault="00AC0513" w:rsidP="008A2435">
      <w:pPr>
        <w:tabs>
          <w:tab w:val="left" w:pos="567"/>
        </w:tabs>
        <w:spacing w:after="0" w:line="276" w:lineRule="auto"/>
        <w:ind w:left="720" w:hanging="436"/>
        <w:jc w:val="both"/>
        <w:rPr>
          <w:rFonts w:asciiTheme="majorHAnsi" w:hAnsiTheme="majorHAnsi" w:cstheme="majorHAnsi"/>
          <w:sz w:val="24"/>
          <w:szCs w:val="24"/>
        </w:rPr>
      </w:pPr>
      <w:r w:rsidRPr="004B626D">
        <w:rPr>
          <w:rFonts w:asciiTheme="majorHAnsi" w:hAnsiTheme="majorHAnsi" w:cstheme="majorHAnsi"/>
          <w:sz w:val="24"/>
          <w:szCs w:val="24"/>
        </w:rPr>
        <w:t>G – oznacza liczbę punktów uzyskanych przez ofertę za kryterium „Gwarancja”</w:t>
      </w:r>
    </w:p>
    <w:p w14:paraId="2E2E8F9A" w14:textId="77777777" w:rsidR="00AC0513" w:rsidRPr="004B626D" w:rsidRDefault="00AC0513" w:rsidP="005F53FD">
      <w:pPr>
        <w:spacing w:after="0" w:line="276" w:lineRule="auto"/>
        <w:jc w:val="both"/>
        <w:rPr>
          <w:rFonts w:asciiTheme="majorHAnsi" w:hAnsiTheme="majorHAnsi" w:cstheme="majorHAnsi"/>
          <w:color w:val="000000"/>
          <w:sz w:val="24"/>
          <w:szCs w:val="24"/>
        </w:rPr>
      </w:pPr>
    </w:p>
    <w:p w14:paraId="38F82C61" w14:textId="05FAAFDC" w:rsidR="005F53FD" w:rsidRPr="004B626D" w:rsidRDefault="005F53FD" w:rsidP="004B626D">
      <w:pPr>
        <w:pStyle w:val="Akapitzlist"/>
        <w:numPr>
          <w:ilvl w:val="0"/>
          <w:numId w:val="30"/>
        </w:numPr>
        <w:spacing w:after="0" w:line="276" w:lineRule="auto"/>
        <w:ind w:left="284" w:hanging="284"/>
        <w:jc w:val="both"/>
        <w:rPr>
          <w:rFonts w:asciiTheme="majorHAnsi" w:hAnsiTheme="majorHAnsi" w:cs="Times New Roman"/>
          <w:color w:val="000000"/>
          <w:sz w:val="24"/>
          <w:szCs w:val="24"/>
        </w:rPr>
      </w:pPr>
      <w:r w:rsidRPr="004B626D">
        <w:rPr>
          <w:rFonts w:asciiTheme="majorHAnsi" w:hAnsiTheme="majorHAnsi" w:cs="Times New Roman"/>
          <w:b/>
          <w:bCs/>
          <w:color w:val="000000"/>
          <w:sz w:val="24"/>
          <w:szCs w:val="24"/>
        </w:rPr>
        <w:t>Ostateczną ocenę oferty stanowi suma punktów uzyskanych w ww. kryteri</w:t>
      </w:r>
      <w:r w:rsidR="008F1838" w:rsidRPr="004B626D">
        <w:rPr>
          <w:rFonts w:asciiTheme="majorHAnsi" w:hAnsiTheme="majorHAnsi" w:cs="Times New Roman"/>
          <w:b/>
          <w:bCs/>
          <w:color w:val="000000"/>
          <w:sz w:val="24"/>
          <w:szCs w:val="24"/>
        </w:rPr>
        <w:t>um</w:t>
      </w:r>
      <w:r w:rsidRPr="004B626D">
        <w:rPr>
          <w:rFonts w:asciiTheme="majorHAnsi" w:hAnsiTheme="majorHAnsi" w:cs="Times New Roman"/>
          <w:b/>
          <w:bCs/>
          <w:color w:val="000000"/>
          <w:sz w:val="24"/>
          <w:szCs w:val="24"/>
        </w:rPr>
        <w:t xml:space="preserve"> oceny ofert</w:t>
      </w:r>
      <w:r w:rsidR="008F1838" w:rsidRPr="004B626D">
        <w:rPr>
          <w:rFonts w:asciiTheme="majorHAnsi" w:hAnsiTheme="majorHAnsi" w:cs="Times New Roman"/>
          <w:b/>
          <w:bCs/>
          <w:color w:val="000000"/>
          <w:sz w:val="24"/>
          <w:szCs w:val="24"/>
        </w:rPr>
        <w:t>.</w:t>
      </w:r>
    </w:p>
    <w:p w14:paraId="23CB4D19" w14:textId="6F7CF312" w:rsidR="005F53FD" w:rsidRPr="002117BB" w:rsidRDefault="005F53FD" w:rsidP="004B626D">
      <w:pPr>
        <w:pStyle w:val="Akapitzlist"/>
        <w:numPr>
          <w:ilvl w:val="0"/>
          <w:numId w:val="30"/>
        </w:numPr>
        <w:spacing w:before="240" w:after="0" w:line="276" w:lineRule="auto"/>
        <w:ind w:left="284"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złożonych ofert zgodnie z w</w:t>
      </w:r>
      <w:r w:rsidR="0081110A">
        <w:rPr>
          <w:rFonts w:asciiTheme="majorHAnsi" w:hAnsiTheme="majorHAnsi" w:cs="Times New Roman"/>
          <w:sz w:val="24"/>
          <w:szCs w:val="24"/>
        </w:rPr>
        <w:t>ymaganiami S</w:t>
      </w:r>
      <w:r w:rsidRPr="002117BB">
        <w:rPr>
          <w:rFonts w:asciiTheme="majorHAnsi" w:hAnsiTheme="majorHAnsi" w:cs="Times New Roman"/>
          <w:sz w:val="24"/>
          <w:szCs w:val="24"/>
        </w:rPr>
        <w:t xml:space="preserve">WZ. </w:t>
      </w:r>
    </w:p>
    <w:p w14:paraId="495972FA" w14:textId="77777777" w:rsidR="005F53FD" w:rsidRPr="002117BB" w:rsidRDefault="005F53FD" w:rsidP="004B626D">
      <w:pPr>
        <w:pStyle w:val="Akapitzlist"/>
        <w:numPr>
          <w:ilvl w:val="0"/>
          <w:numId w:val="30"/>
        </w:numPr>
        <w:spacing w:before="240" w:after="0" w:line="276" w:lineRule="auto"/>
        <w:ind w:left="284"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w:t>
      </w:r>
      <w:r w:rsidRPr="002117BB">
        <w:rPr>
          <w:rFonts w:asciiTheme="majorHAnsi" w:hAnsiTheme="majorHAnsi" w:cs="Times New Roman"/>
          <w:sz w:val="24"/>
          <w:szCs w:val="24"/>
        </w:rPr>
        <w:lastRenderedPageBreak/>
        <w:t xml:space="preserve">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99C7EEE" w14:textId="7F42689F" w:rsidR="0001734E" w:rsidRDefault="005F53FD" w:rsidP="004B626D">
      <w:pPr>
        <w:pStyle w:val="Akapitzlist"/>
        <w:numPr>
          <w:ilvl w:val="0"/>
          <w:numId w:val="30"/>
        </w:numPr>
        <w:spacing w:before="240" w:after="0" w:line="276" w:lineRule="auto"/>
        <w:ind w:left="284"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postępowaniu, a jego oferta uzyska najwyższą ocenę punktową z zastrzeżeniem treści pkt. </w:t>
      </w:r>
      <w:r w:rsidR="00AA4E64">
        <w:rPr>
          <w:rFonts w:asciiTheme="majorHAnsi" w:hAnsiTheme="majorHAnsi" w:cs="Times New Roman"/>
          <w:sz w:val="24"/>
          <w:szCs w:val="24"/>
        </w:rPr>
        <w:t>6</w:t>
      </w:r>
      <w:r w:rsidRPr="002117BB">
        <w:rPr>
          <w:rFonts w:asciiTheme="majorHAnsi" w:hAnsiTheme="majorHAnsi" w:cs="Times New Roman"/>
          <w:sz w:val="24"/>
          <w:szCs w:val="24"/>
        </w:rPr>
        <w:t xml:space="preserve">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3682F094" w:rsidR="007A36CD" w:rsidRDefault="007A36CD" w:rsidP="003979BC">
      <w:pPr>
        <w:spacing w:line="276" w:lineRule="auto"/>
        <w:rPr>
          <w:rFonts w:asciiTheme="majorHAnsi" w:hAnsiTheme="majorHAnsi" w:cs="Times New Roman"/>
          <w:b/>
          <w:bCs/>
          <w:color w:val="002060"/>
          <w:sz w:val="24"/>
          <w:szCs w:val="24"/>
          <w:u w:val="single"/>
        </w:rPr>
      </w:pPr>
    </w:p>
    <w:p w14:paraId="58542954" w14:textId="2FC26FA8" w:rsidR="008A2435" w:rsidRDefault="008A2435" w:rsidP="003979BC">
      <w:pPr>
        <w:spacing w:line="276" w:lineRule="auto"/>
        <w:rPr>
          <w:rFonts w:asciiTheme="majorHAnsi" w:hAnsiTheme="majorHAnsi" w:cs="Times New Roman"/>
          <w:b/>
          <w:bCs/>
          <w:color w:val="002060"/>
          <w:sz w:val="24"/>
          <w:szCs w:val="24"/>
          <w:u w:val="single"/>
        </w:rPr>
      </w:pPr>
    </w:p>
    <w:p w14:paraId="51424856" w14:textId="76DDEFF1" w:rsidR="008A2435" w:rsidRDefault="008A2435" w:rsidP="003979BC">
      <w:pPr>
        <w:spacing w:line="276" w:lineRule="auto"/>
        <w:rPr>
          <w:rFonts w:asciiTheme="majorHAnsi" w:hAnsiTheme="majorHAnsi" w:cs="Times New Roman"/>
          <w:b/>
          <w:bCs/>
          <w:color w:val="002060"/>
          <w:sz w:val="24"/>
          <w:szCs w:val="24"/>
          <w:u w:val="single"/>
        </w:rPr>
      </w:pPr>
    </w:p>
    <w:p w14:paraId="3B4AF58D" w14:textId="77777777" w:rsidR="008A2435" w:rsidRPr="002117BB" w:rsidRDefault="008A2435"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w:t>
      </w:r>
      <w:r w:rsidRPr="002117BB">
        <w:rPr>
          <w:rFonts w:asciiTheme="majorHAnsi" w:hAnsiTheme="majorHAnsi" w:cs="Times New Roman"/>
          <w:sz w:val="24"/>
          <w:szCs w:val="24"/>
        </w:rPr>
        <w:lastRenderedPageBreak/>
        <w:t xml:space="preserve">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0AC1" w14:textId="77777777" w:rsidR="005E6D4D" w:rsidRDefault="005E6D4D" w:rsidP="00D57DBA">
      <w:pPr>
        <w:spacing w:after="0" w:line="240" w:lineRule="auto"/>
      </w:pPr>
      <w:r>
        <w:separator/>
      </w:r>
    </w:p>
  </w:endnote>
  <w:endnote w:type="continuationSeparator" w:id="0">
    <w:p w14:paraId="09B52BA3" w14:textId="77777777" w:rsidR="005E6D4D" w:rsidRDefault="005E6D4D"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C424" w14:textId="77777777" w:rsidR="005E6D4D" w:rsidRDefault="005E6D4D" w:rsidP="00D57DBA">
      <w:pPr>
        <w:spacing w:after="0" w:line="240" w:lineRule="auto"/>
      </w:pPr>
      <w:r>
        <w:separator/>
      </w:r>
    </w:p>
  </w:footnote>
  <w:footnote w:type="continuationSeparator" w:id="0">
    <w:p w14:paraId="2B32C0F1" w14:textId="77777777" w:rsidR="005E6D4D" w:rsidRDefault="005E6D4D"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4"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6"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7"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9"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5"/>
  </w:num>
  <w:num w:numId="8">
    <w:abstractNumId w:val="28"/>
  </w:num>
  <w:num w:numId="9">
    <w:abstractNumId w:val="16"/>
  </w:num>
  <w:num w:numId="10">
    <w:abstractNumId w:val="23"/>
  </w:num>
  <w:num w:numId="11">
    <w:abstractNumId w:val="0"/>
  </w:num>
  <w:num w:numId="12">
    <w:abstractNumId w:val="22"/>
  </w:num>
  <w:num w:numId="13">
    <w:abstractNumId w:val="26"/>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9"/>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4"/>
  </w:num>
  <w:num w:numId="28">
    <w:abstractNumId w:val="27"/>
  </w:num>
  <w:num w:numId="29">
    <w:abstractNumId w:val="8"/>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549CF"/>
    <w:rsid w:val="00067209"/>
    <w:rsid w:val="00077195"/>
    <w:rsid w:val="000849C8"/>
    <w:rsid w:val="0009388A"/>
    <w:rsid w:val="000A2EE5"/>
    <w:rsid w:val="000C2040"/>
    <w:rsid w:val="000D5983"/>
    <w:rsid w:val="000F1FDA"/>
    <w:rsid w:val="00112D20"/>
    <w:rsid w:val="00125D4E"/>
    <w:rsid w:val="001314B4"/>
    <w:rsid w:val="00140936"/>
    <w:rsid w:val="00164A85"/>
    <w:rsid w:val="00170817"/>
    <w:rsid w:val="001758A2"/>
    <w:rsid w:val="001B682D"/>
    <w:rsid w:val="002117BB"/>
    <w:rsid w:val="002208DF"/>
    <w:rsid w:val="002272CA"/>
    <w:rsid w:val="00237536"/>
    <w:rsid w:val="002455DC"/>
    <w:rsid w:val="00246A50"/>
    <w:rsid w:val="00262BB0"/>
    <w:rsid w:val="00276930"/>
    <w:rsid w:val="002A7FFC"/>
    <w:rsid w:val="002D1B0C"/>
    <w:rsid w:val="0032661F"/>
    <w:rsid w:val="003406BF"/>
    <w:rsid w:val="00354F53"/>
    <w:rsid w:val="00363B2F"/>
    <w:rsid w:val="003646A2"/>
    <w:rsid w:val="00372A59"/>
    <w:rsid w:val="003915F1"/>
    <w:rsid w:val="003979BC"/>
    <w:rsid w:val="003A0BB3"/>
    <w:rsid w:val="003A3670"/>
    <w:rsid w:val="003B1957"/>
    <w:rsid w:val="003D364A"/>
    <w:rsid w:val="003E4EDE"/>
    <w:rsid w:val="003F417C"/>
    <w:rsid w:val="003F5FB0"/>
    <w:rsid w:val="00400B4A"/>
    <w:rsid w:val="0041311A"/>
    <w:rsid w:val="00426E28"/>
    <w:rsid w:val="00444705"/>
    <w:rsid w:val="004660DE"/>
    <w:rsid w:val="00473DEB"/>
    <w:rsid w:val="00476AA1"/>
    <w:rsid w:val="00494773"/>
    <w:rsid w:val="004A4D6A"/>
    <w:rsid w:val="004B626D"/>
    <w:rsid w:val="004E07C4"/>
    <w:rsid w:val="004E2150"/>
    <w:rsid w:val="004E7D58"/>
    <w:rsid w:val="004F4EA6"/>
    <w:rsid w:val="00502881"/>
    <w:rsid w:val="00536B75"/>
    <w:rsid w:val="00547C42"/>
    <w:rsid w:val="005838ED"/>
    <w:rsid w:val="00584D73"/>
    <w:rsid w:val="0058796F"/>
    <w:rsid w:val="00597104"/>
    <w:rsid w:val="005977E8"/>
    <w:rsid w:val="00597D62"/>
    <w:rsid w:val="005B5F36"/>
    <w:rsid w:val="005C04DC"/>
    <w:rsid w:val="005C49A8"/>
    <w:rsid w:val="005C567B"/>
    <w:rsid w:val="005E6D4D"/>
    <w:rsid w:val="005F53FD"/>
    <w:rsid w:val="00610AC1"/>
    <w:rsid w:val="00611433"/>
    <w:rsid w:val="00616BA8"/>
    <w:rsid w:val="00634618"/>
    <w:rsid w:val="0069367F"/>
    <w:rsid w:val="006A2D48"/>
    <w:rsid w:val="006C1182"/>
    <w:rsid w:val="006C5B79"/>
    <w:rsid w:val="006D6048"/>
    <w:rsid w:val="006F194A"/>
    <w:rsid w:val="00721255"/>
    <w:rsid w:val="0073163B"/>
    <w:rsid w:val="00735FC4"/>
    <w:rsid w:val="00743A86"/>
    <w:rsid w:val="00764EB1"/>
    <w:rsid w:val="007957EA"/>
    <w:rsid w:val="007A36CD"/>
    <w:rsid w:val="007B35DC"/>
    <w:rsid w:val="007C7B69"/>
    <w:rsid w:val="00801A78"/>
    <w:rsid w:val="00803841"/>
    <w:rsid w:val="00803EB1"/>
    <w:rsid w:val="0081110A"/>
    <w:rsid w:val="0082464D"/>
    <w:rsid w:val="00830756"/>
    <w:rsid w:val="0083290F"/>
    <w:rsid w:val="0086479D"/>
    <w:rsid w:val="00872158"/>
    <w:rsid w:val="0088445F"/>
    <w:rsid w:val="008A138E"/>
    <w:rsid w:val="008A22A6"/>
    <w:rsid w:val="008A2435"/>
    <w:rsid w:val="008B2A9D"/>
    <w:rsid w:val="008B7891"/>
    <w:rsid w:val="008D6FD8"/>
    <w:rsid w:val="008E3AF6"/>
    <w:rsid w:val="008F1838"/>
    <w:rsid w:val="008F58CD"/>
    <w:rsid w:val="00910CE0"/>
    <w:rsid w:val="00913CB2"/>
    <w:rsid w:val="00915044"/>
    <w:rsid w:val="00921AEA"/>
    <w:rsid w:val="009304AE"/>
    <w:rsid w:val="00931C19"/>
    <w:rsid w:val="0093513D"/>
    <w:rsid w:val="00954D70"/>
    <w:rsid w:val="00965DD2"/>
    <w:rsid w:val="009773FF"/>
    <w:rsid w:val="00986E9E"/>
    <w:rsid w:val="00994765"/>
    <w:rsid w:val="00996469"/>
    <w:rsid w:val="00A00DA3"/>
    <w:rsid w:val="00A06287"/>
    <w:rsid w:val="00A24744"/>
    <w:rsid w:val="00A66992"/>
    <w:rsid w:val="00A80F38"/>
    <w:rsid w:val="00AA4E64"/>
    <w:rsid w:val="00AC0513"/>
    <w:rsid w:val="00AC331D"/>
    <w:rsid w:val="00AC6630"/>
    <w:rsid w:val="00AE0CDF"/>
    <w:rsid w:val="00AE1977"/>
    <w:rsid w:val="00AE50DC"/>
    <w:rsid w:val="00B10584"/>
    <w:rsid w:val="00B23389"/>
    <w:rsid w:val="00B233AC"/>
    <w:rsid w:val="00B24C72"/>
    <w:rsid w:val="00B46B5A"/>
    <w:rsid w:val="00B80E3D"/>
    <w:rsid w:val="00B96FF1"/>
    <w:rsid w:val="00B97B53"/>
    <w:rsid w:val="00BC07DE"/>
    <w:rsid w:val="00BD70EE"/>
    <w:rsid w:val="00BE6BFA"/>
    <w:rsid w:val="00BF41BD"/>
    <w:rsid w:val="00C075D6"/>
    <w:rsid w:val="00C20AC4"/>
    <w:rsid w:val="00C26095"/>
    <w:rsid w:val="00C61525"/>
    <w:rsid w:val="00C61AC7"/>
    <w:rsid w:val="00C667D5"/>
    <w:rsid w:val="00C81899"/>
    <w:rsid w:val="00C92C90"/>
    <w:rsid w:val="00CA34AD"/>
    <w:rsid w:val="00CD5C33"/>
    <w:rsid w:val="00CF03EC"/>
    <w:rsid w:val="00CF31FE"/>
    <w:rsid w:val="00CF5FC0"/>
    <w:rsid w:val="00D157C5"/>
    <w:rsid w:val="00D57DBA"/>
    <w:rsid w:val="00D60F92"/>
    <w:rsid w:val="00D7042A"/>
    <w:rsid w:val="00D82A47"/>
    <w:rsid w:val="00D8515C"/>
    <w:rsid w:val="00D943D3"/>
    <w:rsid w:val="00D9538C"/>
    <w:rsid w:val="00DA5CCC"/>
    <w:rsid w:val="00DD6D29"/>
    <w:rsid w:val="00DF032C"/>
    <w:rsid w:val="00DF4DB0"/>
    <w:rsid w:val="00E51B36"/>
    <w:rsid w:val="00E62903"/>
    <w:rsid w:val="00E72508"/>
    <w:rsid w:val="00E87002"/>
    <w:rsid w:val="00E97119"/>
    <w:rsid w:val="00EB0086"/>
    <w:rsid w:val="00EC15FC"/>
    <w:rsid w:val="00EC7D91"/>
    <w:rsid w:val="00F04E8A"/>
    <w:rsid w:val="00F2454F"/>
    <w:rsid w:val="00F2537F"/>
    <w:rsid w:val="00F33360"/>
    <w:rsid w:val="00F41BDB"/>
    <w:rsid w:val="00F66309"/>
    <w:rsid w:val="00F70B70"/>
    <w:rsid w:val="00F71A1E"/>
    <w:rsid w:val="00F72617"/>
    <w:rsid w:val="00F7495C"/>
    <w:rsid w:val="00FA01CF"/>
    <w:rsid w:val="00FA0C23"/>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6417</Words>
  <Characters>38506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20</cp:revision>
  <cp:lastPrinted>2022-03-11T07:39:00Z</cp:lastPrinted>
  <dcterms:created xsi:type="dcterms:W3CDTF">2021-10-25T08:38:00Z</dcterms:created>
  <dcterms:modified xsi:type="dcterms:W3CDTF">2022-04-06T08:51:00Z</dcterms:modified>
</cp:coreProperties>
</file>