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8A" w:rsidRPr="003E6B8A" w:rsidRDefault="003E6B8A" w:rsidP="003E6B8A">
      <w:pPr>
        <w:spacing w:after="0" w:line="240" w:lineRule="auto"/>
        <w:ind w:right="5668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3E6B8A">
        <w:rPr>
          <w:rFonts w:ascii="Arial" w:eastAsia="Times New Roman" w:hAnsi="Arial" w:cs="Arial"/>
          <w:b/>
          <w:sz w:val="20"/>
          <w:szCs w:val="20"/>
          <w:lang w:val="x-none" w:eastAsia="x-none"/>
        </w:rPr>
        <w:t>Numer postępowania:</w:t>
      </w:r>
    </w:p>
    <w:p w:rsidR="003E6B8A" w:rsidRPr="003E6B8A" w:rsidRDefault="003E6B8A" w:rsidP="003E6B8A">
      <w:pPr>
        <w:spacing w:after="0" w:line="240" w:lineRule="auto"/>
        <w:ind w:right="5668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BE4A2E">
        <w:rPr>
          <w:rFonts w:ascii="Arial" w:eastAsia="Times New Roman" w:hAnsi="Arial" w:cs="Arial"/>
          <w:b/>
          <w:sz w:val="20"/>
          <w:szCs w:val="20"/>
          <w:lang w:val="x-none" w:eastAsia="x-none"/>
        </w:rPr>
        <w:t>ZP/</w:t>
      </w:r>
      <w:r w:rsidRPr="00BE4A2E">
        <w:rPr>
          <w:rFonts w:ascii="Arial" w:eastAsia="Times New Roman" w:hAnsi="Arial" w:cs="Arial"/>
          <w:b/>
          <w:sz w:val="20"/>
          <w:szCs w:val="20"/>
          <w:lang w:eastAsia="x-none"/>
        </w:rPr>
        <w:t>p</w:t>
      </w:r>
      <w:r w:rsidRPr="00BE4A2E">
        <w:rPr>
          <w:rFonts w:ascii="Arial" w:eastAsia="Times New Roman" w:hAnsi="Arial" w:cs="Arial"/>
          <w:b/>
          <w:sz w:val="20"/>
          <w:szCs w:val="20"/>
          <w:lang w:val="x-none" w:eastAsia="x-none"/>
        </w:rPr>
        <w:t>/</w:t>
      </w:r>
      <w:r w:rsidR="00BE4A2E" w:rsidRPr="00BE4A2E">
        <w:rPr>
          <w:rFonts w:ascii="Arial" w:eastAsia="Times New Roman" w:hAnsi="Arial" w:cs="Arial"/>
          <w:b/>
          <w:sz w:val="20"/>
          <w:szCs w:val="20"/>
          <w:lang w:eastAsia="x-none"/>
        </w:rPr>
        <w:t>17</w:t>
      </w:r>
      <w:r w:rsidRPr="00BE4A2E">
        <w:rPr>
          <w:rFonts w:ascii="Arial" w:eastAsia="Times New Roman" w:hAnsi="Arial" w:cs="Arial"/>
          <w:b/>
          <w:sz w:val="20"/>
          <w:szCs w:val="20"/>
          <w:lang w:eastAsia="x-none"/>
        </w:rPr>
        <w:t>/2023</w:t>
      </w:r>
    </w:p>
    <w:p w:rsidR="003E6B8A" w:rsidRPr="003E6B8A" w:rsidRDefault="003E6B8A" w:rsidP="003E6B8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B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59485E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3E6B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:rsidR="003E6B8A" w:rsidRPr="003E6B8A" w:rsidRDefault="003E6B8A" w:rsidP="003E6B8A">
      <w:pPr>
        <w:spacing w:after="0" w:line="240" w:lineRule="auto"/>
        <w:ind w:right="67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485E" w:rsidRPr="0059485E" w:rsidRDefault="0059485E" w:rsidP="0059485E">
      <w:pPr>
        <w:spacing w:after="8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Na podstawie art. 13 ust. 1 i 2 oraz art. 14 ust.1 i 2 Rozporządzenia Parlamentu Europejskiego i Rady (UE) 2016/679 z dnia 27 kwietnia 2016 r. w sprawie ochrony osób fizycznych w związku z przetwarzaniem danych osobowych i w sprawie swobodnego przepływu takich danych oraz uchylenia dyrektywy 95/46/WE, zwanego dalej RODO:</w:t>
      </w:r>
    </w:p>
    <w:p w:rsidR="0059485E" w:rsidRPr="0059485E" w:rsidRDefault="0059485E" w:rsidP="0059485E">
      <w:pPr>
        <w:spacing w:after="8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Administratorem przetwarzanych danych osobowych jest minister właściwy ds. rozwoju regionalnego, pełniący funkcję Instytucji Zarządzającej Programem Operacyjnym Infrastruktura i Środowisko 2014- 2020 (PO </w:t>
      </w:r>
      <w:proofErr w:type="spellStart"/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IiŚ</w:t>
      </w:r>
      <w:proofErr w:type="spellEnd"/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2014-2020), z siedzibą przy ul. Wspólnej 2/4, 00-926 Warszawa.</w:t>
      </w:r>
    </w:p>
    <w:p w:rsidR="0059485E" w:rsidRPr="0059485E" w:rsidRDefault="0059485E" w:rsidP="0059485E">
      <w:pPr>
        <w:spacing w:after="8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Minister Zdrowia pełniący funkcję Instytucji Pośredniczącej PO </w:t>
      </w:r>
      <w:proofErr w:type="spellStart"/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IiŚ</w:t>
      </w:r>
      <w:proofErr w:type="spellEnd"/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2014-2020 jest podmiotem przetwarzającym dane osobowe na podstawie porozumienia zawartego z administratorem (tzw. procesorem).</w:t>
      </w:r>
    </w:p>
    <w:p w:rsidR="0059485E" w:rsidRPr="0059485E" w:rsidRDefault="0059485E" w:rsidP="0059485E">
      <w:pPr>
        <w:spacing w:after="8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Dane osobowe przetwarzane będą na potrzeby realizacji PO </w:t>
      </w:r>
      <w:proofErr w:type="spellStart"/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IiŚ</w:t>
      </w:r>
      <w:proofErr w:type="spellEnd"/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2014-2020, w tym w szczególności w celu realizacji projektu w ramach Osi Priorytetowej XI REACT-UE.</w:t>
      </w:r>
    </w:p>
    <w:p w:rsidR="0059485E" w:rsidRPr="0059485E" w:rsidRDefault="0059485E" w:rsidP="0059485E">
      <w:pPr>
        <w:spacing w:after="8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:rsidR="0059485E" w:rsidRPr="0059485E" w:rsidRDefault="0059485E" w:rsidP="0059485E">
      <w:pPr>
        <w:autoSpaceDE w:val="0"/>
        <w:autoSpaceDN w:val="0"/>
        <w:adjustRightInd w:val="0"/>
        <w:spacing w:after="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Przetwarzanie danych osobowych odbywa się w związku:</w:t>
      </w:r>
    </w:p>
    <w:p w:rsidR="0059485E" w:rsidRPr="0059485E" w:rsidRDefault="0059485E" w:rsidP="0059485E">
      <w:pPr>
        <w:numPr>
          <w:ilvl w:val="0"/>
          <w:numId w:val="6"/>
        </w:numPr>
        <w:autoSpaceDE w:val="0"/>
        <w:autoSpaceDN w:val="0"/>
        <w:adjustRightInd w:val="0"/>
        <w:spacing w:after="0" w:line="25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z realizacją ciążącego na administratorze obowiązku prawnego (art. 6 ust. 1 lit. c RODO), wynikającego z następujących przepisów prawa: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rozporządzenia Parlamentu Europejskiego i Rady (UE) 2020/2221 z dnia 23 grudnia 2020 r. zmieniającym rozporządzenie (UE) nr 1303/2013 w odniesieniu do zasobów dodatkowych im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</w:t>
      </w:r>
      <w:bookmarkStart w:id="0" w:name="_GoBack"/>
      <w:bookmarkEnd w:id="0"/>
      <w:r w:rsidRPr="0059485E">
        <w:rPr>
          <w:rFonts w:ascii="Arial" w:eastAsia="Calibri" w:hAnsi="Arial" w:cs="Arial"/>
          <w:color w:val="000000"/>
          <w:sz w:val="20"/>
          <w:szCs w:val="20"/>
        </w:rPr>
        <w:t>owe przepisy dotyczące wymiany informacji między beneficjentami a instytucjami zarządzającymi, certyfikującymi, audytowymi i pośredniczącymi,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 xml:space="preserve">Rozporządzenie Parlamentu Europejskiego i Rady (UE, </w:t>
      </w:r>
      <w:proofErr w:type="spellStart"/>
      <w:r w:rsidRPr="0059485E">
        <w:rPr>
          <w:rFonts w:ascii="Arial" w:eastAsia="Calibri" w:hAnsi="Arial" w:cs="Arial"/>
          <w:color w:val="000000"/>
          <w:sz w:val="20"/>
          <w:szCs w:val="20"/>
        </w:rPr>
        <w:t>Euratom</w:t>
      </w:r>
      <w:proofErr w:type="spellEnd"/>
      <w:r w:rsidRPr="0059485E">
        <w:rPr>
          <w:rFonts w:ascii="Arial" w:eastAsia="Calibri" w:hAnsi="Arial" w:cs="Arial"/>
          <w:color w:val="000000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9485E">
        <w:rPr>
          <w:rFonts w:ascii="Arial" w:eastAsia="Calibri" w:hAnsi="Arial" w:cs="Arial"/>
          <w:color w:val="000000"/>
          <w:sz w:val="20"/>
          <w:szCs w:val="20"/>
        </w:rPr>
        <w:t>Euratom</w:t>
      </w:r>
      <w:proofErr w:type="spellEnd"/>
      <w:r w:rsidRPr="0059485E">
        <w:rPr>
          <w:rFonts w:ascii="Arial" w:eastAsia="Calibri" w:hAnsi="Arial" w:cs="Arial"/>
          <w:color w:val="000000"/>
          <w:sz w:val="20"/>
          <w:szCs w:val="20"/>
        </w:rPr>
        <w:t>) nr 966/2012,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ustawy z dnia 14 czerwca 1960 r. - Kodeks postępowania administracyjnego,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ustawy z dnia 27 sierpnia 2009 r. o finansach publicznych,</w:t>
      </w:r>
    </w:p>
    <w:p w:rsidR="0059485E" w:rsidRPr="0059485E" w:rsidRDefault="0059485E" w:rsidP="0059485E">
      <w:pPr>
        <w:numPr>
          <w:ilvl w:val="0"/>
          <w:numId w:val="6"/>
        </w:numPr>
        <w:autoSpaceDE w:val="0"/>
        <w:autoSpaceDN w:val="0"/>
        <w:adjustRightInd w:val="0"/>
        <w:spacing w:after="0" w:line="25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lastRenderedPageBreak/>
        <w:t>z wykonywaniem przez administratora zadań realizowanych w interesie publicznym lub ze sprawowaniem władzy publicznej powierzonej administratorowi (art. 6 ust. 1 lit. e RODO),</w:t>
      </w:r>
    </w:p>
    <w:p w:rsidR="0059485E" w:rsidRPr="0059485E" w:rsidRDefault="0059485E" w:rsidP="0059485E">
      <w:pPr>
        <w:numPr>
          <w:ilvl w:val="0"/>
          <w:numId w:val="6"/>
        </w:numPr>
        <w:autoSpaceDE w:val="0"/>
        <w:autoSpaceDN w:val="0"/>
        <w:adjustRightInd w:val="0"/>
        <w:spacing w:after="0" w:line="25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z realizacją umowy, gdy osoba, której dane dotyczą, jest jej stroną, a przetwarzanie danych osobowych jest niezbędne do jej zawarcia oraz wykonania (art. 6 ust. 1 lit. b RODO).</w:t>
      </w:r>
    </w:p>
    <w:p w:rsidR="0059485E" w:rsidRPr="0059485E" w:rsidRDefault="0059485E" w:rsidP="0059485E">
      <w:pPr>
        <w:autoSpaceDE w:val="0"/>
        <w:autoSpaceDN w:val="0"/>
        <w:adjustRightInd w:val="0"/>
        <w:spacing w:after="0" w:line="250" w:lineRule="exact"/>
        <w:ind w:left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59485E" w:rsidRPr="0059485E" w:rsidRDefault="0059485E" w:rsidP="0059485E">
      <w:pPr>
        <w:autoSpaceDE w:val="0"/>
        <w:autoSpaceDN w:val="0"/>
        <w:adjustRightInd w:val="0"/>
        <w:spacing w:after="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Minister może przetwarzać różne rodzaje danych, w tym przede wszystkim:</w:t>
      </w:r>
    </w:p>
    <w:p w:rsidR="0059485E" w:rsidRPr="0059485E" w:rsidRDefault="0059485E" w:rsidP="0059485E">
      <w:pPr>
        <w:numPr>
          <w:ilvl w:val="0"/>
          <w:numId w:val="7"/>
        </w:numPr>
        <w:autoSpaceDE w:val="0"/>
        <w:autoSpaceDN w:val="0"/>
        <w:adjustRightInd w:val="0"/>
        <w:spacing w:after="0" w:line="25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dane identyfikacyjne, w tym w szczególności: imię, nazwisko, miejsce zatrudnienia / formę prowadzenia działalności gospodarczej, stanowisko; w niektórych przypadkach także PESEL, NIP, REGON,</w:t>
      </w:r>
    </w:p>
    <w:p w:rsidR="0059485E" w:rsidRPr="0059485E" w:rsidRDefault="0059485E" w:rsidP="0059485E">
      <w:pPr>
        <w:numPr>
          <w:ilvl w:val="0"/>
          <w:numId w:val="7"/>
        </w:numPr>
        <w:autoSpaceDE w:val="0"/>
        <w:autoSpaceDN w:val="0"/>
        <w:adjustRightInd w:val="0"/>
        <w:spacing w:after="0" w:line="25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dane dotyczące zatrudnienia, w tym w szczególności: otrzymywane wynagrodzenie oraz wymiar czasu pracy,</w:t>
      </w:r>
    </w:p>
    <w:p w:rsidR="0059485E" w:rsidRPr="0059485E" w:rsidRDefault="0059485E" w:rsidP="0059485E">
      <w:pPr>
        <w:numPr>
          <w:ilvl w:val="0"/>
          <w:numId w:val="7"/>
        </w:numPr>
        <w:autoSpaceDE w:val="0"/>
        <w:autoSpaceDN w:val="0"/>
        <w:adjustRightInd w:val="0"/>
        <w:spacing w:after="0" w:line="25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dane kontaktowe, w tym w szczególności: adres e-mail, nr telefonu, nr fax, adres do korespondencji,</w:t>
      </w:r>
    </w:p>
    <w:p w:rsidR="0059485E" w:rsidRPr="0059485E" w:rsidRDefault="0059485E" w:rsidP="0059485E">
      <w:pPr>
        <w:numPr>
          <w:ilvl w:val="0"/>
          <w:numId w:val="7"/>
        </w:numPr>
        <w:autoSpaceDE w:val="0"/>
        <w:autoSpaceDN w:val="0"/>
        <w:adjustRightInd w:val="0"/>
        <w:spacing w:after="60" w:line="250" w:lineRule="exact"/>
        <w:ind w:left="35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dane o charakterze finansowym, w tym szczególności: nr rachunku bankowego, kwotę przyznanych środków, informacje dotyczące nieruchomości (nr działki, nr księgi wieczystej, nr przyłącza gazowego),</w:t>
      </w:r>
    </w:p>
    <w:p w:rsidR="0059485E" w:rsidRPr="0059485E" w:rsidRDefault="0059485E" w:rsidP="0059485E">
      <w:pPr>
        <w:autoSpaceDE w:val="0"/>
        <w:autoSpaceDN w:val="0"/>
        <w:adjustRightInd w:val="0"/>
        <w:spacing w:after="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Dane pozyskiwane są bezpośrednio od osób, których one dotyczą, albo od instytucji i podmiotów</w:t>
      </w:r>
    </w:p>
    <w:p w:rsidR="0059485E" w:rsidRPr="0059485E" w:rsidRDefault="0059485E" w:rsidP="0059485E">
      <w:pPr>
        <w:autoSpaceDE w:val="0"/>
        <w:autoSpaceDN w:val="0"/>
        <w:adjustRightInd w:val="0"/>
        <w:spacing w:after="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zaangażowanych w realizację Programu, w tym w szczególności: od wnioskodawców, beneficjentów,</w:t>
      </w:r>
    </w:p>
    <w:p w:rsidR="0059485E" w:rsidRPr="0059485E" w:rsidRDefault="0059485E" w:rsidP="0059485E">
      <w:pPr>
        <w:autoSpaceDE w:val="0"/>
        <w:autoSpaceDN w:val="0"/>
        <w:adjustRightInd w:val="0"/>
        <w:spacing w:after="6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partnerów.</w:t>
      </w:r>
    </w:p>
    <w:p w:rsidR="0059485E" w:rsidRPr="0059485E" w:rsidRDefault="0059485E" w:rsidP="0059485E">
      <w:pPr>
        <w:autoSpaceDE w:val="0"/>
        <w:autoSpaceDN w:val="0"/>
        <w:adjustRightInd w:val="0"/>
        <w:spacing w:after="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Odbiorcami danych osobowych mogą być: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 xml:space="preserve">podmioty, którym Instytucja Zarządzająca PO </w:t>
      </w:r>
      <w:proofErr w:type="spellStart"/>
      <w:r w:rsidRPr="0059485E">
        <w:rPr>
          <w:rFonts w:ascii="Arial" w:eastAsia="Calibri" w:hAnsi="Arial" w:cs="Arial"/>
          <w:color w:val="000000"/>
          <w:sz w:val="20"/>
          <w:szCs w:val="20"/>
        </w:rPr>
        <w:t>IiŚ</w:t>
      </w:r>
      <w:proofErr w:type="spellEnd"/>
      <w:r w:rsidRPr="0059485E">
        <w:rPr>
          <w:rFonts w:ascii="Arial" w:eastAsia="Calibri" w:hAnsi="Arial" w:cs="Arial"/>
          <w:color w:val="000000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59485E">
        <w:rPr>
          <w:rFonts w:ascii="Arial" w:eastAsia="Calibri" w:hAnsi="Arial" w:cs="Arial"/>
          <w:color w:val="000000"/>
          <w:sz w:val="20"/>
          <w:szCs w:val="20"/>
        </w:rPr>
        <w:t>IiŚ</w:t>
      </w:r>
      <w:proofErr w:type="spellEnd"/>
      <w:r w:rsidRPr="0059485E">
        <w:rPr>
          <w:rFonts w:ascii="Arial" w:eastAsia="Calibri" w:hAnsi="Arial" w:cs="Arial"/>
          <w:color w:val="000000"/>
          <w:sz w:val="20"/>
          <w:szCs w:val="20"/>
        </w:rPr>
        <w:t xml:space="preserve"> 2014-2020,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:rsidR="0059485E" w:rsidRPr="0059485E" w:rsidRDefault="0059485E" w:rsidP="0059485E">
      <w:pPr>
        <w:autoSpaceDE w:val="0"/>
        <w:autoSpaceDN w:val="0"/>
        <w:adjustRightInd w:val="0"/>
        <w:spacing w:after="6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IiŚ</w:t>
      </w:r>
      <w:proofErr w:type="spellEnd"/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2014-2020 - z równoczesnym uwzględnieniem przepisów ustawy z dnia 14 lipca 1983 r. o narodowym zasobie archiwalnym i archiwach.</w:t>
      </w:r>
    </w:p>
    <w:p w:rsidR="0059485E" w:rsidRPr="0059485E" w:rsidRDefault="0059485E" w:rsidP="0059485E">
      <w:pPr>
        <w:autoSpaceDE w:val="0"/>
        <w:autoSpaceDN w:val="0"/>
        <w:adjustRightInd w:val="0"/>
        <w:spacing w:after="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Osobie, której dane dotyczą, przysługuje: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prawo dostępu do swoich danych oraz otrzymania ich kopii (art. 15 RODO),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prawo do sprostowania swoich danych (art. 16 RODO),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prawo do usunięcia swoich danych (art. 17 RODO) - jeśli nie zaistniały okoliczności, o których mowa w art. 17 ust. 3 RODO,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prawo do żądania od administratora ograniczenia przetwarzania swoich danych (art. 18 RODO),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prawo do przenoszenia swoich danych (art. 20 RODO) - jeśli przetwarzanie odbywa się na podstawie umowy: w celu jej zawarcia lub realizacji (w myśl art. 6 ust. 1 lit. b RODO), oraz w sposób zautomatyzowany 6,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80" w:line="250" w:lineRule="exact"/>
        <w:ind w:left="4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59485E" w:rsidRPr="0059485E" w:rsidRDefault="0059485E" w:rsidP="0059485E">
      <w:pPr>
        <w:autoSpaceDE w:val="0"/>
        <w:autoSpaceDN w:val="0"/>
        <w:adjustRightInd w:val="0"/>
        <w:spacing w:after="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W przypadku pytań, kontakt z Inspektorem Ochrony Danych Osobowych Ministerstwa Funduszy i Polityki Regionalnej i jest możliwy: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4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lastRenderedPageBreak/>
        <w:t>pod adresem: ul. Wspólna 2/4, 00-926 Warszawa,</w:t>
      </w:r>
    </w:p>
    <w:p w:rsidR="0059485E" w:rsidRPr="0059485E" w:rsidRDefault="0059485E" w:rsidP="0059485E">
      <w:pPr>
        <w:numPr>
          <w:ilvl w:val="0"/>
          <w:numId w:val="5"/>
        </w:numPr>
        <w:autoSpaceDE w:val="0"/>
        <w:autoSpaceDN w:val="0"/>
        <w:adjustRightInd w:val="0"/>
        <w:spacing w:after="60" w:line="250" w:lineRule="exact"/>
        <w:ind w:left="4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sz w:val="20"/>
          <w:szCs w:val="20"/>
        </w:rPr>
        <w:t xml:space="preserve">pod adresem e-mail: </w:t>
      </w:r>
      <w:hyperlink r:id="rId8" w:history="1">
        <w:r w:rsidRPr="0059485E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IOD@mfipr.gov.pl</w:t>
        </w:r>
      </w:hyperlink>
      <w:r w:rsidRPr="0059485E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59485E" w:rsidRPr="0059485E" w:rsidRDefault="0059485E" w:rsidP="0059485E">
      <w:pPr>
        <w:autoSpaceDE w:val="0"/>
        <w:autoSpaceDN w:val="0"/>
        <w:adjustRightInd w:val="0"/>
        <w:spacing w:after="0" w:line="250" w:lineRule="exact"/>
        <w:jc w:val="both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59485E">
        <w:rPr>
          <w:rFonts w:ascii="Arial" w:eastAsia="Calibri" w:hAnsi="Arial" w:cs="Arial"/>
          <w:color w:val="000000"/>
          <w:kern w:val="2"/>
          <w:sz w:val="20"/>
          <w:szCs w:val="20"/>
        </w:rPr>
        <w:t>Dane osobowe nie będą objęte procesem zautomatyzowanego podejmowania decyzji, w tym profilowania.</w:t>
      </w:r>
    </w:p>
    <w:p w:rsidR="001466E2" w:rsidRPr="00F67E0A" w:rsidRDefault="001466E2" w:rsidP="00F67E0A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66E2" w:rsidRPr="00F67E0A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17719"/>
      <w:docPartObj>
        <w:docPartGallery w:val="Page Numbers (Bottom of Page)"/>
        <w:docPartUnique/>
      </w:docPartObj>
    </w:sdtPr>
    <w:sdtEndPr/>
    <w:sdtContent>
      <w:p w:rsidR="003E6B8A" w:rsidRPr="003E6B8A" w:rsidRDefault="003E6B8A" w:rsidP="003E6B8A">
        <w:pPr>
          <w:pStyle w:val="Stopka"/>
          <w:ind w:left="-142"/>
          <w:jc w:val="both"/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</w:pPr>
      </w:p>
      <w:p w:rsidR="00B44B95" w:rsidRPr="00B44B95" w:rsidRDefault="00B44B95" w:rsidP="00B44B95">
        <w:pPr>
          <w:tabs>
            <w:tab w:val="center" w:pos="4536"/>
            <w:tab w:val="right" w:pos="9072"/>
          </w:tabs>
          <w:spacing w:after="0" w:line="240" w:lineRule="auto"/>
          <w:ind w:left="-142"/>
          <w:jc w:val="both"/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</w:pPr>
        <w:r w:rsidRPr="00B44B95"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  <w:t xml:space="preserve">Projekt nr POIS.11.03.00-00-0087/22, pod nazwą </w:t>
        </w:r>
        <w:r w:rsidRPr="00B44B95">
          <w:rPr>
            <w:rFonts w:ascii="Arial" w:eastAsia="Times New Roman" w:hAnsi="Arial" w:cs="Arial"/>
            <w:i/>
            <w:iCs/>
            <w:color w:val="000000"/>
            <w:sz w:val="14"/>
            <w:szCs w:val="14"/>
            <w:lang w:eastAsia="pl-PL"/>
          </w:rPr>
          <w:t xml:space="preserve">„Doposażenie SP ZOZ MSWiA w Poznaniu w celu zniwelowania skutków pandemii COVID-19 </w:t>
        </w:r>
        <w:r w:rsidRPr="00B44B95">
          <w:rPr>
            <w:rFonts w:ascii="Arial" w:eastAsia="Times New Roman" w:hAnsi="Arial" w:cs="Arial"/>
            <w:i/>
            <w:iCs/>
            <w:color w:val="000000"/>
            <w:sz w:val="14"/>
            <w:szCs w:val="14"/>
            <w:lang w:eastAsia="pl-PL"/>
          </w:rPr>
          <w:br/>
          <w:t>i zminimalizowania skutków pandemii innych chorób zakaźnych w przyszłości"</w:t>
        </w:r>
        <w:r w:rsidRPr="00B44B95"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  <w:t>, współfinansowany w ramach Działania 11.3</w:t>
        </w:r>
        <w:r w:rsidRPr="00B44B95">
          <w:rPr>
            <w:rFonts w:ascii="Arial" w:eastAsia="Times New Roman" w:hAnsi="Arial" w:cs="Arial"/>
            <w:i/>
            <w:iCs/>
            <w:color w:val="000000"/>
            <w:sz w:val="14"/>
            <w:szCs w:val="14"/>
            <w:lang w:eastAsia="pl-PL"/>
          </w:rPr>
          <w:t xml:space="preserve"> Wspieranie naprawy </w:t>
        </w:r>
        <w:r w:rsidRPr="00B44B95">
          <w:rPr>
            <w:rFonts w:ascii="Arial" w:eastAsia="Times New Roman" w:hAnsi="Arial" w:cs="Arial"/>
            <w:i/>
            <w:iCs/>
            <w:color w:val="000000"/>
            <w:sz w:val="14"/>
            <w:szCs w:val="14"/>
            <w:lang w:eastAsia="pl-PL"/>
          </w:rPr>
          <w:br/>
          <w:t>i odporności systemu ochrony zdrowia</w:t>
        </w:r>
        <w:r w:rsidRPr="00B44B95"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  <w:t xml:space="preserve"> Oś priorytetowa XI REACT-EU Programu Operacyjnego Infrastruktura i Środowisko 2014-2020</w:t>
        </w:r>
      </w:p>
      <w:p w:rsidR="00B44B95" w:rsidRPr="00B44B95" w:rsidRDefault="00B44B95" w:rsidP="00B44B9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14"/>
            <w:szCs w:val="14"/>
            <w:lang w:eastAsia="pl-PL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508"/>
          <w:gridCol w:w="1554"/>
        </w:tblGrid>
        <w:tr w:rsidR="00B44B95" w:rsidRPr="00B44B95" w:rsidTr="003834E1">
          <w:tc>
            <w:tcPr>
              <w:tcW w:w="7508" w:type="dxa"/>
              <w:vAlign w:val="bottom"/>
            </w:tcPr>
            <w:p w:rsidR="00B44B95" w:rsidRPr="00B44B95" w:rsidRDefault="00B44B95" w:rsidP="00B44B95">
              <w:pPr>
                <w:tabs>
                  <w:tab w:val="center" w:pos="4536"/>
                  <w:tab w:val="right" w:pos="9072"/>
                </w:tabs>
                <w:ind w:left="-120"/>
                <w:rPr>
                  <w:rFonts w:ascii="Arial" w:eastAsia="Calibri" w:hAnsi="Arial" w:cs="Arial"/>
                  <w:sz w:val="14"/>
                  <w:szCs w:val="14"/>
                </w:rPr>
              </w:pPr>
              <w:r w:rsidRPr="00B44B95">
                <w:rPr>
                  <w:rFonts w:ascii="Arial" w:eastAsia="Calibri" w:hAnsi="Arial" w:cs="Arial"/>
                  <w:sz w:val="14"/>
                  <w:szCs w:val="14"/>
                </w:rPr>
                <w:t>Samodzielny Publiczny Zak</w:t>
              </w:r>
              <w:r w:rsidRPr="00B44B95">
                <w:rPr>
                  <w:rFonts w:ascii="Arial" w:eastAsia="Calibri" w:hAnsi="Arial" w:cs="Arial" w:hint="cs"/>
                  <w:sz w:val="14"/>
                  <w:szCs w:val="14"/>
                </w:rPr>
                <w:t>ł</w:t>
              </w:r>
              <w:r w:rsidRPr="00B44B95">
                <w:rPr>
                  <w:rFonts w:ascii="Arial" w:eastAsia="Calibri" w:hAnsi="Arial" w:cs="Arial"/>
                  <w:sz w:val="14"/>
                  <w:szCs w:val="14"/>
                </w:rPr>
                <w:t>ad Opieki Zdrowotnej Ministerstwa Spraw Wewn</w:t>
              </w:r>
              <w:r w:rsidRPr="00B44B95">
                <w:rPr>
                  <w:rFonts w:ascii="Arial" w:eastAsia="Calibri" w:hAnsi="Arial" w:cs="Arial" w:hint="cs"/>
                  <w:sz w:val="14"/>
                  <w:szCs w:val="14"/>
                </w:rPr>
                <w:t>ę</w:t>
              </w:r>
              <w:r w:rsidRPr="00B44B95">
                <w:rPr>
                  <w:rFonts w:ascii="Arial" w:eastAsia="Calibri" w:hAnsi="Arial" w:cs="Arial"/>
                  <w:sz w:val="14"/>
                  <w:szCs w:val="14"/>
                </w:rPr>
                <w:t>trznych i Administracji w Poznaniu</w:t>
              </w:r>
            </w:p>
            <w:p w:rsidR="00B44B95" w:rsidRPr="00B44B95" w:rsidRDefault="00B44B95" w:rsidP="00B44B95">
              <w:pPr>
                <w:tabs>
                  <w:tab w:val="center" w:pos="4536"/>
                  <w:tab w:val="right" w:pos="9072"/>
                </w:tabs>
                <w:ind w:left="-120"/>
                <w:rPr>
                  <w:rFonts w:ascii="Arial" w:eastAsia="Calibri" w:hAnsi="Arial" w:cs="Arial"/>
                  <w:sz w:val="14"/>
                  <w:szCs w:val="14"/>
                </w:rPr>
              </w:pPr>
              <w:r w:rsidRPr="00B44B95">
                <w:rPr>
                  <w:rFonts w:ascii="Arial" w:eastAsia="Calibri" w:hAnsi="Arial" w:cs="Arial"/>
                  <w:sz w:val="14"/>
                  <w:szCs w:val="14"/>
                </w:rPr>
                <w:t>im. prof. Ludwika Bierkowskiego, ul. Dojazd 34, 60-631 Poznań</w:t>
              </w:r>
            </w:p>
          </w:tc>
          <w:tc>
            <w:tcPr>
              <w:tcW w:w="1554" w:type="dxa"/>
              <w:vAlign w:val="bottom"/>
            </w:tcPr>
            <w:p w:rsidR="00B44B95" w:rsidRPr="00B44B95" w:rsidRDefault="00B44B95" w:rsidP="00B44B95">
              <w:pPr>
                <w:tabs>
                  <w:tab w:val="center" w:pos="4536"/>
                  <w:tab w:val="right" w:pos="9072"/>
                </w:tabs>
                <w:ind w:right="-116"/>
                <w:jc w:val="right"/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</w:pPr>
              <w:r w:rsidRPr="00B44B95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t xml:space="preserve">Strona </w:t>
              </w:r>
              <w:r w:rsidRPr="00B44B95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fldChar w:fldCharType="begin"/>
              </w:r>
              <w:r w:rsidRPr="00B44B95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instrText>PAGE   \* MERGEFORMAT</w:instrText>
              </w:r>
              <w:r w:rsidRPr="00B44B95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t>3</w:t>
              </w:r>
              <w:r w:rsidRPr="00B44B95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fldChar w:fldCharType="end"/>
              </w:r>
              <w:r w:rsidRPr="00B44B95">
                <w:rPr>
                  <w:rFonts w:ascii="Arial" w:eastAsia="Times New Roman" w:hAnsi="Arial" w:cs="Arial"/>
                  <w:color w:val="000000"/>
                  <w:sz w:val="14"/>
                  <w:szCs w:val="14"/>
                  <w:lang w:eastAsia="pl-PL"/>
                </w:rPr>
                <w:t xml:space="preserve"> z </w:t>
              </w:r>
              <w:r w:rsidRPr="00B44B95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fldChar w:fldCharType="begin"/>
              </w:r>
              <w:r w:rsidRPr="00B44B95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instrText xml:space="preserve"> NUMPAGES   \* MERGEFORMAT </w:instrText>
              </w:r>
              <w:r w:rsidRPr="00B44B95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t>3</w:t>
              </w:r>
              <w:r w:rsidRPr="00B44B95">
                <w:rPr>
                  <w:rFonts w:ascii="Arial" w:eastAsia="Times New Roman" w:hAnsi="Arial" w:cs="Arial"/>
                  <w:noProof/>
                  <w:color w:val="000000"/>
                  <w:sz w:val="14"/>
                  <w:szCs w:val="14"/>
                  <w:lang w:eastAsia="pl-PL"/>
                </w:rPr>
                <w:fldChar w:fldCharType="end"/>
              </w:r>
            </w:p>
          </w:tc>
        </w:tr>
      </w:tbl>
      <w:p w:rsidR="00EC790C" w:rsidRDefault="00B44B95" w:rsidP="00B44B95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:rsidR="00F53C34" w:rsidRDefault="00F53C34" w:rsidP="00EC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8A" w:rsidRDefault="00B44B95">
    <w:pPr>
      <w:pStyle w:val="Nagwek"/>
    </w:pPr>
    <w:r w:rsidRPr="00B44B95">
      <w:rPr>
        <w:rFonts w:ascii="Lato" w:eastAsia="Calibri" w:hAnsi="Lato" w:cs="Times New Roman"/>
        <w:noProof/>
        <w:kern w:val="2"/>
        <w:sz w:val="20"/>
        <w:szCs w:val="20"/>
        <w:lang w:eastAsia="pl-PL"/>
      </w:rPr>
      <w:drawing>
        <wp:inline distT="0" distB="0" distL="0" distR="0" wp14:anchorId="2311E2ED" wp14:editId="003B5C84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3361CF"/>
    <w:multiLevelType w:val="hybridMultilevel"/>
    <w:tmpl w:val="9876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D7E5C"/>
    <w:multiLevelType w:val="hybridMultilevel"/>
    <w:tmpl w:val="279CFD98"/>
    <w:lvl w:ilvl="0" w:tplc="28605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06A6"/>
    <w:multiLevelType w:val="hybridMultilevel"/>
    <w:tmpl w:val="81669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E6B8A"/>
    <w:rsid w:val="003F1269"/>
    <w:rsid w:val="00410207"/>
    <w:rsid w:val="00463C0B"/>
    <w:rsid w:val="004E0727"/>
    <w:rsid w:val="00537CB2"/>
    <w:rsid w:val="00561A58"/>
    <w:rsid w:val="005646B2"/>
    <w:rsid w:val="00590E43"/>
    <w:rsid w:val="00591F3A"/>
    <w:rsid w:val="0059485E"/>
    <w:rsid w:val="005A6115"/>
    <w:rsid w:val="00612768"/>
    <w:rsid w:val="0062430B"/>
    <w:rsid w:val="00624E42"/>
    <w:rsid w:val="006543D7"/>
    <w:rsid w:val="00665B92"/>
    <w:rsid w:val="007538A1"/>
    <w:rsid w:val="00793458"/>
    <w:rsid w:val="007A6ED6"/>
    <w:rsid w:val="007D4C09"/>
    <w:rsid w:val="00844542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44B95"/>
    <w:rsid w:val="00B71E03"/>
    <w:rsid w:val="00B95FFE"/>
    <w:rsid w:val="00BB44C2"/>
    <w:rsid w:val="00BC661E"/>
    <w:rsid w:val="00BD6D97"/>
    <w:rsid w:val="00BE4A2E"/>
    <w:rsid w:val="00C07262"/>
    <w:rsid w:val="00C07DDD"/>
    <w:rsid w:val="00C246F6"/>
    <w:rsid w:val="00C67121"/>
    <w:rsid w:val="00C8042F"/>
    <w:rsid w:val="00C94954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22A40"/>
    <w:rsid w:val="00E85224"/>
    <w:rsid w:val="00EC790C"/>
    <w:rsid w:val="00ED5F70"/>
    <w:rsid w:val="00F11ACF"/>
    <w:rsid w:val="00F15B87"/>
    <w:rsid w:val="00F15EC2"/>
    <w:rsid w:val="00F27E0F"/>
    <w:rsid w:val="00F53C34"/>
    <w:rsid w:val="00F5736F"/>
    <w:rsid w:val="00F67E0A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28544-11C2-4D4A-A4F4-A506430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E0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44B95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BB40A-0290-43D5-BA27-55A21552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Ewa Filipiak-Kozłowska</cp:lastModifiedBy>
  <cp:revision>48</cp:revision>
  <cp:lastPrinted>2019-11-27T08:51:00Z</cp:lastPrinted>
  <dcterms:created xsi:type="dcterms:W3CDTF">2019-06-07T06:41:00Z</dcterms:created>
  <dcterms:modified xsi:type="dcterms:W3CDTF">2023-05-11T09:29:00Z</dcterms:modified>
</cp:coreProperties>
</file>