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6C" w:rsidRDefault="00E5776C" w:rsidP="00E5776C">
      <w:pPr>
        <w:spacing w:line="360" w:lineRule="auto"/>
        <w:jc w:val="right"/>
        <w:rPr>
          <w:rFonts w:cs="Arial"/>
          <w:b/>
          <w:i/>
          <w:sz w:val="20"/>
          <w:szCs w:val="20"/>
        </w:rPr>
      </w:pPr>
      <w:bookmarkStart w:id="0" w:name="_GoBack"/>
      <w:bookmarkEnd w:id="0"/>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firstRow="1" w:lastRow="0" w:firstColumn="1" w:lastColumn="0" w:noHBand="0" w:noVBand="1"/>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E5776C" w:rsidRPr="00C10F8C" w:rsidRDefault="00E5776C" w:rsidP="009C557F">
      <w:pPr>
        <w:pStyle w:val="Tekstprzypisudolnego"/>
        <w:numPr>
          <w:ilvl w:val="0"/>
          <w:numId w:val="2"/>
        </w:numPr>
        <w:spacing w:after="120" w:line="276" w:lineRule="auto"/>
        <w:rPr>
          <w:color w:val="000000" w:themeColor="text1"/>
          <w:lang w:val="pl-PL"/>
        </w:rPr>
      </w:pPr>
      <w:r w:rsidRPr="00C10F8C">
        <w:rPr>
          <w:color w:val="000000" w:themeColor="text1"/>
          <w:lang w:val="pl-PL"/>
        </w:rPr>
        <w:t xml:space="preserve">wykonywania okresowych przeglądów technicznych zgodnie z zaleceniami producenta, jednak nie rzadziej niż raz na 12 miesięcy. Każdorazowy okresowy przegląd techniczny musi odbyć się w ściśle określonym terminie. Nie wykonanie okresowego przeglądu technicznego w wyznaczonym czasie skutkuje wydłużeniem pełnego zakresu gwarancyjnego o jeden </w:t>
      </w:r>
      <w:r w:rsidR="00AD5546" w:rsidRPr="00C10F8C">
        <w:rPr>
          <w:color w:val="000000" w:themeColor="text1"/>
          <w:lang w:val="pl-PL"/>
        </w:rPr>
        <w:t>miesiąc</w:t>
      </w:r>
      <w:r w:rsidRPr="00C10F8C">
        <w:rPr>
          <w:color w:val="000000" w:themeColor="text1"/>
          <w:lang w:val="pl-PL"/>
        </w:rPr>
        <w:t xml:space="preserve"> za każdy dzień zwłoki</w:t>
      </w:r>
      <w:r w:rsidR="00AD5546" w:rsidRPr="00C10F8C">
        <w:rPr>
          <w:color w:val="000000" w:themeColor="text1"/>
          <w:lang w:val="pl-PL"/>
        </w:rPr>
        <w:t xml:space="preserve"> oraz dodatkowo przysługiwać będzie jedna naprawa, której całkowity koszt będzie po stronie Wykonawcy.</w:t>
      </w:r>
      <w:r w:rsidRPr="00C10F8C">
        <w:rPr>
          <w:color w:val="000000" w:themeColor="text1"/>
          <w:lang w:val="pl-PL"/>
        </w:rPr>
        <w:t xml:space="preserve"> </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przystąpienie do usunięcia awarii w terminie do 1 dnia</w:t>
      </w:r>
      <w:r w:rsidR="00490B93" w:rsidRPr="00C10F8C">
        <w:rPr>
          <w:lang w:val="pl-PL"/>
        </w:rPr>
        <w:t xml:space="preserve"> od momentu</w:t>
      </w:r>
      <w:r w:rsidR="00384FA6" w:rsidRPr="00C10F8C">
        <w:rPr>
          <w:lang w:val="pl-PL"/>
        </w:rPr>
        <w:t xml:space="preserve"> jej</w:t>
      </w:r>
      <w:r w:rsidR="00490B93" w:rsidRPr="00C10F8C">
        <w:rPr>
          <w:lang w:val="pl-PL"/>
        </w:rPr>
        <w:t xml:space="preserve"> zgłoszenia</w:t>
      </w:r>
      <w:r w:rsidRPr="00C10F8C">
        <w:rPr>
          <w:lang w:val="pl-PL"/>
        </w:rPr>
        <w:t xml:space="preserve"> przez Zamawiającego. Za przystąpienie do usunięcia awarii Zamawiający uzna działanie Wykonawcy, które ma doprowadzić do usunięcia </w:t>
      </w:r>
      <w:r w:rsidR="00384FA6" w:rsidRPr="00C10F8C">
        <w:rPr>
          <w:lang w:val="pl-PL"/>
        </w:rPr>
        <w:t>awarii</w:t>
      </w:r>
      <w:r w:rsidRPr="00C10F8C">
        <w:rPr>
          <w:lang w:val="pl-PL"/>
        </w:rPr>
        <w:t xml:space="preserve"> lub rozpoczęcia diagnozy uszkodzenia w drodze telefonicznego wywiadu technicznego, serwisu zdalnego lub wizyty osobistej pracownika działu serwisu Wykonawcy.</w:t>
      </w:r>
      <w:r w:rsidR="00857E43" w:rsidRPr="00C10F8C">
        <w:rPr>
          <w:lang w:val="pl-PL"/>
        </w:rPr>
        <w:t xml:space="preserve"> S</w:t>
      </w:r>
      <w:r w:rsidR="00490B93" w:rsidRPr="00C10F8C">
        <w:rPr>
          <w:lang w:val="pl-PL"/>
        </w:rPr>
        <w:t xml:space="preserve">kuteczna </w:t>
      </w:r>
      <w:r w:rsidRPr="00C10F8C">
        <w:rPr>
          <w:lang w:val="pl-PL"/>
        </w:rPr>
        <w:t xml:space="preserve">naprawa </w:t>
      </w:r>
      <w:r w:rsidR="00490B93" w:rsidRPr="00C10F8C">
        <w:rPr>
          <w:lang w:val="pl-PL"/>
        </w:rPr>
        <w:t>zostanie dokonana w ciągu 3</w:t>
      </w:r>
      <w:r w:rsidR="00384FA6" w:rsidRPr="00C10F8C">
        <w:rPr>
          <w:lang w:val="pl-PL"/>
        </w:rPr>
        <w:t xml:space="preserve"> kolejnych</w:t>
      </w:r>
      <w:r w:rsidR="00490B93" w:rsidRPr="00C10F8C">
        <w:rPr>
          <w:lang w:val="pl-PL"/>
        </w:rPr>
        <w:t xml:space="preserve"> dni roboczych. W przypadku gdy naprawa awarii wymaga sprowadzenia części spoza granic kraju, termin może ulec </w:t>
      </w:r>
      <w:r w:rsidR="00384FA6" w:rsidRPr="00C10F8C">
        <w:rPr>
          <w:lang w:val="pl-PL"/>
        </w:rPr>
        <w:t>wydłużeniu</w:t>
      </w:r>
      <w:r w:rsidR="00490B93" w:rsidRPr="00C10F8C">
        <w:rPr>
          <w:lang w:val="pl-PL"/>
        </w:rPr>
        <w:t>, lecz</w:t>
      </w:r>
      <w:r w:rsidR="00384FA6" w:rsidRPr="00C10F8C">
        <w:rPr>
          <w:lang w:val="pl-PL"/>
        </w:rPr>
        <w:t xml:space="preserve"> nie dłużej</w:t>
      </w:r>
      <w:r w:rsidRPr="00C10F8C">
        <w:rPr>
          <w:lang w:val="pl-PL"/>
        </w:rPr>
        <w:t xml:space="preserve"> niż</w:t>
      </w:r>
      <w:r w:rsidR="00490B93" w:rsidRPr="00C10F8C">
        <w:rPr>
          <w:lang w:val="pl-PL"/>
        </w:rPr>
        <w:t xml:space="preserve"> do</w:t>
      </w:r>
      <w:r w:rsidRPr="00C10F8C">
        <w:rPr>
          <w:lang w:val="pl-PL"/>
        </w:rPr>
        <w:t xml:space="preserve"> 5 dni robocz</w:t>
      </w:r>
      <w:r w:rsidR="00384FA6" w:rsidRPr="00C10F8C">
        <w:rPr>
          <w:lang w:val="pl-PL"/>
        </w:rPr>
        <w:t>ych. W przypadku niemożliwości dochowania terminu naprawy Wykonawca obowiązany jest do dostarczenia sprzętu zastępczego, o nie gorszych parametrach niż będący przedmiotem umowy na czas wykonania skutecznej naprawy.</w:t>
      </w:r>
    </w:p>
    <w:p w:rsidR="00E5776C" w:rsidRPr="00C10F8C" w:rsidRDefault="00E5776C" w:rsidP="009C557F">
      <w:pPr>
        <w:pStyle w:val="Tekstprzypisudolnego"/>
        <w:numPr>
          <w:ilvl w:val="0"/>
          <w:numId w:val="2"/>
        </w:numPr>
        <w:spacing w:after="120" w:line="276" w:lineRule="auto"/>
        <w:rPr>
          <w:lang w:val="pl-PL"/>
        </w:rPr>
      </w:pPr>
      <w:r w:rsidRPr="00C10F8C">
        <w:rPr>
          <w:lang w:val="pl-PL"/>
        </w:rPr>
        <w:t>dostarczenia fabrycznie nowego urządzenia w przypadku wystąpienia trzykrotnie tej samej awarii.</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lastRenderedPageBreak/>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1"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firstRow="1" w:lastRow="0" w:firstColumn="0" w:lastColumn="0" w:noHBand="1" w:noVBand="1"/>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2"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2"/>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Zgłoszenie wyrobu lub powiadomienie Prezesa Urzędu RPLWMiPB</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3" w:name="dnn_ctr491_ViewAct_lblTitle"/>
            <w:bookmarkEnd w:id="3"/>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4"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4"/>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Obszar badania pacjenta bez konieczności przekładania/przesuwania go na stole, wzdłuż osi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sterowanie ruchami statywu z poziomu detektora. Pulpit sterowania ruchami statywu z poziomu detektora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300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mmAl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Możliwość sterowania ruchami wzdłużnym i poprzecznym stołu pacjenta z poziomu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Możliwość sterowanie ruchami stołu z poziomu detektora. Pulpit sterowania ruchami stołu z poziomu detektora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2 – ogniskowa (podać)</w:t>
            </w:r>
          </w:p>
        </w:tc>
        <w:tc>
          <w:tcPr>
            <w:tcW w:w="1559" w:type="dxa"/>
            <w:vAlign w:val="center"/>
          </w:tcPr>
          <w:p w:rsidR="00305BE9" w:rsidRPr="00305BE9" w:rsidRDefault="00305BE9"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00305BE9" w:rsidRPr="00305BE9">
              <w:rPr>
                <w:rFonts w:ascii="Times New Roman" w:hAnsi="Times New Roman"/>
                <w:sz w:val="20"/>
                <w:szCs w:val="20"/>
              </w:rPr>
              <w:t>, min 100 [kW]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1 [mm]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0,6 [mm]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anody [kHU]</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3000 [kHU]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kołpaka [kHU]</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3000 [kHU]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 prąd anody przy prześwietleniu pulsacyjnym [mA]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140 [mA]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odpowiednik 0,3 mm Cu (podać)</w:t>
            </w:r>
          </w:p>
        </w:tc>
        <w:tc>
          <w:tcPr>
            <w:tcW w:w="1559" w:type="dxa"/>
            <w:shd w:val="clear" w:color="auto" w:fill="auto"/>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Płaski panel cyfrowy o wymiarach min. 30 x 40 [cm], z polem obrazowania min. 28 x 38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Wielkość pixela [μm]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max. 200 [μm],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4, podać</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xml:space="preserve">Monitor główny o przekątnej ekranu min. </w:t>
            </w:r>
            <w:r w:rsidRPr="00E81073">
              <w:rPr>
                <w:rFonts w:ascii="Times New Roman" w:hAnsi="Times New Roman"/>
                <w:strike/>
                <w:sz w:val="20"/>
                <w:szCs w:val="20"/>
              </w:rPr>
              <w:t>50"</w:t>
            </w:r>
            <w:r w:rsidR="00E81073">
              <w:rPr>
                <w:rFonts w:ascii="Times New Roman" w:hAnsi="Times New Roman"/>
                <w:sz w:val="20"/>
                <w:szCs w:val="20"/>
              </w:rPr>
              <w:t xml:space="preserve"> </w:t>
            </w:r>
            <w:r w:rsidR="00E81073" w:rsidRPr="00E81073">
              <w:rPr>
                <w:rFonts w:ascii="Times New Roman" w:hAnsi="Times New Roman"/>
                <w:color w:val="FF0000"/>
                <w:sz w:val="20"/>
                <w:szCs w:val="20"/>
              </w:rPr>
              <w:t>57"</w:t>
            </w:r>
            <w:r w:rsidRPr="00305BE9">
              <w:rPr>
                <w:rFonts w:ascii="Times New Roman" w:hAnsi="Times New Roman"/>
                <w:sz w:val="20"/>
                <w:szCs w:val="20"/>
              </w:rPr>
              <w:t>, chroniony przed uszkodzeniami mechanicznymi dodatkową szybą ze szkła hartowanego, z zawieszeniem sufitowym z możliwością swobodnego pozycjonowania monitora po obu stronach stołu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00305BE9" w:rsidRPr="00305BE9">
              <w:rPr>
                <w:rFonts w:ascii="Times New Roman" w:eastAsia="Times New Roman" w:hAnsi="Times New Roman"/>
                <w:sz w:val="20"/>
                <w:szCs w:val="20"/>
              </w:rPr>
              <w:t>, podać wielkość przekątnej</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05BE9" w:rsidRPr="00305BE9" w:rsidRDefault="00305BE9"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sidR="009D1BBB">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05BE9" w:rsidRPr="00305BE9" w:rsidRDefault="009D1BBB"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05BE9" w:rsidRPr="00305BE9" w:rsidRDefault="009D1BBB"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00305BE9" w:rsidRPr="00305BE9">
              <w:rPr>
                <w:rFonts w:ascii="Times New Roman" w:eastAsia="Tahoma" w:hAnsi="Times New Roman"/>
                <w:sz w:val="20"/>
                <w:szCs w:val="20"/>
              </w:rPr>
              <w:t>/ 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liczbę</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liczbę</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450 Cd/m2,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min. </w:t>
            </w:r>
            <w:r w:rsidR="00305BE9" w:rsidRPr="00305BE9">
              <w:rPr>
                <w:rFonts w:ascii="Times New Roman" w:eastAsia="Tahoma" w:hAnsi="Times New Roman"/>
                <w:sz w:val="20"/>
                <w:szCs w:val="20"/>
              </w:rPr>
              <w:t>1:2000,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Monitor obrazowy typu "flat" (TFT/LCD) w sterowni z możliwością wyświetlania obrazów w czasie rzeczywistym o przekątnej min. 27" lub rozwiązanie alternatywne z dwoma monitorami o przekątnych min. 19", spełniające wymóg.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00305BE9" w:rsidRPr="00305BE9">
              <w:rPr>
                <w:rFonts w:ascii="Times New Roman" w:hAnsi="Times New Roman"/>
                <w:color w:val="000000"/>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nazwę oferowanego rozwiązania,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05BE9" w:rsidRPr="00305BE9" w:rsidRDefault="009D1BBB" w:rsidP="00D671FF">
            <w:pPr>
              <w:spacing w:after="0"/>
              <w:ind w:left="13"/>
              <w:jc w:val="center"/>
              <w:rPr>
                <w:rFonts w:ascii="Times New Roman" w:hAnsi="Times New Roman"/>
                <w:sz w:val="20"/>
                <w:szCs w:val="20"/>
              </w:rPr>
            </w:pPr>
            <w:r>
              <w:rPr>
                <w:rFonts w:ascii="Times New Roman" w:hAnsi="Times New Roman"/>
                <w:sz w:val="20"/>
                <w:szCs w:val="20"/>
              </w:rPr>
              <w:t>Tak</w:t>
            </w:r>
            <w:r w:rsidR="00D671FF" w:rsidRPr="009C557F">
              <w:rPr>
                <w:rFonts w:ascii="Times New Roman" w:hAnsi="Times New Roman"/>
                <w:sz w:val="20"/>
                <w:szCs w:val="20"/>
              </w:rPr>
              <w:t xml:space="preserve"> </w:t>
            </w:r>
            <w:r w:rsidR="00305BE9" w:rsidRPr="00305BE9">
              <w:rPr>
                <w:rFonts w:ascii="Times New Roman" w:hAnsi="Times New Roman"/>
                <w:sz w:val="20"/>
                <w:szCs w:val="20"/>
              </w:rPr>
              <w:t>podać,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D671FF"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05BE9" w:rsidRPr="00305BE9" w:rsidRDefault="009D1BBB"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podać wartości zakresu</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wymagana wartość min. 12 [bit], podać</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Zoom w postprocessingu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Zoom dla fluoroskopii w czasie rzeczywistym (nie w postprocessingu) tj. powiększenie wybranego obszaru  dla bieżącego FOV - bez zwiększenia dawki przy powiększeniach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Roadmapping 2D i 3D lub funkcjonalność ekwiwalentna umożliwiająca prowadzenie cewnika na masce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sidR="009D1BBB">
              <w:rPr>
                <w:rFonts w:ascii="Times New Roman" w:hAnsi="Times New Roman"/>
                <w:sz w:val="20"/>
                <w:szCs w:val="20"/>
              </w:rPr>
              <w:t>Tak</w:t>
            </w:r>
            <w:r w:rsidRPr="00305BE9">
              <w:rPr>
                <w:rFonts w:ascii="Times New Roman" w:hAnsi="Times New Roman"/>
                <w:sz w:val="20"/>
                <w:szCs w:val="20"/>
              </w:rPr>
              <w:t xml:space="preserve">ie możliwości jak: analiza oraz pomiary, kalibracje, wybór scen i kopiowanie obrazów na monitor referencyjny podczas trwania fluoroskopii oraz akwizycji. Możliwość korzystania z tej funkcjonalności na systemie cyfrowym angiografu lub stacji </w:t>
            </w:r>
            <w:r w:rsidR="004C2006" w:rsidRPr="00305BE9">
              <w:rPr>
                <w:rFonts w:ascii="Times New Roman" w:hAnsi="Times New Roman"/>
                <w:sz w:val="20"/>
                <w:szCs w:val="20"/>
              </w:rPr>
              <w:t>postprocessingowej</w:t>
            </w:r>
            <w:r w:rsidRPr="00305BE9">
              <w:rPr>
                <w:rFonts w:ascii="Times New Roman" w:hAnsi="Times New Roman"/>
                <w:sz w:val="20"/>
                <w:szCs w:val="20"/>
              </w:rPr>
              <w: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podać nazwę oferowanej opcji,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Algorytm usuwania artefaktów oddechowych na obrazach 3D uzyskanych w wyniku rekonstrukcji wysokokontrastowej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00305BE9" w:rsidRPr="00305BE9">
              <w:rPr>
                <w:rFonts w:ascii="Times New Roman" w:eastAsia="Times New Roman" w:hAnsi="Times New Roman"/>
                <w:sz w:val="20"/>
                <w:szCs w:val="20"/>
                <w:lang w:eastAsia="pl-PL"/>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40"/>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05BE9" w:rsidRPr="00305BE9" w:rsidRDefault="00305BE9"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 xml:space="preserve">Stacja </w:t>
            </w:r>
            <w:r w:rsidR="004C2006" w:rsidRPr="00305BE9">
              <w:rPr>
                <w:rFonts w:ascii="Times New Roman" w:hAnsi="Times New Roman"/>
                <w:b/>
                <w:bCs/>
                <w:sz w:val="20"/>
                <w:szCs w:val="20"/>
              </w:rPr>
              <w:t>postprocessingowej</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Monitor stacji </w:t>
            </w:r>
            <w:r w:rsidR="004C2006" w:rsidRPr="00305BE9">
              <w:rPr>
                <w:rFonts w:ascii="Times New Roman" w:hAnsi="Times New Roman"/>
                <w:sz w:val="20"/>
                <w:szCs w:val="20"/>
              </w:rPr>
              <w:t>postprocessingowej</w:t>
            </w:r>
            <w:r w:rsidRPr="00305BE9">
              <w:rPr>
                <w:rFonts w:ascii="Times New Roman" w:hAnsi="Times New Roman"/>
                <w:sz w:val="20"/>
                <w:szCs w:val="20"/>
              </w:rPr>
              <w:t xml:space="preserve"> min. 19” TFT/LCD kolorowy, zlokalizowany w sterowni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DICOM 3.0:</w:t>
            </w:r>
          </w:p>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sidR="009D1BBB">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umożliwiające dynamiczne przewidywanie perspektywicznego rozpływu cytostatyku wspierające procedury chemoembolizacji struktur naczyniowych oferujące automatyczną identyfikację naczyń zasilających obszar objęty nowotworem. Wykorzystanie </w:t>
            </w:r>
            <w:r w:rsidR="009D1BBB">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Specjalistyczne oprogramowanie umożliwiające dynamiczne przewidywanie perspektywicznego rozpływu cytostatyku wspomagające wykonywanie zabiegów embolizacji struktur naczyniowych.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jc w:val="left"/>
              <w:rPr>
                <w:rFonts w:ascii="Times New Roman" w:hAnsi="Times New Roman"/>
                <w:sz w:val="20"/>
                <w:szCs w:val="20"/>
              </w:rPr>
            </w:pPr>
            <w:r w:rsidRPr="00305BE9">
              <w:rPr>
                <w:rFonts w:ascii="Times New Roman" w:hAnsi="Times New Roman"/>
                <w:sz w:val="20"/>
                <w:szCs w:val="20"/>
              </w:rPr>
              <w:t>Oprogramowanie umożliwiające projektowanie modeli struktur anatomicznych litych i z wydrążonym wnętrzem wraz z generowaniem pliku końcowego - min. w formatach: VRML, 3MF, OBJ i STL - do wydruków modeli na drukarkach 3D lub dodatkowe niezależne oprogramowanie dedykowane do zastosowań medycznych wraz ze stacja roboczą umożliwiające tworzenie modeli 3D z plików DICOM pozyskanych na angiografie, TK, MRI itp. tworzące pliki min. w formatach VRML, 3MF, OBJ i STL do wydruków na drukarkach 3D</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510C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14850" w:type="dxa"/>
            <w:gridSpan w:val="6"/>
            <w:shd w:val="clear" w:color="auto" w:fill="D9D9D9" w:themeFill="background1" w:themeFillShade="D9"/>
            <w:vAlign w:val="center"/>
          </w:tcPr>
          <w:p w:rsidR="0062727C" w:rsidRPr="009C557F" w:rsidRDefault="0062727C"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9D6DE9" w:rsidRPr="009C557F" w:rsidRDefault="009D6DE9"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9D6DE9"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D6DE9" w:rsidRPr="009C557F" w:rsidTr="009C557F">
        <w:trPr>
          <w:cantSplit/>
          <w:trHeight w:val="397"/>
        </w:trPr>
        <w:tc>
          <w:tcPr>
            <w:tcW w:w="562" w:type="dxa"/>
            <w:vAlign w:val="center"/>
          </w:tcPr>
          <w:p w:rsidR="009D6DE9" w:rsidRPr="009C557F" w:rsidRDefault="009D6DE9"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9D6DE9" w:rsidRPr="009C557F" w:rsidRDefault="007334C4" w:rsidP="0062727C">
            <w:pPr>
              <w:jc w:val="left"/>
              <w:rPr>
                <w:rFonts w:ascii="Times New Roman" w:hAnsi="Times New Roman"/>
                <w:sz w:val="20"/>
                <w:szCs w:val="20"/>
              </w:rPr>
            </w:pPr>
            <w:r w:rsidRPr="009C557F">
              <w:rPr>
                <w:rFonts w:ascii="Times New Roman" w:hAnsi="Times New Roman"/>
                <w:sz w:val="20"/>
                <w:szCs w:val="20"/>
              </w:rPr>
              <w:t>Kolumna anestezjologiczna:</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7334C4" w:rsidRPr="009C557F" w:rsidRDefault="007334C4"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9D6DE9"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9D6DE9" w:rsidRPr="009C557F" w:rsidRDefault="009D6DE9" w:rsidP="0062727C">
            <w:pPr>
              <w:spacing w:after="0"/>
              <w:ind w:left="13"/>
              <w:rPr>
                <w:rFonts w:ascii="Times New Roman" w:hAnsi="Times New Roman"/>
                <w:sz w:val="20"/>
                <w:szCs w:val="20"/>
              </w:rPr>
            </w:pPr>
          </w:p>
        </w:tc>
        <w:tc>
          <w:tcPr>
            <w:tcW w:w="1134" w:type="dxa"/>
            <w:vAlign w:val="center"/>
          </w:tcPr>
          <w:p w:rsidR="009D6DE9" w:rsidRPr="009C557F" w:rsidRDefault="009D6DE9" w:rsidP="0062727C">
            <w:pPr>
              <w:spacing w:after="0"/>
              <w:ind w:left="13"/>
              <w:jc w:val="center"/>
              <w:rPr>
                <w:rFonts w:ascii="Times New Roman" w:hAnsi="Times New Roman"/>
                <w:sz w:val="20"/>
                <w:szCs w:val="20"/>
              </w:rPr>
            </w:pPr>
          </w:p>
        </w:tc>
        <w:tc>
          <w:tcPr>
            <w:tcW w:w="2800" w:type="dxa"/>
            <w:vAlign w:val="center"/>
          </w:tcPr>
          <w:p w:rsidR="009D6DE9"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A75E95" w:rsidRPr="009C557F" w:rsidRDefault="00A75E95"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A75E95" w:rsidRPr="009C557F" w:rsidRDefault="00A75E95"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A75E95" w:rsidRPr="009C557F" w:rsidRDefault="00A75E95"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A75E95"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7334C4" w:rsidRPr="009C557F" w:rsidRDefault="00A75E95"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CB317A" w:rsidRPr="009C557F" w:rsidRDefault="00CB317A"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A75E95"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A75E95"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xml:space="preserve">. Ponadto wewnątrz głowicy min. 2 schowki na </w:t>
            </w:r>
            <w:r w:rsidR="00CB317A" w:rsidRPr="009C557F">
              <w:rPr>
                <w:rFonts w:ascii="Times New Roman" w:hAnsi="Times New Roman"/>
                <w:sz w:val="20"/>
                <w:szCs w:val="20"/>
              </w:rPr>
              <w:t>różnego rodzaju oprzyrządowanie i materiały eksploatacyjne.</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Default="00CB317A"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p w:rsidR="00554F5D" w:rsidRPr="00554F5D" w:rsidRDefault="00554F5D" w:rsidP="0062727C">
            <w:pPr>
              <w:jc w:val="left"/>
              <w:rPr>
                <w:rFonts w:ascii="Times New Roman" w:hAnsi="Times New Roman"/>
                <w:b/>
                <w:color w:val="FF0000"/>
                <w:sz w:val="20"/>
                <w:szCs w:val="20"/>
              </w:rPr>
            </w:pPr>
            <w:r w:rsidRPr="00554F5D">
              <w:rPr>
                <w:rFonts w:ascii="Times New Roman" w:hAnsi="Times New Roman"/>
                <w:b/>
                <w:color w:val="FF0000"/>
                <w:sz w:val="20"/>
                <w:szCs w:val="20"/>
              </w:rPr>
              <w:t>Co najmniej 2 szyny montażowe</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podać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7334C4" w:rsidRPr="009C557F" w:rsidTr="009C557F">
        <w:trPr>
          <w:cantSplit/>
          <w:trHeight w:val="397"/>
        </w:trPr>
        <w:tc>
          <w:tcPr>
            <w:tcW w:w="562" w:type="dxa"/>
            <w:vAlign w:val="center"/>
          </w:tcPr>
          <w:p w:rsidR="007334C4" w:rsidRPr="009C557F" w:rsidRDefault="007334C4"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CB317A" w:rsidRPr="00305BE9" w:rsidRDefault="00CB317A"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7334C4" w:rsidRPr="009C557F" w:rsidRDefault="00CB317A"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7334C4"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CB317A" w:rsidRPr="009C557F">
              <w:rPr>
                <w:rFonts w:ascii="Times New Roman" w:hAnsi="Times New Roman"/>
                <w:sz w:val="20"/>
                <w:szCs w:val="20"/>
              </w:rPr>
              <w:t>, opisać</w:t>
            </w:r>
          </w:p>
        </w:tc>
        <w:tc>
          <w:tcPr>
            <w:tcW w:w="1559" w:type="dxa"/>
            <w:shd w:val="clear" w:color="auto" w:fill="auto"/>
            <w:vAlign w:val="center"/>
          </w:tcPr>
          <w:p w:rsidR="007334C4" w:rsidRPr="009C557F" w:rsidRDefault="007334C4" w:rsidP="0062727C">
            <w:pPr>
              <w:spacing w:after="0"/>
              <w:ind w:left="13"/>
              <w:rPr>
                <w:rFonts w:ascii="Times New Roman" w:hAnsi="Times New Roman"/>
                <w:sz w:val="20"/>
                <w:szCs w:val="20"/>
              </w:rPr>
            </w:pPr>
          </w:p>
        </w:tc>
        <w:tc>
          <w:tcPr>
            <w:tcW w:w="1134" w:type="dxa"/>
            <w:vAlign w:val="center"/>
          </w:tcPr>
          <w:p w:rsidR="007334C4" w:rsidRPr="009C557F" w:rsidRDefault="007334C4" w:rsidP="0062727C">
            <w:pPr>
              <w:spacing w:after="0"/>
              <w:ind w:left="13"/>
              <w:jc w:val="center"/>
              <w:rPr>
                <w:rFonts w:ascii="Times New Roman" w:hAnsi="Times New Roman"/>
                <w:sz w:val="20"/>
                <w:szCs w:val="20"/>
              </w:rPr>
            </w:pPr>
          </w:p>
        </w:tc>
        <w:tc>
          <w:tcPr>
            <w:tcW w:w="2800" w:type="dxa"/>
            <w:vAlign w:val="center"/>
          </w:tcPr>
          <w:p w:rsidR="007334C4"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562" w:type="dxa"/>
            <w:vAlign w:val="center"/>
          </w:tcPr>
          <w:p w:rsidR="0062727C" w:rsidRPr="009C557F" w:rsidRDefault="0062727C"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62727C" w:rsidRPr="009C557F" w:rsidRDefault="0062727C"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62727C"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62727C" w:rsidRPr="009C557F" w:rsidRDefault="0062727C" w:rsidP="0062727C">
            <w:pPr>
              <w:spacing w:after="0"/>
              <w:ind w:left="13"/>
              <w:rPr>
                <w:rFonts w:ascii="Times New Roman" w:hAnsi="Times New Roman"/>
                <w:sz w:val="20"/>
                <w:szCs w:val="20"/>
              </w:rPr>
            </w:pPr>
          </w:p>
        </w:tc>
        <w:tc>
          <w:tcPr>
            <w:tcW w:w="1134" w:type="dxa"/>
            <w:vAlign w:val="center"/>
          </w:tcPr>
          <w:p w:rsidR="0062727C" w:rsidRPr="009C557F" w:rsidRDefault="0062727C" w:rsidP="0062727C">
            <w:pPr>
              <w:spacing w:after="0"/>
              <w:ind w:left="13"/>
              <w:jc w:val="center"/>
              <w:rPr>
                <w:rFonts w:ascii="Times New Roman" w:hAnsi="Times New Roman"/>
                <w:sz w:val="20"/>
                <w:szCs w:val="20"/>
              </w:rPr>
            </w:pPr>
          </w:p>
        </w:tc>
        <w:tc>
          <w:tcPr>
            <w:tcW w:w="2800" w:type="dxa"/>
            <w:vAlign w:val="center"/>
          </w:tcPr>
          <w:p w:rsidR="0062727C"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9C557F" w:rsidTr="009C557F">
        <w:trPr>
          <w:cantSplit/>
          <w:trHeight w:val="397"/>
        </w:trPr>
        <w:tc>
          <w:tcPr>
            <w:tcW w:w="562" w:type="dxa"/>
            <w:vAlign w:val="center"/>
          </w:tcPr>
          <w:p w:rsidR="0062727C" w:rsidRPr="009C557F" w:rsidRDefault="0062727C"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62727C" w:rsidRDefault="00CB317A" w:rsidP="00CB317A">
            <w:pPr>
              <w:rPr>
                <w:rFonts w:ascii="Times New Roman" w:hAnsi="Times New Roman"/>
                <w:sz w:val="20"/>
                <w:szCs w:val="20"/>
              </w:rPr>
            </w:pPr>
            <w:r w:rsidRPr="00305BE9">
              <w:rPr>
                <w:rFonts w:ascii="Times New Roman" w:hAnsi="Times New Roman"/>
                <w:sz w:val="20"/>
                <w:szCs w:val="20"/>
              </w:rPr>
              <w:t>Montaż kolumny i podłączenie do  mediów w cenie oferty</w:t>
            </w:r>
            <w:r w:rsidRPr="009C557F">
              <w:rPr>
                <w:rFonts w:ascii="Times New Roman" w:hAnsi="Times New Roman"/>
                <w:sz w:val="20"/>
                <w:szCs w:val="20"/>
              </w:rPr>
              <w:t>.</w:t>
            </w:r>
          </w:p>
          <w:p w:rsidR="00FD6AB7" w:rsidRPr="00FD6AB7" w:rsidRDefault="00FD6AB7" w:rsidP="00CB317A">
            <w:pPr>
              <w:rPr>
                <w:rFonts w:ascii="Times New Roman" w:hAnsi="Times New Roman"/>
                <w:b/>
                <w:color w:val="FF0000"/>
                <w:sz w:val="20"/>
                <w:szCs w:val="20"/>
              </w:rPr>
            </w:pPr>
            <w:r w:rsidRPr="00FD6AB7">
              <w:rPr>
                <w:rFonts w:ascii="Times New Roman" w:hAnsi="Times New Roman"/>
                <w:b/>
                <w:color w:val="FF0000"/>
                <w:sz w:val="20"/>
                <w:szCs w:val="20"/>
              </w:rPr>
              <w:t>Podłączenie do mediów na zasadzie szybko złączek</w:t>
            </w:r>
          </w:p>
        </w:tc>
        <w:tc>
          <w:tcPr>
            <w:tcW w:w="2416" w:type="dxa"/>
            <w:shd w:val="clear" w:color="auto" w:fill="auto"/>
            <w:vAlign w:val="center"/>
          </w:tcPr>
          <w:p w:rsidR="0062727C" w:rsidRPr="009C557F" w:rsidRDefault="009D1BBB"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62727C" w:rsidRPr="009C557F" w:rsidRDefault="0062727C" w:rsidP="0062727C">
            <w:pPr>
              <w:spacing w:after="0"/>
              <w:ind w:left="13"/>
              <w:rPr>
                <w:rFonts w:ascii="Times New Roman" w:hAnsi="Times New Roman"/>
                <w:sz w:val="20"/>
                <w:szCs w:val="20"/>
              </w:rPr>
            </w:pPr>
          </w:p>
        </w:tc>
        <w:tc>
          <w:tcPr>
            <w:tcW w:w="1134" w:type="dxa"/>
            <w:vAlign w:val="center"/>
          </w:tcPr>
          <w:p w:rsidR="0062727C" w:rsidRPr="009C557F" w:rsidRDefault="0062727C" w:rsidP="0062727C">
            <w:pPr>
              <w:spacing w:after="0"/>
              <w:ind w:left="13"/>
              <w:jc w:val="center"/>
              <w:rPr>
                <w:rFonts w:ascii="Times New Roman" w:hAnsi="Times New Roman"/>
                <w:sz w:val="20"/>
                <w:szCs w:val="20"/>
              </w:rPr>
            </w:pPr>
          </w:p>
        </w:tc>
        <w:tc>
          <w:tcPr>
            <w:tcW w:w="2800" w:type="dxa"/>
            <w:vAlign w:val="center"/>
          </w:tcPr>
          <w:p w:rsidR="0062727C" w:rsidRPr="009C557F" w:rsidRDefault="003510C9"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62727C" w:rsidRPr="00305BE9" w:rsidTr="009C557F">
        <w:trPr>
          <w:cantSplit/>
          <w:trHeight w:val="397"/>
        </w:trPr>
        <w:tc>
          <w:tcPr>
            <w:tcW w:w="14850" w:type="dxa"/>
            <w:gridSpan w:val="6"/>
            <w:shd w:val="clear" w:color="auto" w:fill="D9D9D9" w:themeFill="background1" w:themeFillShade="D9"/>
            <w:vAlign w:val="center"/>
          </w:tcPr>
          <w:p w:rsidR="0062727C" w:rsidRPr="00305BE9" w:rsidRDefault="0062727C"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2 lampy zabiegowe sufitowe, na osobnych ramionach, w technologii LED</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wymagana wartość dla każdej min. 50 000 [lux],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xml:space="preserve">, podać typ/ model, producenta </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62727C" w:rsidRPr="00305BE9" w:rsidRDefault="0062727C"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sidR="004C2006">
              <w:rPr>
                <w:rFonts w:ascii="Times New Roman" w:hAnsi="Times New Roman"/>
                <w:sz w:val="20"/>
                <w:szCs w:val="20"/>
              </w:rPr>
              <w:t>.</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62727C" w:rsidP="0062727C">
            <w:pPr>
              <w:jc w:val="left"/>
              <w:rPr>
                <w:rFonts w:ascii="Times New Roman" w:hAnsi="Times New Roman"/>
                <w:sz w:val="20"/>
                <w:szCs w:val="20"/>
              </w:rPr>
            </w:pPr>
            <w:r w:rsidRPr="00305BE9">
              <w:rPr>
                <w:rFonts w:ascii="Times New Roman" w:hAnsi="Times New Roman"/>
                <w:sz w:val="20"/>
                <w:szCs w:val="20"/>
              </w:rPr>
              <w:t>Stacja diagnostyczna  uniwersalna typu ALL IN ONE z monitorem o przekątnej min. 27” wraz z oprogramowaniem diagnostycznym umożliwiającym opisywanie różnych modalności CT,MR, RTG, Angio, z możliwością robienia fuzji obrazów oraz  z oprogramowaniem wspomagającym diagnostykę udarową, trombektomię, i guzów mózgu w oparciu o badanie perfuzyjne z min. posiadanego tomografu komputerowego.</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62727C"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092205">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27C" w:rsidRPr="00305BE9" w:rsidRDefault="00987CD8"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004C2006" w:rsidRPr="00305BE9">
              <w:rPr>
                <w:rFonts w:ascii="Times New Roman" w:hAnsi="Times New Roman"/>
                <w:sz w:val="20"/>
                <w:szCs w:val="20"/>
              </w:rPr>
              <w:t>, podać typ/ model, producenta</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62727C"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9C557F" w:rsidRPr="00305BE9" w:rsidTr="009C557F">
        <w:trPr>
          <w:cantSplit/>
          <w:trHeight w:val="397"/>
        </w:trPr>
        <w:tc>
          <w:tcPr>
            <w:tcW w:w="562" w:type="dxa"/>
            <w:vAlign w:val="center"/>
          </w:tcPr>
          <w:p w:rsidR="0062727C" w:rsidRPr="00305BE9" w:rsidRDefault="0062727C"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2727C" w:rsidRPr="00305BE9" w:rsidRDefault="004C2006"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62727C" w:rsidRPr="00305BE9" w:rsidRDefault="009D1BBB"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62727C" w:rsidRPr="00305BE9" w:rsidRDefault="0062727C" w:rsidP="0062727C">
            <w:pPr>
              <w:spacing w:after="0"/>
              <w:rPr>
                <w:rFonts w:ascii="Times New Roman" w:hAnsi="Times New Roman"/>
                <w:b/>
                <w:sz w:val="20"/>
                <w:szCs w:val="20"/>
              </w:rPr>
            </w:pPr>
          </w:p>
        </w:tc>
        <w:tc>
          <w:tcPr>
            <w:tcW w:w="1134" w:type="dxa"/>
            <w:vAlign w:val="center"/>
          </w:tcPr>
          <w:p w:rsidR="0062727C" w:rsidRPr="00305BE9" w:rsidRDefault="0062727C" w:rsidP="0062727C">
            <w:pPr>
              <w:spacing w:after="0"/>
              <w:jc w:val="center"/>
              <w:rPr>
                <w:rFonts w:ascii="Times New Roman" w:hAnsi="Times New Roman"/>
                <w:sz w:val="20"/>
                <w:szCs w:val="20"/>
              </w:rPr>
            </w:pPr>
          </w:p>
        </w:tc>
        <w:tc>
          <w:tcPr>
            <w:tcW w:w="2800" w:type="dxa"/>
            <w:vAlign w:val="center"/>
          </w:tcPr>
          <w:p w:rsidR="0062727C" w:rsidRPr="00305BE9" w:rsidRDefault="003510C9"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4C2006" w:rsidRPr="00305BE9" w:rsidTr="004C2006">
        <w:trPr>
          <w:cantSplit/>
          <w:trHeight w:val="397"/>
        </w:trPr>
        <w:tc>
          <w:tcPr>
            <w:tcW w:w="14850" w:type="dxa"/>
            <w:gridSpan w:val="6"/>
            <w:shd w:val="clear" w:color="auto" w:fill="D9D9D9" w:themeFill="background1" w:themeFillShade="D9"/>
            <w:vAlign w:val="center"/>
          </w:tcPr>
          <w:p w:rsidR="004C2006" w:rsidRPr="00305BE9" w:rsidRDefault="004C2006"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AD0C58" w:rsidRPr="006D4590" w:rsidRDefault="00AD0C58"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AD0C58" w:rsidRPr="006D4590" w:rsidRDefault="00AD0C58"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AD0C58" w:rsidRPr="0077671B" w:rsidRDefault="00AD0C58"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FD5019" w:rsidRPr="00305BE9" w:rsidTr="009C557F">
        <w:trPr>
          <w:cantSplit/>
          <w:trHeight w:val="397"/>
        </w:trPr>
        <w:tc>
          <w:tcPr>
            <w:tcW w:w="562" w:type="dxa"/>
            <w:vAlign w:val="center"/>
          </w:tcPr>
          <w:p w:rsidR="00FD5019" w:rsidRPr="00305BE9" w:rsidRDefault="00FD5019"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D5019" w:rsidRPr="00C759CD" w:rsidRDefault="00FD5019"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FD5019" w:rsidRDefault="00FD5019"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FD5019" w:rsidRPr="00305BE9" w:rsidRDefault="00FD5019" w:rsidP="00AD0C58">
            <w:pPr>
              <w:spacing w:after="0"/>
              <w:rPr>
                <w:rFonts w:ascii="Times New Roman" w:hAnsi="Times New Roman"/>
                <w:b/>
                <w:sz w:val="20"/>
                <w:szCs w:val="20"/>
              </w:rPr>
            </w:pPr>
          </w:p>
        </w:tc>
        <w:tc>
          <w:tcPr>
            <w:tcW w:w="1134" w:type="dxa"/>
            <w:vAlign w:val="center"/>
          </w:tcPr>
          <w:p w:rsidR="00FD5019" w:rsidRPr="00305BE9" w:rsidRDefault="00FD5019" w:rsidP="00AD0C58">
            <w:pPr>
              <w:spacing w:after="0"/>
              <w:jc w:val="center"/>
              <w:rPr>
                <w:rFonts w:ascii="Times New Roman" w:hAnsi="Times New Roman"/>
                <w:sz w:val="20"/>
                <w:szCs w:val="20"/>
              </w:rPr>
            </w:pPr>
          </w:p>
        </w:tc>
        <w:tc>
          <w:tcPr>
            <w:tcW w:w="2800" w:type="dxa"/>
            <w:vAlign w:val="center"/>
          </w:tcPr>
          <w:p w:rsidR="00FD5019" w:rsidRPr="00305BE9" w:rsidRDefault="00FD5019"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20"/>
                <w:szCs w:val="20"/>
              </w:rPr>
            </w:pPr>
            <w:r w:rsidRPr="003510C9">
              <w:rPr>
                <w:rFonts w:ascii="Times New Roman" w:hAnsi="Times New Roman"/>
                <w:sz w:val="20"/>
                <w:szCs w:val="20"/>
              </w:rPr>
              <w:t>Gwarancja</w:t>
            </w:r>
            <w:r>
              <w:rPr>
                <w:rFonts w:ascii="Times New Roman" w:hAnsi="Times New Roman"/>
                <w:sz w:val="20"/>
                <w:szCs w:val="20"/>
              </w:rPr>
              <w:t xml:space="preserve"> dostępności autoryzowanego serwisu oraz części zamiennych</w:t>
            </w:r>
            <w:r w:rsidRPr="003510C9">
              <w:rPr>
                <w:rFonts w:ascii="Times New Roman" w:hAnsi="Times New Roman"/>
                <w:sz w:val="20"/>
                <w:szCs w:val="20"/>
              </w:rPr>
              <w:t xml:space="preserve"> po upływie okresu gwarancyjnego</w:t>
            </w:r>
            <w:r>
              <w:rPr>
                <w:rFonts w:ascii="Times New Roman" w:hAnsi="Times New Roman"/>
                <w:sz w:val="20"/>
                <w:szCs w:val="20"/>
              </w:rPr>
              <w:t xml:space="preserve"> – nie mniej niż 10 lat licząc od daty jej zakończenia.</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3510C9" w:rsidRDefault="00AD0C58"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AD0C58" w:rsidRPr="0077671B"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AD0C58" w:rsidRPr="006B6409"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3F3C49"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7671B"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AD0C58" w:rsidRPr="009C557F" w:rsidRDefault="00AD0C58"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9C557F" w:rsidRDefault="00AD0C58"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AD0C58"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305BE9" w:rsidRDefault="00AD0C58" w:rsidP="00AD0C58">
            <w:pPr>
              <w:jc w:val="left"/>
              <w:rPr>
                <w:rFonts w:ascii="Times New Roman" w:hAnsi="Times New Roman"/>
                <w:sz w:val="20"/>
                <w:szCs w:val="20"/>
              </w:rPr>
            </w:pPr>
            <w:r w:rsidRPr="009C557F">
              <w:rPr>
                <w:rFonts w:ascii="Times New Roman" w:hAnsi="Times New Roman"/>
                <w:sz w:val="20"/>
                <w:szCs w:val="20"/>
              </w:rPr>
              <w:t>Integracja z posiadanym przez Zamawiającego systemem zarządzania dawek RTG Dose Watch, zakup licencji dla instalowan</w:t>
            </w:r>
            <w:r>
              <w:rPr>
                <w:rFonts w:ascii="Times New Roman" w:hAnsi="Times New Roman"/>
                <w:sz w:val="20"/>
                <w:szCs w:val="20"/>
              </w:rPr>
              <w:t>ego</w:t>
            </w:r>
            <w:r w:rsidRPr="009C557F">
              <w:rPr>
                <w:rFonts w:ascii="Times New Roman" w:hAnsi="Times New Roman"/>
                <w:sz w:val="20"/>
                <w:szCs w:val="20"/>
              </w:rPr>
              <w:t xml:space="preserve"> urządze</w:t>
            </w:r>
            <w:r>
              <w:rPr>
                <w:rFonts w:ascii="Times New Roman" w:hAnsi="Times New Roman"/>
                <w:sz w:val="20"/>
                <w:szCs w:val="20"/>
              </w:rPr>
              <w:t>nia</w:t>
            </w:r>
            <w:r w:rsidRPr="009C557F">
              <w:rPr>
                <w:rFonts w:ascii="Times New Roman" w:hAnsi="Times New Roman"/>
                <w:sz w:val="20"/>
                <w:szCs w:val="20"/>
              </w:rPr>
              <w:t xml:space="preserve"> i aktualizacja systemu DoseWatch w razie konieczności.</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6D4590" w:rsidRDefault="00AD0C58"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AD0C58" w:rsidRPr="006D4590" w:rsidRDefault="00AD0C58"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AD0C58" w:rsidRPr="00305BE9" w:rsidRDefault="00AD0C58"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E81073" w:rsidRDefault="00AD0C58" w:rsidP="00AD0C58">
            <w:pPr>
              <w:jc w:val="left"/>
              <w:rPr>
                <w:rFonts w:ascii="Times New Roman" w:hAnsi="Times New Roman"/>
                <w:strike/>
                <w:sz w:val="20"/>
                <w:szCs w:val="20"/>
              </w:rPr>
            </w:pPr>
            <w:r w:rsidRPr="00E81073">
              <w:rPr>
                <w:rFonts w:ascii="Times New Roman" w:hAnsi="Times New Roman"/>
                <w:strike/>
                <w:sz w:val="20"/>
                <w:szCs w:val="20"/>
              </w:rPr>
              <w:t xml:space="preserve">Wykonawca zobowiązany jest dostarczyć urządzenie tymczasowe na okres zamknięcia Pracowni Naczyniowej o czym mowa w §2 ust. 2 część A Umowy. Parametry wymagane urządzenia tymczasowego (zastępczego) określa specyfikacja, stanowiąca Załącznik nr 7 do Umowy </w:t>
            </w:r>
          </w:p>
        </w:tc>
        <w:tc>
          <w:tcPr>
            <w:tcW w:w="2416" w:type="dxa"/>
            <w:vAlign w:val="center"/>
          </w:tcPr>
          <w:p w:rsidR="00AD0C58" w:rsidRDefault="003F3C49"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AD0C58"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7D5705">
        <w:trPr>
          <w:cantSplit/>
          <w:trHeight w:val="397"/>
        </w:trPr>
        <w:tc>
          <w:tcPr>
            <w:tcW w:w="14850" w:type="dxa"/>
            <w:gridSpan w:val="6"/>
            <w:shd w:val="clear" w:color="auto" w:fill="D9D9D9" w:themeFill="background1" w:themeFillShade="D9"/>
            <w:vAlign w:val="center"/>
          </w:tcPr>
          <w:p w:rsidR="00AD0C58" w:rsidRPr="00305BE9" w:rsidRDefault="00AD0C58"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AD0C58" w:rsidRPr="007D5705" w:rsidRDefault="00AD0C58"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AD0C58" w:rsidRDefault="00AD0C58"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AD0C58" w:rsidRPr="00305BE9" w:rsidRDefault="00AD0C58"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(Hospital Information System) / RIS (Radiology Information System) - Systemem Medyczny „Eskulap” autorstwa firmy Nexus Polska sp. z o.o. (https://www.nexuspolska.pl/kon</w:t>
            </w:r>
            <w:r>
              <w:rPr>
                <w:rFonts w:ascii="Times New Roman" w:hAnsi="Times New Roman"/>
                <w:sz w:val="20"/>
                <w:szCs w:val="20"/>
              </w:rPr>
              <w:t>Tak</w:t>
            </w:r>
            <w:r w:rsidRPr="007D5705">
              <w:rPr>
                <w:rFonts w:ascii="Times New Roman" w:hAnsi="Times New Roman"/>
                <w:sz w:val="20"/>
                <w:szCs w:val="20"/>
              </w:rPr>
              <w:t>t), oraz System PACS autorstwa firmy Carestream Health Polska (http://www.carestream.pl). Jednocześnie Zamawiający informuje, iż system PACS będzie zmieniony do końca bieżącego roku.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Default="00AD0C58"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AD0C58" w:rsidRPr="00305BE9" w:rsidRDefault="00AD0C58"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AD0C58" w:rsidRPr="00305BE9" w:rsidTr="009C557F">
        <w:trPr>
          <w:cantSplit/>
          <w:trHeight w:val="397"/>
        </w:trPr>
        <w:tc>
          <w:tcPr>
            <w:tcW w:w="562" w:type="dxa"/>
            <w:vAlign w:val="center"/>
          </w:tcPr>
          <w:p w:rsidR="00AD0C58" w:rsidRPr="00305BE9" w:rsidRDefault="00AD0C58"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D0C58" w:rsidRPr="004A77BB" w:rsidRDefault="00AD0C58"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AD0C58" w:rsidRPr="00305BE9" w:rsidRDefault="00AD0C58"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AD0C58" w:rsidRPr="00305BE9" w:rsidRDefault="00AD0C58"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AD0C58" w:rsidRPr="00305BE9" w:rsidRDefault="00AD0C58" w:rsidP="00AD0C58">
            <w:pPr>
              <w:spacing w:after="0"/>
              <w:rPr>
                <w:rFonts w:ascii="Times New Roman" w:hAnsi="Times New Roman"/>
                <w:b/>
                <w:sz w:val="20"/>
                <w:szCs w:val="20"/>
              </w:rPr>
            </w:pPr>
          </w:p>
        </w:tc>
        <w:tc>
          <w:tcPr>
            <w:tcW w:w="1134" w:type="dxa"/>
            <w:vAlign w:val="center"/>
          </w:tcPr>
          <w:p w:rsidR="00AD0C58" w:rsidRPr="00305BE9" w:rsidRDefault="00AD0C58" w:rsidP="00AD0C58">
            <w:pPr>
              <w:spacing w:after="0"/>
              <w:jc w:val="center"/>
              <w:rPr>
                <w:rFonts w:ascii="Times New Roman" w:hAnsi="Times New Roman"/>
                <w:sz w:val="20"/>
                <w:szCs w:val="20"/>
              </w:rPr>
            </w:pPr>
          </w:p>
        </w:tc>
        <w:tc>
          <w:tcPr>
            <w:tcW w:w="2800" w:type="dxa"/>
            <w:vAlign w:val="center"/>
          </w:tcPr>
          <w:p w:rsidR="00AD0C58" w:rsidRPr="00305BE9" w:rsidRDefault="001D132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1D1324" w:rsidRPr="00305BE9" w:rsidTr="009C557F">
        <w:trPr>
          <w:cantSplit/>
          <w:trHeight w:val="397"/>
        </w:trPr>
        <w:tc>
          <w:tcPr>
            <w:tcW w:w="562" w:type="dxa"/>
            <w:vAlign w:val="center"/>
          </w:tcPr>
          <w:p w:rsidR="001D1324" w:rsidRPr="00305BE9" w:rsidRDefault="001D1324"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D1324" w:rsidRPr="004A77BB" w:rsidRDefault="001D1324"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1D1324" w:rsidRDefault="001D1324"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1D1324" w:rsidRPr="00305BE9" w:rsidRDefault="001D1324" w:rsidP="001D1324">
            <w:pPr>
              <w:spacing w:after="0"/>
              <w:rPr>
                <w:rFonts w:ascii="Times New Roman" w:hAnsi="Times New Roman"/>
                <w:b/>
                <w:sz w:val="20"/>
                <w:szCs w:val="20"/>
              </w:rPr>
            </w:pPr>
          </w:p>
        </w:tc>
        <w:tc>
          <w:tcPr>
            <w:tcW w:w="1134" w:type="dxa"/>
            <w:vAlign w:val="center"/>
          </w:tcPr>
          <w:p w:rsidR="001D1324" w:rsidRPr="00305BE9" w:rsidRDefault="001D1324" w:rsidP="001D1324">
            <w:pPr>
              <w:spacing w:after="0"/>
              <w:jc w:val="center"/>
              <w:rPr>
                <w:rFonts w:ascii="Times New Roman" w:hAnsi="Times New Roman"/>
                <w:sz w:val="20"/>
                <w:szCs w:val="20"/>
              </w:rPr>
            </w:pPr>
          </w:p>
        </w:tc>
        <w:tc>
          <w:tcPr>
            <w:tcW w:w="2800" w:type="dxa"/>
            <w:vAlign w:val="center"/>
          </w:tcPr>
          <w:p w:rsidR="001D1324" w:rsidRPr="00305BE9" w:rsidRDefault="001D1324"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2208C0" w:rsidRPr="00305BE9" w:rsidTr="002D3AC4">
        <w:trPr>
          <w:cantSplit/>
          <w:trHeight w:val="567"/>
        </w:trPr>
        <w:tc>
          <w:tcPr>
            <w:tcW w:w="14850" w:type="dxa"/>
            <w:gridSpan w:val="6"/>
            <w:shd w:val="clear" w:color="auto" w:fill="D9D9D9" w:themeFill="background1" w:themeFillShade="D9"/>
            <w:vAlign w:val="center"/>
          </w:tcPr>
          <w:p w:rsidR="002208C0" w:rsidRPr="00305BE9" w:rsidRDefault="002208C0"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2208C0" w:rsidRPr="00305BE9" w:rsidTr="002208C0">
        <w:trPr>
          <w:cantSplit/>
          <w:trHeight w:val="56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2208C0" w:rsidRPr="00305BE9" w:rsidRDefault="002208C0"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305BE9" w:rsidRDefault="002208C0"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305BE9" w:rsidRDefault="002208C0"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2208C0" w:rsidRPr="00305BE9" w:rsidTr="00577B35">
        <w:trPr>
          <w:cantSplit/>
          <w:trHeight w:val="397"/>
        </w:trPr>
        <w:tc>
          <w:tcPr>
            <w:tcW w:w="562" w:type="dxa"/>
            <w:vAlign w:val="center"/>
          </w:tcPr>
          <w:p w:rsidR="002208C0" w:rsidRPr="00305BE9" w:rsidRDefault="002208C0"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208C0" w:rsidRPr="004A77BB" w:rsidRDefault="002208C0"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2208C0" w:rsidRPr="00091271" w:rsidRDefault="002208C0" w:rsidP="002208C0">
            <w:pPr>
              <w:rPr>
                <w:rFonts w:ascii="Times New Roman" w:hAnsi="Times New Roman"/>
                <w:i/>
                <w:sz w:val="20"/>
                <w:szCs w:val="20"/>
              </w:rPr>
            </w:pPr>
            <w:r w:rsidRPr="00091271">
              <w:rPr>
                <w:rFonts w:ascii="Times New Roman" w:hAnsi="Times New Roman"/>
                <w:i/>
                <w:sz w:val="20"/>
                <w:szCs w:val="20"/>
              </w:rPr>
              <w:t>(podać)</w:t>
            </w:r>
          </w:p>
          <w:p w:rsidR="002208C0" w:rsidRPr="00091271" w:rsidRDefault="002208C0" w:rsidP="002208C0">
            <w:pPr>
              <w:rPr>
                <w:rFonts w:ascii="Times New Roman" w:hAnsi="Times New Roman"/>
                <w:i/>
                <w:sz w:val="20"/>
                <w:szCs w:val="20"/>
              </w:rPr>
            </w:pPr>
          </w:p>
          <w:p w:rsidR="00D5074E" w:rsidRDefault="00D5074E"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w:t>
            </w:r>
            <w:r w:rsidR="002208C0" w:rsidRPr="00091271">
              <w:rPr>
                <w:rFonts w:ascii="Times New Roman" w:hAnsi="Times New Roman"/>
                <w:i/>
                <w:sz w:val="20"/>
                <w:szCs w:val="20"/>
              </w:rPr>
              <w:t>umer</w:t>
            </w:r>
            <w:r>
              <w:rPr>
                <w:rFonts w:ascii="Times New Roman" w:hAnsi="Times New Roman"/>
                <w:i/>
                <w:sz w:val="20"/>
                <w:szCs w:val="20"/>
              </w:rPr>
              <w:t xml:space="preserve"> </w:t>
            </w:r>
            <w:r w:rsidR="002208C0" w:rsidRPr="00091271">
              <w:rPr>
                <w:rFonts w:ascii="Times New Roman" w:hAnsi="Times New Roman"/>
                <w:i/>
                <w:sz w:val="20"/>
                <w:szCs w:val="20"/>
              </w:rPr>
              <w:t>telefonu:</w:t>
            </w:r>
            <w:r>
              <w:rPr>
                <w:rFonts w:ascii="Times New Roman" w:hAnsi="Times New Roman"/>
                <w:i/>
                <w:sz w:val="20"/>
                <w:szCs w:val="20"/>
              </w:rPr>
              <w:t xml:space="preserve"> </w:t>
            </w:r>
            <w:r w:rsidR="002208C0" w:rsidRPr="00091271">
              <w:rPr>
                <w:rFonts w:ascii="Times New Roman" w:hAnsi="Times New Roman"/>
                <w:i/>
                <w:sz w:val="20"/>
                <w:szCs w:val="20"/>
              </w:rPr>
              <w:t>………………………………</w:t>
            </w:r>
            <w:r>
              <w:rPr>
                <w:rFonts w:ascii="Times New Roman" w:hAnsi="Times New Roman"/>
                <w:i/>
                <w:sz w:val="20"/>
                <w:szCs w:val="20"/>
              </w:rPr>
              <w:t>………………………..</w:t>
            </w:r>
            <w:r w:rsidR="002208C0" w:rsidRPr="00091271">
              <w:rPr>
                <w:rFonts w:ascii="Times New Roman" w:hAnsi="Times New Roman"/>
                <w:i/>
                <w:sz w:val="20"/>
                <w:szCs w:val="20"/>
              </w:rPr>
              <w:t>,</w:t>
            </w:r>
            <w:r>
              <w:rPr>
                <w:rFonts w:ascii="Times New Roman" w:hAnsi="Times New Roman"/>
                <w:i/>
                <w:sz w:val="20"/>
                <w:szCs w:val="20"/>
              </w:rPr>
              <w:t xml:space="preserve"> </w:t>
            </w:r>
          </w:p>
          <w:p w:rsidR="00D5074E" w:rsidRDefault="00D5074E" w:rsidP="00D5074E">
            <w:pPr>
              <w:tabs>
                <w:tab w:val="left" w:pos="2772"/>
              </w:tabs>
              <w:autoSpaceDE w:val="0"/>
              <w:autoSpaceDN w:val="0"/>
              <w:adjustRightInd w:val="0"/>
              <w:spacing w:after="0"/>
              <w:jc w:val="left"/>
              <w:rPr>
                <w:rFonts w:ascii="Times New Roman" w:hAnsi="Times New Roman"/>
                <w:i/>
                <w:sz w:val="20"/>
                <w:szCs w:val="20"/>
              </w:rPr>
            </w:pPr>
          </w:p>
          <w:p w:rsidR="002208C0" w:rsidRPr="00305BE9" w:rsidRDefault="002208C0"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firstRow="1" w:lastRow="0" w:firstColumn="0" w:lastColumn="0" w:noHBand="1" w:noVBand="1"/>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t>Układ oddechowy</w:t>
            </w:r>
          </w:p>
        </w:tc>
      </w:tr>
      <w:tr w:rsidR="00F75AFE" w:rsidRPr="00305BE9" w:rsidTr="00577B35">
        <w:trPr>
          <w:cantSplit/>
          <w:trHeight w:val="397"/>
        </w:trPr>
        <w:tc>
          <w:tcPr>
            <w:tcW w:w="562" w:type="dxa"/>
            <w:tcBorders>
              <w:bottom w:val="single" w:sz="4" w:space="0" w:color="auto"/>
            </w:tcBorders>
            <w:vAlign w:val="center"/>
          </w:tcPr>
          <w:p w:rsidR="00F75AFE" w:rsidRPr="00320CF3" w:rsidRDefault="00F75AFE" w:rsidP="00F75AFE">
            <w:pPr>
              <w:numPr>
                <w:ilvl w:val="0"/>
                <w:numId w:val="53"/>
              </w:numPr>
              <w:spacing w:after="0"/>
              <w:jc w:val="center"/>
              <w:rPr>
                <w:rFonts w:ascii="Times New Roman" w:hAnsi="Times New Roman"/>
                <w:sz w:val="20"/>
                <w:szCs w:val="20"/>
              </w:rPr>
            </w:pPr>
          </w:p>
        </w:tc>
        <w:tc>
          <w:tcPr>
            <w:tcW w:w="6379" w:type="dxa"/>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tcBorders>
              <w:top w:val="single" w:sz="4" w:space="0" w:color="auto"/>
            </w:tcBorders>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F75AFE" w:rsidRPr="00320CF3" w:rsidRDefault="00F75AFE"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F75AFE" w:rsidRPr="00320CF3" w:rsidRDefault="00F75AFE"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F75AFE" w:rsidRPr="00320CF3" w:rsidRDefault="00F75AFE"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spacing w:after="0"/>
              <w:ind w:left="13"/>
              <w:rPr>
                <w:rFonts w:ascii="Times New Roman" w:hAnsi="Times New Roman"/>
                <w:sz w:val="20"/>
                <w:szCs w:val="20"/>
              </w:rPr>
            </w:pPr>
            <w:r w:rsidRPr="00320CF3">
              <w:rPr>
                <w:rFonts w:ascii="Times New Roman" w:eastAsia="Times New Roman" w:hAnsi="Times New Roman"/>
                <w:sz w:val="20"/>
                <w:szCs w:val="20"/>
                <w:lang w:eastAsia="pl-PL"/>
              </w:rPr>
              <w:t>Zapobieganie powstawaniu mieszaniny hipoksycznej podczas anestezji i anestezji niskich i minimalnych przepływów</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Układ oddechowy kompaktowy dla noworodków, dzieci i dorosłych pozbawiony lateksu nadający się do sterylizacji w autoklawie.</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Respirator anestetyczny</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ciśnieniowo – zmienny (PC) lub z gwarantowaną objętością typu AutoFlow</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Tryb wentylacji objętościowo – zmienny (VC).</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b/>
                <w:bCs/>
                <w:sz w:val="20"/>
                <w:szCs w:val="20"/>
              </w:rPr>
            </w:pPr>
            <w:r w:rsidRPr="00320CF3">
              <w:rPr>
                <w:rFonts w:ascii="Times New Roman" w:eastAsia="Times New Roman" w:hAnsi="Times New Roman"/>
                <w:sz w:val="20"/>
                <w:szCs w:val="20"/>
                <w:lang w:eastAsia="pl-PL"/>
              </w:rPr>
              <w:t xml:space="preserve">Tryb ciśnieniowy zmienny z gwarantowaną objętością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bCs/>
                <w:sz w:val="20"/>
                <w:szCs w:val="20"/>
              </w:rPr>
            </w:pPr>
          </w:p>
        </w:tc>
        <w:tc>
          <w:tcPr>
            <w:tcW w:w="1134" w:type="dxa"/>
            <w:vAlign w:val="center"/>
          </w:tcPr>
          <w:p w:rsidR="00F75AFE" w:rsidRPr="00320CF3" w:rsidRDefault="00F75AFE" w:rsidP="00F75AFE">
            <w:pPr>
              <w:spacing w:after="0"/>
              <w:ind w:left="13"/>
              <w:jc w:val="center"/>
              <w:rPr>
                <w:rFonts w:ascii="Times New Roman" w:hAnsi="Times New Roman"/>
                <w:b/>
                <w:bCs/>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objętościowo – zmiennym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widowControl w:val="0"/>
              <w:suppressAutoHyphens/>
              <w:snapToGrid w:val="0"/>
              <w:spacing w:after="0"/>
              <w:ind w:left="13"/>
              <w:rPr>
                <w:rFonts w:ascii="Times New Roman" w:eastAsia="Lucida Sans Unicode"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 zmiennym </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wspomaganej ciśnieniem (tzw. Pressure Support) z automatycznym włączeniem wentylacji zapasowej po wystąpieniu alarmu bezdechu respiratora. Czułość wyzwalania przepływowego min. 0,3-10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CPAP+PSV.</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Tryb wentylacji ręczny.</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autoSpaceDE w:val="0"/>
              <w:autoSpaceDN w:val="0"/>
              <w:adjustRightInd w:val="0"/>
              <w:spacing w:after="0"/>
              <w:ind w:left="13"/>
              <w:jc w:val="left"/>
              <w:rPr>
                <w:rFonts w:ascii="Times New Roman" w:eastAsia="Times New Roman" w:hAnsi="Times New Roman"/>
                <w:color w:val="000000"/>
                <w:sz w:val="20"/>
                <w:szCs w:val="20"/>
                <w:lang w:eastAsia="pl-PL"/>
              </w:rPr>
            </w:pPr>
            <w:r w:rsidRPr="00320CF3">
              <w:rPr>
                <w:rFonts w:ascii="Times New Roman" w:eastAsia="Times New Roman" w:hAnsi="Times New Roman"/>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Pauza w przepływie gazów minimum do 1 min. w trybie wentylacji ręcznej i mechanicznej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stosunku wdechu do wydechu min. 2:1 ÷ 1:4.</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 xml:space="preserve">Zakres regulacji częstości oddechu w trybie wentylacji ciśnieniowo-zmiennej i objętościowo-zmiennej min. 4 - 100  oddechów / min.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objętości oddechowej w trybie wentylacji objętościowo-zmiennej min. 20 - 1500 ml.</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objętości oddechowej w trybie wentylacji ciśnieniowo-zmiennej lub objętościowo zmiennej min. 10 -  1500 ml</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dodatniego ciśnienia końcowo-wydechowego (PEEP) min. 4 - 30 cm H2O</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EA36E4">
        <w:trPr>
          <w:cantSplit/>
          <w:trHeight w:val="397"/>
        </w:trPr>
        <w:tc>
          <w:tcPr>
            <w:tcW w:w="562" w:type="dxa"/>
            <w:shd w:val="clear" w:color="auto" w:fill="FFFFFF" w:themeFill="background1"/>
            <w:vAlign w:val="center"/>
          </w:tcPr>
          <w:p w:rsidR="00F75AFE" w:rsidRPr="00320CF3" w:rsidRDefault="00F75AFE"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spacing w:after="0"/>
              <w:ind w:left="13"/>
              <w:jc w:val="left"/>
              <w:rPr>
                <w:rFonts w:ascii="Times New Roman" w:eastAsia="Times New Roman" w:hAnsi="Times New Roman"/>
                <w:sz w:val="20"/>
                <w:szCs w:val="20"/>
              </w:rPr>
            </w:pPr>
            <w:r w:rsidRPr="00320CF3">
              <w:rPr>
                <w:rFonts w:ascii="Times New Roman" w:eastAsia="Times New Roman" w:hAnsi="Times New Roman"/>
                <w:sz w:val="20"/>
                <w:szCs w:val="20"/>
                <w:lang w:eastAsia="pl-PL"/>
              </w:rPr>
              <w:t>Zakres regulacji Plateau wdechu min. 5 -  60 % czasu wdechu</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System alarmów</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niskiej objętości minutowej MV</w:t>
            </w:r>
          </w:p>
        </w:tc>
        <w:tc>
          <w:tcPr>
            <w:tcW w:w="2416" w:type="dxa"/>
            <w:shd w:val="clear" w:color="auto" w:fill="FFFFFF" w:themeFill="background1"/>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Alarmy TV z regulowanymi progami górnym i dolnym</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minimalnego i maksymalnego ciśnienia wdechowego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shd w:val="clear" w:color="auto" w:fill="FFFFFF" w:themeFill="background1"/>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Apnea.</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F75AFE" w:rsidRPr="00320CF3" w:rsidRDefault="00F75AFE" w:rsidP="00F75AFE">
            <w:pPr>
              <w:spacing w:after="0"/>
              <w:rPr>
                <w:rFonts w:ascii="Times New Roman" w:hAnsi="Times New Roman"/>
                <w:b/>
                <w:sz w:val="20"/>
                <w:szCs w:val="20"/>
              </w:rPr>
            </w:pPr>
          </w:p>
        </w:tc>
        <w:tc>
          <w:tcPr>
            <w:tcW w:w="1134" w:type="dxa"/>
            <w:shd w:val="clear" w:color="auto" w:fill="FFFFFF" w:themeFill="background1"/>
            <w:vAlign w:val="center"/>
          </w:tcPr>
          <w:p w:rsidR="00F75AFE" w:rsidRPr="00320CF3" w:rsidRDefault="00F75AFE" w:rsidP="00F75AFE">
            <w:pPr>
              <w:spacing w:after="0"/>
              <w:jc w:val="center"/>
              <w:rPr>
                <w:rFonts w:ascii="Times New Roman" w:hAnsi="Times New Roman"/>
                <w:sz w:val="20"/>
                <w:szCs w:val="20"/>
              </w:rPr>
            </w:pPr>
          </w:p>
        </w:tc>
        <w:tc>
          <w:tcPr>
            <w:tcW w:w="2800" w:type="dxa"/>
            <w:shd w:val="clear" w:color="auto" w:fill="FFFFFF" w:themeFill="background1"/>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energię elektryczną.</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562" w:type="dxa"/>
            <w:vAlign w:val="center"/>
          </w:tcPr>
          <w:p w:rsidR="00F75AFE" w:rsidRPr="00320CF3" w:rsidRDefault="00F75AFE"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Alarm braku zasilania w gazy</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Pomiary i obrazowanie</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tlenu w gazach oddechowych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oddechowej (TV).</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objętości minutowej (MV).</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częstości oddechu.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szczytowego.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średniego.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Plateau.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ciśnienia PEEP.</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wdechowego i wydechowego tlenu w gazach oddechowych metodą paramagnetyczną.</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Pomiar stężenia gazów i środków anestetycznych (podtlenku azotu, sevofluranu, desfluranu, isofluranu) w mieszaninie wdechowej i wydechowej.</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Moduł pomiarów gazowych wyjmowany z aparatu kompatybilny z monitorem tego samego producenta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Automatyczna identyfikacja anestetyku wziewnego i analiza MAC z uwzględnieniem wieku pacjenta.</w:t>
            </w:r>
          </w:p>
        </w:tc>
        <w:tc>
          <w:tcPr>
            <w:tcW w:w="2416" w:type="dxa"/>
            <w:shd w:val="clear" w:color="auto" w:fill="auto"/>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kolorowy LCD, dotykowy, do nastaw i prezentacji parametrów wentylacji i krzywych.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Przekątna ekranu: minimum 15"</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Rozdzielczość: minimum 1024 x 768 pikseli.</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Ekran umieszczony na ruchomym wysięgniku z regulacją przesuwu w poziomie i kąta pochylenia.</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Możliwość konfigurowania i zapamiętania minimum 3-ech niezależnych stron ekranu respiratora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numerycznych i krzywej dynamicznej prężności CO2 w strumieniu wdechowym i wydechowym.</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koncentracji anestetyku wziewnego na wdechu i wydechu.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Funkcja obrazowania krzywej stężenia anestetyków.</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 xml:space="preserve">Prezentacja krzywej przepływu w drogach oddechowych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jc w:val="left"/>
              <w:rPr>
                <w:rFonts w:ascii="Times New Roman" w:hAnsi="Times New Roman"/>
                <w:sz w:val="20"/>
                <w:szCs w:val="20"/>
              </w:rPr>
            </w:pPr>
            <w:r w:rsidRPr="00320CF3">
              <w:rPr>
                <w:rFonts w:ascii="Times New Roman" w:eastAsia="Times New Roman" w:hAnsi="Times New Roman"/>
                <w:sz w:val="20"/>
                <w:szCs w:val="20"/>
                <w:lang w:eastAsia="pl-PL"/>
              </w:rPr>
              <w:t>Prezentacja min. pętli:</w:t>
            </w:r>
            <w:r w:rsidRPr="00320CF3">
              <w:rPr>
                <w:rFonts w:ascii="Times New Roman" w:eastAsia="Times New Roman" w:hAnsi="Times New Roman"/>
                <w:sz w:val="20"/>
                <w:szCs w:val="20"/>
                <w:lang w:eastAsia="pl-PL"/>
              </w:rPr>
              <w:br/>
              <w:t>- ciśnienie / objętość</w:t>
            </w:r>
            <w:r w:rsidRPr="00320CF3">
              <w:rPr>
                <w:rFonts w:ascii="Times New Roman" w:eastAsia="Times New Roman" w:hAnsi="Times New Roman"/>
                <w:sz w:val="20"/>
                <w:szCs w:val="20"/>
                <w:lang w:eastAsia="pl-PL"/>
              </w:rPr>
              <w:br/>
              <w:t xml:space="preserve">- przepływ / objętość                                                                                                                                                                                                     </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podatności układu oddechowego</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Prezentacja wartości ciśnienia gazów w instalacji szpitalnej na ekranie respiratora z funkcją zmiany jednostki pomiaru</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EA36E4">
        <w:trPr>
          <w:cantSplit/>
          <w:trHeight w:val="340"/>
        </w:trPr>
        <w:tc>
          <w:tcPr>
            <w:tcW w:w="562" w:type="dxa"/>
            <w:vAlign w:val="center"/>
          </w:tcPr>
          <w:p w:rsidR="00F75AFE" w:rsidRPr="00320CF3" w:rsidRDefault="00F75AFE"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rPr>
                <w:rFonts w:ascii="Times New Roman" w:hAnsi="Times New Roman"/>
                <w:sz w:val="20"/>
                <w:szCs w:val="20"/>
              </w:rPr>
            </w:pPr>
            <w:r w:rsidRPr="00320CF3">
              <w:rPr>
                <w:rFonts w:ascii="Times New Roman" w:eastAsia="Times New Roman" w:hAnsi="Times New Roman"/>
                <w:sz w:val="20"/>
                <w:szCs w:val="20"/>
                <w:lang w:eastAsia="pl-PL"/>
              </w:rPr>
              <w:t>Automatyczna kalkulacja parametrów wentylacji po wprowadzeniu masy lub wzrostu pacjenta</w:t>
            </w:r>
          </w:p>
        </w:tc>
        <w:tc>
          <w:tcPr>
            <w:tcW w:w="2416" w:type="dxa"/>
            <w:vAlign w:val="center"/>
          </w:tcPr>
          <w:p w:rsidR="00F75AFE" w:rsidRPr="00320CF3" w:rsidRDefault="00F75AFE"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rPr>
                <w:rFonts w:ascii="Times New Roman" w:hAnsi="Times New Roman"/>
                <w:b/>
                <w:sz w:val="20"/>
                <w:szCs w:val="20"/>
              </w:rPr>
            </w:pPr>
          </w:p>
        </w:tc>
        <w:tc>
          <w:tcPr>
            <w:tcW w:w="1134" w:type="dxa"/>
            <w:vAlign w:val="center"/>
          </w:tcPr>
          <w:p w:rsidR="00F75AFE" w:rsidRPr="00320CF3" w:rsidRDefault="00F75AFE" w:rsidP="00F75AFE">
            <w:pPr>
              <w:spacing w:after="0"/>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sz w:val="20"/>
                <w:szCs w:val="20"/>
              </w:rPr>
            </w:pPr>
            <w:r w:rsidRPr="00320CF3">
              <w:rPr>
                <w:rFonts w:ascii="Times New Roman" w:hAnsi="Times New Roman"/>
                <w:b/>
                <w:bCs/>
                <w:sz w:val="20"/>
                <w:szCs w:val="20"/>
              </w:rPr>
              <w:t>Parowniki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Uchwyt dla minimum 2-ch parowników mechanicznych lub elektronicznych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 xml:space="preserve">Funkcja jednoczesnego podłączenia parownika do sevofluranu i desfluranu. </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Zabezpieczenie przed podaniem dwóch środków wziewnych równocześnie</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Funkcja automatycznej oceny zużycia środka wziewnego w godzinie znieczulenia, w czasie rzeczywistym z podaniem kosztu</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40"/>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Ssak</w:t>
            </w:r>
          </w:p>
        </w:tc>
      </w:tr>
      <w:tr w:rsidR="00F75AFE" w:rsidRPr="00305BE9" w:rsidTr="009D1BBB">
        <w:trPr>
          <w:cantSplit/>
          <w:trHeight w:val="340"/>
        </w:trPr>
        <w:tc>
          <w:tcPr>
            <w:tcW w:w="562" w:type="dxa"/>
            <w:vAlign w:val="center"/>
          </w:tcPr>
          <w:p w:rsidR="00F75AFE" w:rsidRPr="00320CF3" w:rsidRDefault="00F75AFE" w:rsidP="00F75AFE">
            <w:pPr>
              <w:numPr>
                <w:ilvl w:val="0"/>
                <w:numId w:val="58"/>
              </w:numPr>
              <w:spacing w:after="0"/>
              <w:jc w:val="left"/>
              <w:rPr>
                <w:rFonts w:ascii="Times New Roman" w:hAnsi="Times New Roman"/>
                <w:sz w:val="20"/>
                <w:szCs w:val="20"/>
              </w:rPr>
            </w:pPr>
          </w:p>
        </w:tc>
        <w:tc>
          <w:tcPr>
            <w:tcW w:w="6379" w:type="dxa"/>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9D1BBB">
        <w:trPr>
          <w:cantSplit/>
          <w:trHeight w:val="340"/>
        </w:trPr>
        <w:tc>
          <w:tcPr>
            <w:tcW w:w="562" w:type="dxa"/>
            <w:vAlign w:val="center"/>
          </w:tcPr>
          <w:p w:rsidR="00F75AFE" w:rsidRPr="00320CF3" w:rsidRDefault="00F75AFE"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eastAsia="Times New Roman" w:hAnsi="Times New Roman"/>
                <w:sz w:val="20"/>
                <w:szCs w:val="20"/>
                <w:lang w:eastAsia="pl-PL"/>
              </w:rPr>
              <w:t>Wymienne wkłady: minimum 5 szt. dla każdego urządzenia</w:t>
            </w:r>
          </w:p>
        </w:tc>
        <w:tc>
          <w:tcPr>
            <w:tcW w:w="2416" w:type="dxa"/>
            <w:shd w:val="clear" w:color="auto" w:fill="auto"/>
            <w:vAlign w:val="center"/>
          </w:tcPr>
          <w:p w:rsidR="00F75AFE" w:rsidRPr="00320CF3" w:rsidRDefault="00F75AFE"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F75AFE" w:rsidRPr="00305BE9" w:rsidTr="00577B35">
        <w:trPr>
          <w:cantSplit/>
          <w:trHeight w:val="397"/>
        </w:trPr>
        <w:tc>
          <w:tcPr>
            <w:tcW w:w="14850" w:type="dxa"/>
            <w:gridSpan w:val="6"/>
            <w:shd w:val="clear" w:color="auto" w:fill="D9D9D9" w:themeFill="background1" w:themeFillShade="D9"/>
            <w:vAlign w:val="center"/>
          </w:tcPr>
          <w:p w:rsidR="00F75AFE" w:rsidRPr="00320CF3" w:rsidRDefault="00F75AFE"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System testowania aparatu</w:t>
            </w:r>
          </w:p>
        </w:tc>
      </w:tr>
      <w:tr w:rsidR="00D65EEB" w:rsidRPr="00305BE9" w:rsidTr="009D1BBB">
        <w:trPr>
          <w:cantSplit/>
          <w:trHeight w:val="397"/>
        </w:trPr>
        <w:tc>
          <w:tcPr>
            <w:tcW w:w="562" w:type="dxa"/>
            <w:vAlign w:val="center"/>
          </w:tcPr>
          <w:p w:rsidR="00D65EEB" w:rsidRPr="00320CF3" w:rsidRDefault="00D65EE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Automatyczny lub automatyczny z interakcją z personelem test kontrolny aparatu, sprawdzający jego działanie.</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b/>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ind w:left="13"/>
              <w:jc w:val="left"/>
              <w:rPr>
                <w:rFonts w:ascii="Times New Roman" w:hAnsi="Times New Roman"/>
                <w:sz w:val="20"/>
                <w:szCs w:val="20"/>
              </w:rPr>
            </w:pPr>
            <w:r w:rsidRPr="00320CF3">
              <w:rPr>
                <w:rFonts w:ascii="Times New Roman" w:eastAsia="Times New Roman" w:hAnsi="Times New Roman"/>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b/>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 pacjenta (Kardiomonitor)</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podłączenia dodatkowego ekranu powielającego o przekątnej min. 19”</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funkcję obliczeń hemodynamicznych, utlenowania oraz wentylacji</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9C557F" w:rsidTr="00577B35">
        <w:trPr>
          <w:cantSplit/>
          <w:trHeight w:val="397"/>
        </w:trPr>
        <w:tc>
          <w:tcPr>
            <w:tcW w:w="562" w:type="dxa"/>
            <w:vAlign w:val="center"/>
          </w:tcPr>
          <w:p w:rsidR="00D65EEB" w:rsidRPr="00320CF3" w:rsidRDefault="00D65EE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hAnsi="Times New Roman"/>
                <w:sz w:val="20"/>
                <w:szCs w:val="20"/>
              </w:rPr>
              <w:t>Monitor w pełni kompatybilny z oferowanym aparatem do znieczulania</w:t>
            </w:r>
          </w:p>
        </w:tc>
        <w:tc>
          <w:tcPr>
            <w:tcW w:w="2416" w:type="dxa"/>
            <w:shd w:val="clear" w:color="auto" w:fill="auto"/>
            <w:vAlign w:val="center"/>
          </w:tcPr>
          <w:p w:rsidR="00D65EEB" w:rsidRPr="00320CF3" w:rsidRDefault="00D65EE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D65EEB" w:rsidRPr="00320CF3" w:rsidRDefault="00D65EEB" w:rsidP="00F75AFE">
            <w:pPr>
              <w:spacing w:after="0"/>
              <w:ind w:left="13"/>
              <w:rPr>
                <w:rFonts w:ascii="Times New Roman" w:hAnsi="Times New Roman"/>
                <w:sz w:val="20"/>
                <w:szCs w:val="20"/>
              </w:rPr>
            </w:pPr>
          </w:p>
        </w:tc>
        <w:tc>
          <w:tcPr>
            <w:tcW w:w="1134" w:type="dxa"/>
            <w:vAlign w:val="center"/>
          </w:tcPr>
          <w:p w:rsidR="00D65EEB" w:rsidRPr="00320CF3" w:rsidRDefault="00D65EEB" w:rsidP="00F75AFE">
            <w:pPr>
              <w:spacing w:after="0"/>
              <w:ind w:left="13"/>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hAnsi="Times New Roman"/>
                <w:b/>
                <w:bCs/>
                <w:sz w:val="20"/>
                <w:szCs w:val="20"/>
              </w:rPr>
            </w:pPr>
            <w:r w:rsidRPr="00320CF3">
              <w:rPr>
                <w:rFonts w:ascii="Times New Roman" w:hAnsi="Times New Roman"/>
                <w:b/>
                <w:bCs/>
                <w:sz w:val="20"/>
                <w:szCs w:val="20"/>
              </w:rPr>
              <w:t>Moduł transportowy</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jednoczesną prezentację przynajmniej 3 krzywych dynamicznych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Funkcja konfiguracji przynajmniej 2 widoków ekranu modułu transportowego</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wyposażony we wbudowane zasilanie akumulatorowe na przynajmniej 4 godziny pracy</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odporny na upadek z wysokości przynajmniej 1m</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przystosowany do warunków transportowych, klasa odporności na zachlapanie wodą nie gorsza niż IPX1</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Masa modułu transportowego wraz z wbudowanym ekranem oraz akumulatorem poniżej 2kg</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9D1BBB">
        <w:trPr>
          <w:cantSplit/>
          <w:trHeight w:val="397"/>
        </w:trPr>
        <w:tc>
          <w:tcPr>
            <w:tcW w:w="562" w:type="dxa"/>
            <w:vAlign w:val="center"/>
          </w:tcPr>
          <w:p w:rsidR="00D65EEB" w:rsidRPr="00320CF3" w:rsidRDefault="00D65EE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eastAsia="Times New Roman" w:hAnsi="Times New Roman"/>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14850" w:type="dxa"/>
            <w:gridSpan w:val="6"/>
            <w:shd w:val="clear" w:color="auto" w:fill="D9D9D9" w:themeFill="background1" w:themeFillShade="D9"/>
            <w:vAlign w:val="center"/>
          </w:tcPr>
          <w:p w:rsidR="00D65EEB" w:rsidRPr="00320CF3" w:rsidRDefault="00D65EEB" w:rsidP="00F75AFE">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320CF3">
              <w:rPr>
                <w:rFonts w:ascii="Times New Roman" w:hAnsi="Times New Roman"/>
                <w:b/>
                <w:bCs/>
                <w:sz w:val="20"/>
                <w:szCs w:val="20"/>
              </w:rPr>
              <w:t>Monitorowane parametry</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jc w:val="left"/>
              <w:rPr>
                <w:rFonts w:ascii="Times New Roman" w:hAnsi="Times New Roman"/>
                <w:sz w:val="20"/>
                <w:szCs w:val="20"/>
              </w:rPr>
            </w:pPr>
            <w:r w:rsidRPr="00320CF3">
              <w:rPr>
                <w:rFonts w:ascii="Times New Roman" w:hAnsi="Times New Roman"/>
                <w:sz w:val="20"/>
                <w:szCs w:val="20"/>
              </w:rPr>
              <w:t>EKG</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 xml:space="preserve">monitorowanie przynajmniej 1 z 3, 7 i 12 odprowadzeń, z jakością diagnostyczną, w zależności od użytego przewodu EKG; </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12 odprowadzeń EKG metodą obliczeniową, z ograniczonej liczby elektrod (nie więcej niż 6). Algorytm pomiarowy wykorzystuje standardowe rozmieszczenie elektrod na ciele pacjenta</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przynajmniej 3 odprowadzeń EKG na ekranie głównym kardiomonitora (bez wykorzystania okna 12 odprowadzeń EKG): 3 różne odprowadzenia lub widok kaskady</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funkcja jednoczesnej prezentacji wszystkich 12 odprowadzeń EKG</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pomiar częstości akcji serca w zakresie min. 20 - 300 ud/min.</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hAnsi="Times New Roman"/>
                <w:sz w:val="20"/>
                <w:szCs w:val="20"/>
              </w:rPr>
              <w:t>w komplecie: 2 przewody do podłączenia 6- elektrod dla dorosłych i dzieci. Długość przewodów łączących monitor z pacjentem przynajmniej 4m</w:t>
            </w:r>
          </w:p>
          <w:p w:rsidR="00D65EEB" w:rsidRPr="00320CF3" w:rsidRDefault="00D65EEB" w:rsidP="00F75AFE">
            <w:pPr>
              <w:pStyle w:val="Akapitzlist"/>
              <w:numPr>
                <w:ilvl w:val="0"/>
                <w:numId w:val="62"/>
              </w:numPr>
              <w:jc w:val="left"/>
              <w:rPr>
                <w:rFonts w:ascii="Times New Roman" w:hAnsi="Times New Roman"/>
                <w:sz w:val="20"/>
                <w:szCs w:val="20"/>
              </w:rPr>
            </w:pPr>
            <w:r w:rsidRPr="00320CF3">
              <w:rPr>
                <w:rFonts w:ascii="Times New Roman" w:eastAsia="Times New Roman" w:hAnsi="Times New Roman"/>
                <w:sz w:val="20"/>
                <w:szCs w:val="20"/>
                <w:lang w:eastAsia="pl-PL"/>
              </w:rPr>
              <w:t>analiza arytmii w 2 odprowadzeniach EKG jednocześnie</w:t>
            </w:r>
          </w:p>
          <w:p w:rsidR="00D65EEB" w:rsidRPr="00320CF3" w:rsidRDefault="00D65EEB" w:rsidP="00F75AFE">
            <w:pPr>
              <w:spacing w:after="0"/>
              <w:jc w:val="left"/>
              <w:rPr>
                <w:rFonts w:ascii="Times New Roman" w:hAnsi="Times New Roman"/>
                <w:b/>
                <w:bCs/>
                <w:sz w:val="20"/>
                <w:szCs w:val="20"/>
              </w:rPr>
            </w:pPr>
            <w:r w:rsidRPr="00320CF3">
              <w:rPr>
                <w:rFonts w:ascii="Times New Roman" w:eastAsia="Times New Roman" w:hAnsi="Times New Roman"/>
                <w:sz w:val="20"/>
                <w:szCs w:val="20"/>
                <w:lang w:eastAsia="pl-PL"/>
              </w:rPr>
              <w:t>podstawowa analiza arytmii tzw. śmiertelnych. Możliwość rozbudowy monitora o funkcję zaawansowanej analizy arytmii wg przynajmniej 10 definicji.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Analiza ST</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odcinka ST ze wszystkich monitorowanych odprowadzeń (do 12)</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hAnsi="Times New Roman"/>
                <w:sz w:val="20"/>
                <w:szCs w:val="20"/>
              </w:rPr>
              <w:t>analiza prowadzona automatycznie z zapisywaniem wyników w pamięci trendów. Funkcja ręcznego ustawienia poziomu ISO oraz ST z funkcją zapisu pomiarów referencyjnych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zakres pomiarowy analizy odcinka ST min. -15,0 -(+) 15,0 mm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i wyświetlenie na ekranie monitora wartości QT i/lub QTc. Dopuszcza się ręczny pomiar, przez zewnętrzną aplikację, uruchamianą na ekranie kardiomonitora - ujęte w ofercie.</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Oddech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częstości oddechu metodą impedancyjną w zakresie min. 4-120 odd/min.</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częstości oddechu oraz krzywej oddechowej</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saturacja (SpO2)</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wysycenia hemoglobiny tlenem, z wykorzystaniem algorytmu odpornego na niską perfuzję i artefakty ruchowe</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saturacji w zakresie min. 70-100%</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wartości saturacji, krzywej pletyzmograficznej</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wyboru SPO2 jako źródła częstości rytmu serca</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modulacja dźwięku tętna przy zmianie wartości % SpO2.</w:t>
            </w:r>
          </w:p>
          <w:p w:rsidR="00D65EEB" w:rsidRPr="00320CF3" w:rsidRDefault="00D65EEB" w:rsidP="00F75AFE">
            <w:pPr>
              <w:pStyle w:val="Akapitzlist"/>
              <w:numPr>
                <w:ilvl w:val="0"/>
                <w:numId w:val="63"/>
              </w:numPr>
              <w:spacing w:after="0"/>
              <w:jc w:val="left"/>
              <w:rPr>
                <w:rFonts w:ascii="Times New Roman" w:hAnsi="Times New Roman"/>
                <w:sz w:val="20"/>
                <w:szCs w:val="20"/>
              </w:rPr>
            </w:pPr>
            <w:bookmarkStart w:id="5" w:name="OLE_LINK53"/>
            <w:r w:rsidRPr="00320CF3">
              <w:rPr>
                <w:rFonts w:ascii="Times New Roman" w:eastAsia="Times New Roman" w:hAnsi="Times New Roman"/>
                <w:color w:val="000000"/>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5"/>
            <w:r w:rsidRPr="00320CF3">
              <w:rPr>
                <w:rFonts w:ascii="Times New Roman" w:eastAsia="Times New Roman" w:hAnsi="Times New Roman"/>
                <w:color w:val="000000"/>
                <w:sz w:val="20"/>
                <w:szCs w:val="20"/>
                <w:lang w:eastAsia="pl-PL"/>
              </w:rPr>
              <w:t>.</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nieinwazyjną (NIBP)</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metodą oscylometryczną</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ręczny na żądanie, ciągły przez określony czas oraz automatyczny. Zakres przedziałów czasowych w trybie automatycznym przynajmniej 1 - 240 minut</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od 15 mmHg dla ciśnienia rozkurczowego do 250 mmHg dla ciśnienia skurczowego</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prezentacja wartości: skurczowej, rozkurczowej oraz średniej.</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Temperatura</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temperatury w 2 kanałach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jednoczesna prezentacja w polu parametru temperatury na ekranie głównym monitora stacjonarnego min. 3 wartości temperatury jednocześnie: obu zmierzonych oraz różnicy temperatur</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w komplecie: 2 wielorazowe czujniki temperatury skóry i temperatury głębokiej  dla dorosłych/dzieci</w:t>
            </w:r>
          </w:p>
          <w:p w:rsidR="00D65EEB" w:rsidRPr="00320CF3" w:rsidRDefault="00D65EEB" w:rsidP="00F75AFE">
            <w:pPr>
              <w:spacing w:after="0"/>
              <w:jc w:val="left"/>
              <w:rPr>
                <w:rFonts w:ascii="Times New Roman" w:hAnsi="Times New Roman"/>
                <w:sz w:val="20"/>
                <w:szCs w:val="20"/>
              </w:rPr>
            </w:pP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ciśnienia metodą inwazyjną (IBP)</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color w:val="000000"/>
                <w:sz w:val="20"/>
                <w:szCs w:val="20"/>
                <w:lang w:eastAsia="pl-PL"/>
              </w:rPr>
              <w:t>pomiar ciśnienia metodą inwazyjną w co najmniej w 2 kanałach</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ciśnienia w zakresie przynajmniej -20 do 320 mmHg</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monitorowania i wyboru nazw różnych ciśnień, w tym ciśnienia śródczaszkowego, wraz z automatycznym doborem skali i ustawień dla poszczególnych ciśnień</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PPV lub SPV ręczny, w dedykowanej zakładce lub automatyczny, ciągły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przewody do podłączenia przetworników ciśnienia (po jednym na każdy oferowany kanał)</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zwiotczenia mięśni (NMT)</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dostępne tryby stymulacji min.: ST, DBS, TET, ToF</w:t>
            </w:r>
            <w:r w:rsidRPr="00320CF3">
              <w:rPr>
                <w:rFonts w:ascii="Times New Roman" w:hAnsi="Times New Roman"/>
                <w:sz w:val="20"/>
                <w:szCs w:val="20"/>
              </w:rPr>
              <w:t xml:space="preserve"> </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D65EEB" w:rsidRPr="00320CF3" w:rsidRDefault="00D65EEB" w:rsidP="00F75AFE">
            <w:pPr>
              <w:pStyle w:val="Akapitzlist"/>
              <w:numPr>
                <w:ilvl w:val="0"/>
                <w:numId w:val="65"/>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i czujnik dla dorosłych i dzieci</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Pomiar głębokości uśpienia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głębokości uśpienia metodą Entropii lub BIS</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przez analizę sygnału EEG, wspomaganego pomiarem elektromiografii mięśni czoła, z obliczaniem parametrów SE, RE i BSR.</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poziomu analgezji (zwalidowany u pacjentów min. od 18 roku życia ) przez ciągłe monitorowanie reakcji hemodynamicznej pacjenta na bodźce nocyceptywne i środki przeciwbólowe metodą SPI lub ANI</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D65EEB" w:rsidRPr="00320CF3" w:rsidRDefault="00D65EEB" w:rsidP="00F75AFE">
            <w:pPr>
              <w:pStyle w:val="Akapitzlist"/>
              <w:numPr>
                <w:ilvl w:val="0"/>
                <w:numId w:val="66"/>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Alarmy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przynajmniej 3-stopniowe, sygnalizowane wizualnie i dźwiękowo, z wizualizacją parametru, który wywołał alarm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zmiany priorytetu alarmów</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alarmy techniczne z podaniem przyczyny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granice alarmowe regulowane ręcznie - przez użytkownika, i automatycznie (na żądanie) - na podstawie bieżących wartości parametrów.</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wyciszenia alarmów. Regulacja czasu wyciszenia alarmów w zakresie przynajmniej: 2 i 5 minut oraz bez limitu czasowego.</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możliwość zablokowania funkcji całkowitego wyłączenia bądź wyciszenia alarmów - zabezpieczona hasłem.</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F75AFE">
            <w:pPr>
              <w:spacing w:after="0"/>
              <w:jc w:val="left"/>
              <w:rPr>
                <w:rFonts w:ascii="Times New Roman" w:hAnsi="Times New Roman"/>
                <w:b/>
                <w:bCs/>
                <w:sz w:val="20"/>
                <w:szCs w:val="20"/>
              </w:rPr>
            </w:pPr>
            <w:r w:rsidRPr="00320CF3">
              <w:rPr>
                <w:rFonts w:ascii="Times New Roman" w:hAnsi="Times New Roman"/>
                <w:b/>
                <w:bCs/>
                <w:sz w:val="20"/>
                <w:szCs w:val="20"/>
              </w:rPr>
              <w:t>Trendy</w:t>
            </w:r>
          </w:p>
          <w:p w:rsidR="00D65EEB" w:rsidRPr="00320CF3"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stanowisko monitorowania pacjenta wyposażone w pamięć trendów z ostatnich min. 24 godzin z rozdzielczością 1-minutową. Możliwość programowej rozbudowy pamięci trendów do min. 72 godzin</w:t>
            </w:r>
          </w:p>
          <w:p w:rsidR="00D65EEB" w:rsidRPr="00AD0C58" w:rsidRDefault="00D65EEB" w:rsidP="00F75AFE">
            <w:pPr>
              <w:pStyle w:val="Akapitzlist"/>
              <w:numPr>
                <w:ilvl w:val="0"/>
                <w:numId w:val="63"/>
              </w:numPr>
              <w:spacing w:after="0"/>
              <w:jc w:val="left"/>
              <w:rPr>
                <w:rFonts w:ascii="Times New Roman" w:hAnsi="Times New Roman"/>
                <w:sz w:val="20"/>
                <w:szCs w:val="20"/>
              </w:rPr>
            </w:pPr>
            <w:r w:rsidRPr="00320CF3">
              <w:rPr>
                <w:rFonts w:ascii="Times New Roman" w:eastAsia="Times New Roman" w:hAnsi="Times New Roman"/>
                <w:sz w:val="20"/>
                <w:szCs w:val="20"/>
                <w:lang w:eastAsia="pl-PL"/>
              </w:rPr>
              <w:t>funkcja wyświetlania trendów w formie graficznej i tabelarycznej</w:t>
            </w:r>
          </w:p>
        </w:tc>
        <w:tc>
          <w:tcPr>
            <w:tcW w:w="2416" w:type="dxa"/>
            <w:vAlign w:val="center"/>
          </w:tcPr>
          <w:p w:rsidR="00D65EEB" w:rsidRPr="00320CF3" w:rsidRDefault="00D65EE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D65EEB" w:rsidRPr="00320CF3" w:rsidRDefault="00D65EEB" w:rsidP="00F75AFE">
            <w:pPr>
              <w:spacing w:after="0"/>
              <w:rPr>
                <w:rFonts w:ascii="Times New Roman" w:hAnsi="Times New Roman"/>
                <w:b/>
                <w:sz w:val="20"/>
                <w:szCs w:val="20"/>
              </w:rPr>
            </w:pPr>
          </w:p>
        </w:tc>
        <w:tc>
          <w:tcPr>
            <w:tcW w:w="1134" w:type="dxa"/>
            <w:vAlign w:val="center"/>
          </w:tcPr>
          <w:p w:rsidR="00D65EEB" w:rsidRPr="00320CF3" w:rsidRDefault="00D65EEB" w:rsidP="00F75AFE">
            <w:pPr>
              <w:spacing w:after="0"/>
              <w:jc w:val="center"/>
              <w:rPr>
                <w:rFonts w:ascii="Times New Roman" w:hAnsi="Times New Roman"/>
                <w:sz w:val="20"/>
                <w:szCs w:val="20"/>
              </w:rPr>
            </w:pPr>
          </w:p>
        </w:tc>
        <w:tc>
          <w:tcPr>
            <w:tcW w:w="2800" w:type="dxa"/>
            <w:vAlign w:val="center"/>
          </w:tcPr>
          <w:p w:rsidR="00D65EEB" w:rsidRPr="00320CF3" w:rsidRDefault="00D65EE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D65EEB" w:rsidRPr="00305BE9" w:rsidTr="00AD0C58">
        <w:trPr>
          <w:cantSplit/>
          <w:trHeight w:val="397"/>
        </w:trPr>
        <w:tc>
          <w:tcPr>
            <w:tcW w:w="14850" w:type="dxa"/>
            <w:gridSpan w:val="6"/>
            <w:shd w:val="clear" w:color="auto" w:fill="D9D9D9" w:themeFill="background1" w:themeFillShade="D9"/>
            <w:vAlign w:val="center"/>
          </w:tcPr>
          <w:p w:rsidR="00D65EEB" w:rsidRPr="00AD0C58" w:rsidRDefault="00D65EEB" w:rsidP="00AD0C58">
            <w:pPr>
              <w:numPr>
                <w:ilvl w:val="0"/>
                <w:numId w:val="51"/>
              </w:numPr>
              <w:tabs>
                <w:tab w:val="left" w:pos="2772"/>
              </w:tabs>
              <w:spacing w:after="0"/>
              <w:ind w:left="314" w:hanging="284"/>
              <w:jc w:val="left"/>
              <w:rPr>
                <w:rFonts w:ascii="Times New Roman" w:eastAsia="Times New Roman" w:hAnsi="Times New Roman"/>
                <w:b/>
                <w:bCs/>
                <w:sz w:val="20"/>
                <w:szCs w:val="20"/>
                <w:lang w:eastAsia="pl-PL"/>
              </w:rPr>
            </w:pPr>
            <w:r w:rsidRPr="00AD0C58">
              <w:rPr>
                <w:rFonts w:ascii="Times New Roman" w:hAnsi="Times New Roman"/>
                <w:b/>
                <w:bCs/>
                <w:sz w:val="20"/>
                <w:szCs w:val="20"/>
              </w:rPr>
              <w:t>Inne</w:t>
            </w:r>
            <w:r w:rsidRPr="00AD0C58">
              <w:rPr>
                <w:rFonts w:ascii="Times New Roman" w:eastAsia="Times New Roman" w:hAnsi="Times New Roman"/>
                <w:b/>
                <w:bCs/>
                <w:sz w:val="20"/>
                <w:szCs w:val="20"/>
                <w:lang w:eastAsia="pl-PL"/>
              </w:rPr>
              <w:t xml:space="preserve"> wymagania</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C759CD">
              <w:rPr>
                <w:rFonts w:ascii="Times New Roman" w:hAnsi="Times New Roman"/>
                <w:sz w:val="20"/>
                <w:szCs w:val="20"/>
              </w:rPr>
              <w:t>Gwarancja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3510C9">
              <w:rPr>
                <w:rFonts w:ascii="Times New Roman" w:hAnsi="Times New Roman"/>
                <w:sz w:val="20"/>
                <w:szCs w:val="20"/>
              </w:rPr>
              <w:t>Gwarancja</w:t>
            </w:r>
            <w:r>
              <w:rPr>
                <w:rFonts w:ascii="Times New Roman" w:hAnsi="Times New Roman"/>
                <w:sz w:val="20"/>
                <w:szCs w:val="20"/>
              </w:rPr>
              <w:t xml:space="preserve"> dostępności autoryzowanego serwisu oraz części zamiennych</w:t>
            </w:r>
            <w:r w:rsidRPr="003510C9">
              <w:rPr>
                <w:rFonts w:ascii="Times New Roman" w:hAnsi="Times New Roman"/>
                <w:sz w:val="20"/>
                <w:szCs w:val="20"/>
              </w:rPr>
              <w:t xml:space="preserve"> po upływie okresu gwarancyjnego</w:t>
            </w:r>
            <w:r>
              <w:rPr>
                <w:rFonts w:ascii="Times New Roman" w:hAnsi="Times New Roman"/>
                <w:sz w:val="20"/>
                <w:szCs w:val="20"/>
              </w:rPr>
              <w:t xml:space="preserve"> – nie mniej niż 10 lat licząc od daty jej zakończenia.</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Default="00D65EE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Default="00D65EE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77671B" w:rsidRDefault="00D65EE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D65EEB" w:rsidRPr="00320CF3" w:rsidRDefault="00D65EE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577B35">
        <w:trPr>
          <w:cantSplit/>
          <w:trHeight w:val="397"/>
        </w:trPr>
        <w:tc>
          <w:tcPr>
            <w:tcW w:w="562" w:type="dxa"/>
            <w:vAlign w:val="center"/>
          </w:tcPr>
          <w:p w:rsidR="00D65EEB" w:rsidRPr="00320CF3" w:rsidRDefault="00D65EE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320CF3" w:rsidRDefault="00D65EE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D65EEB" w:rsidRPr="00320CF3" w:rsidRDefault="00D65EE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D65EEB" w:rsidRPr="00320CF3" w:rsidRDefault="00D65EEB" w:rsidP="00AD0C58">
            <w:pPr>
              <w:spacing w:after="0"/>
              <w:rPr>
                <w:rFonts w:ascii="Times New Roman" w:hAnsi="Times New Roman"/>
                <w:b/>
                <w:sz w:val="20"/>
                <w:szCs w:val="20"/>
              </w:rPr>
            </w:pPr>
          </w:p>
        </w:tc>
        <w:tc>
          <w:tcPr>
            <w:tcW w:w="1134" w:type="dxa"/>
            <w:vAlign w:val="center"/>
          </w:tcPr>
          <w:p w:rsidR="00D65EEB" w:rsidRPr="00320CF3" w:rsidRDefault="00D65EEB" w:rsidP="00AD0C58">
            <w:pPr>
              <w:spacing w:after="0"/>
              <w:jc w:val="center"/>
              <w:rPr>
                <w:rFonts w:ascii="Times New Roman" w:hAnsi="Times New Roman"/>
                <w:sz w:val="20"/>
                <w:szCs w:val="20"/>
              </w:rPr>
            </w:pPr>
          </w:p>
        </w:tc>
        <w:tc>
          <w:tcPr>
            <w:tcW w:w="2800" w:type="dxa"/>
            <w:vAlign w:val="center"/>
          </w:tcPr>
          <w:p w:rsidR="00D65EEB" w:rsidRPr="00320CF3" w:rsidRDefault="00D65EE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D65EEB" w:rsidRPr="00305BE9" w:rsidTr="002D3AC4">
        <w:trPr>
          <w:cantSplit/>
          <w:trHeight w:val="567"/>
        </w:trPr>
        <w:tc>
          <w:tcPr>
            <w:tcW w:w="14850" w:type="dxa"/>
            <w:gridSpan w:val="6"/>
            <w:shd w:val="clear" w:color="auto" w:fill="D9D9D9" w:themeFill="background1" w:themeFillShade="D9"/>
            <w:vAlign w:val="center"/>
          </w:tcPr>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D65EEB" w:rsidRPr="00305BE9" w:rsidTr="00577B35">
        <w:trPr>
          <w:cantSplit/>
          <w:trHeight w:val="56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305BE9" w:rsidRDefault="00D65EE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D65EEB" w:rsidRPr="00305BE9" w:rsidTr="00577B35">
        <w:trPr>
          <w:cantSplit/>
          <w:trHeight w:val="397"/>
        </w:trPr>
        <w:tc>
          <w:tcPr>
            <w:tcW w:w="562" w:type="dxa"/>
            <w:vAlign w:val="center"/>
          </w:tcPr>
          <w:p w:rsidR="00D65EEB" w:rsidRPr="00305BE9" w:rsidRDefault="00D65EE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65EEB" w:rsidRPr="004A77BB" w:rsidRDefault="00D65EE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D65EEB" w:rsidRPr="00091271" w:rsidRDefault="00D65EEB" w:rsidP="00577B35">
            <w:pPr>
              <w:rPr>
                <w:rFonts w:ascii="Times New Roman" w:hAnsi="Times New Roman"/>
                <w:i/>
                <w:sz w:val="20"/>
                <w:szCs w:val="20"/>
              </w:rPr>
            </w:pPr>
            <w:r w:rsidRPr="00091271">
              <w:rPr>
                <w:rFonts w:ascii="Times New Roman" w:hAnsi="Times New Roman"/>
                <w:i/>
                <w:sz w:val="20"/>
                <w:szCs w:val="20"/>
              </w:rPr>
              <w:t>(podać)</w:t>
            </w:r>
          </w:p>
          <w:p w:rsidR="00D65EEB" w:rsidRPr="00091271" w:rsidRDefault="00D65EEB" w:rsidP="00577B35">
            <w:pPr>
              <w:rPr>
                <w:rFonts w:ascii="Times New Roman" w:hAnsi="Times New Roman"/>
                <w:i/>
                <w:sz w:val="20"/>
                <w:szCs w:val="20"/>
              </w:rPr>
            </w:pPr>
          </w:p>
          <w:p w:rsidR="00D65EEB" w:rsidRDefault="00D65EE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D65EEB" w:rsidRDefault="00D65EEB" w:rsidP="00577B35">
            <w:pPr>
              <w:tabs>
                <w:tab w:val="left" w:pos="2772"/>
              </w:tabs>
              <w:autoSpaceDE w:val="0"/>
              <w:autoSpaceDN w:val="0"/>
              <w:adjustRightInd w:val="0"/>
              <w:spacing w:after="0"/>
              <w:jc w:val="left"/>
              <w:rPr>
                <w:rFonts w:ascii="Times New Roman" w:hAnsi="Times New Roman"/>
                <w:i/>
                <w:sz w:val="20"/>
                <w:szCs w:val="20"/>
              </w:rPr>
            </w:pPr>
          </w:p>
          <w:p w:rsidR="00D65EEB" w:rsidRPr="00305BE9" w:rsidRDefault="00D65EE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firstRow="1" w:lastRow="0" w:firstColumn="0" w:lastColumn="0" w:noHBand="1" w:noVBand="1"/>
      </w:tblPr>
      <w:tblGrid>
        <w:gridCol w:w="562"/>
        <w:gridCol w:w="6697"/>
        <w:gridCol w:w="2098"/>
        <w:gridCol w:w="1559"/>
        <w:gridCol w:w="1134"/>
        <w:gridCol w:w="2800"/>
      </w:tblGrid>
      <w:tr w:rsidR="00D37C2F" w:rsidTr="005605C6">
        <w:trPr>
          <w:cantSplit/>
          <w:trHeight w:val="567"/>
        </w:trPr>
        <w:tc>
          <w:tcPr>
            <w:tcW w:w="14850" w:type="dxa"/>
            <w:gridSpan w:val="6"/>
            <w:shd w:val="clear" w:color="auto" w:fill="D9D9D9" w:themeFill="background1" w:themeFillShade="D9"/>
            <w:vAlign w:val="center"/>
          </w:tcPr>
          <w:p w:rsidR="00D37C2F" w:rsidRDefault="00D37C2F" w:rsidP="005605C6">
            <w:pPr>
              <w:tabs>
                <w:tab w:val="left" w:pos="2772"/>
              </w:tabs>
              <w:spacing w:after="0"/>
              <w:jc w:val="left"/>
              <w:rPr>
                <w:rFonts w:ascii="Times New Roman" w:hAnsi="Times New Roman"/>
                <w:b/>
                <w:bCs/>
                <w:sz w:val="20"/>
                <w:szCs w:val="20"/>
              </w:rPr>
            </w:pPr>
            <w:r>
              <w:rPr>
                <w:rFonts w:ascii="Times New Roman" w:hAnsi="Times New Roman"/>
                <w:b/>
                <w:bCs/>
                <w:sz w:val="20"/>
                <w:szCs w:val="20"/>
              </w:rPr>
              <w:t>Dostawa, montaż wraz z towarzyszącymi robotami budowlanymi</w:t>
            </w:r>
          </w:p>
        </w:tc>
      </w:tr>
      <w:tr w:rsidR="00D37C2F" w:rsidRPr="00B30D5A" w:rsidTr="005605C6">
        <w:trPr>
          <w:cantSplit/>
          <w:trHeight w:val="397"/>
        </w:trPr>
        <w:tc>
          <w:tcPr>
            <w:tcW w:w="14850" w:type="dxa"/>
            <w:gridSpan w:val="6"/>
            <w:shd w:val="clear" w:color="auto" w:fill="D9D9D9" w:themeFill="background1" w:themeFillShade="D9"/>
            <w:vAlign w:val="center"/>
          </w:tcPr>
          <w:p w:rsidR="00D37C2F" w:rsidRPr="00B30D5A" w:rsidRDefault="00D37C2F" w:rsidP="005605C6">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5605C6">
        <w:trPr>
          <w:cantSplit/>
          <w:trHeight w:val="397"/>
        </w:trPr>
        <w:tc>
          <w:tcPr>
            <w:tcW w:w="562" w:type="dxa"/>
            <w:tcBorders>
              <w:bottom w:val="single" w:sz="4" w:space="0" w:color="auto"/>
            </w:tcBorders>
            <w:vAlign w:val="center"/>
          </w:tcPr>
          <w:p w:rsidR="00D37C2F" w:rsidRPr="003B3DD1" w:rsidRDefault="00D37C2F" w:rsidP="005605C6">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5605C6">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 xml:space="preserve">wykonawczy w branży architektonicznej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instalacje wod</w:t>
            </w:r>
            <w:r>
              <w:rPr>
                <w:rFonts w:ascii="Times New Roman" w:hAnsi="Times New Roman"/>
                <w:sz w:val="20"/>
                <w:szCs w:val="20"/>
              </w:rPr>
              <w:t>.</w:t>
            </w:r>
            <w:r w:rsidRPr="00B30A41">
              <w:rPr>
                <w:rFonts w:ascii="Times New Roman" w:hAnsi="Times New Roman"/>
                <w:sz w:val="20"/>
                <w:szCs w:val="20"/>
              </w:rPr>
              <w:t xml:space="preserve">-kan., c.o.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5605C6">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bottom w:val="single" w:sz="4" w:space="0" w:color="auto"/>
            </w:tcBorders>
            <w:vAlign w:val="center"/>
          </w:tcPr>
          <w:p w:rsidR="00D37C2F" w:rsidRPr="003B3DD1" w:rsidRDefault="00D37C2F" w:rsidP="005605C6">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5605C6">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5605C6">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5605C6">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5605C6">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5605C6">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5605C6">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5605C6">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5605C6">
        <w:trPr>
          <w:cantSplit/>
          <w:trHeight w:val="397"/>
        </w:trPr>
        <w:tc>
          <w:tcPr>
            <w:tcW w:w="562" w:type="dxa"/>
            <w:tcBorders>
              <w:top w:val="single" w:sz="4" w:space="0" w:color="auto"/>
            </w:tcBorders>
            <w:vAlign w:val="center"/>
          </w:tcPr>
          <w:p w:rsidR="00D37C2F" w:rsidRPr="003B3DD1" w:rsidRDefault="00D37C2F" w:rsidP="005605C6">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5605C6">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sanitarne-instalacje wod.-kan., c.o.,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5605C6">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5605C6">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wyposażenie 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5605C6">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5605C6">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5605C6">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5605C6">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1"/>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EB" w:rsidRDefault="00D65EEB" w:rsidP="00863CF2">
      <w:pPr>
        <w:spacing w:after="0" w:line="240" w:lineRule="auto"/>
      </w:pPr>
      <w:r>
        <w:separator/>
      </w:r>
    </w:p>
  </w:endnote>
  <w:endnote w:type="continuationSeparator" w:id="0">
    <w:p w:rsidR="00D65EEB" w:rsidRDefault="00D65EEB" w:rsidP="0086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ngsanaUPC">
    <w:panose1 w:val="02020603050405020304"/>
    <w:charset w:val="00"/>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EB" w:rsidRPr="00E5776C" w:rsidRDefault="00D65EEB" w:rsidP="00846023">
    <w:pPr>
      <w:pStyle w:val="Stopka"/>
      <w:jc w:val="center"/>
      <w:rPr>
        <w:rFonts w:eastAsia="Times New Roman" w:cs="Arial"/>
        <w:color w:val="000000"/>
        <w:sz w:val="14"/>
        <w:szCs w:val="16"/>
        <w:lang w:eastAsia="pl-PL"/>
      </w:rPr>
    </w:pPr>
  </w:p>
  <w:p w:rsidR="00D65EEB" w:rsidRDefault="00D65EEB" w:rsidP="00846023">
    <w:pPr>
      <w:pStyle w:val="Stopka"/>
      <w:jc w:val="center"/>
      <w:rPr>
        <w:rFonts w:eastAsia="Times New Roman" w:cs="Arial"/>
        <w:color w:val="000000"/>
        <w:sz w:val="14"/>
        <w:szCs w:val="16"/>
        <w:lang w:eastAsia="pl-PL"/>
      </w:rPr>
    </w:pPr>
  </w:p>
  <w:p w:rsidR="00D65EEB" w:rsidRPr="00E5776C" w:rsidRDefault="00D65EEB"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D65EEB" w:rsidRPr="00E5776C" w:rsidRDefault="00D65EEB" w:rsidP="00846023">
    <w:pPr>
      <w:pStyle w:val="Stopka"/>
      <w:jc w:val="center"/>
      <w:rPr>
        <w:rFonts w:eastAsia="Times New Roman" w:cs="Arial"/>
        <w:color w:val="000000"/>
        <w:sz w:val="14"/>
        <w:szCs w:val="16"/>
        <w:lang w:eastAsia="pl-PL"/>
      </w:rPr>
    </w:pPr>
  </w:p>
  <w:p w:rsidR="00D65EEB" w:rsidRPr="00E5776C" w:rsidRDefault="00D65EEB"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D65EEB" w:rsidRPr="00E5776C" w:rsidRDefault="00D65EEB" w:rsidP="00846023">
    <w:pPr>
      <w:pStyle w:val="Stopka"/>
      <w:ind w:left="-120"/>
      <w:jc w:val="center"/>
      <w:rPr>
        <w:rFonts w:cs="Arial"/>
        <w:sz w:val="14"/>
        <w:szCs w:val="16"/>
      </w:rPr>
    </w:pPr>
    <w:r w:rsidRPr="00E5776C">
      <w:rPr>
        <w:rFonts w:cs="Arial"/>
        <w:sz w:val="14"/>
        <w:szCs w:val="16"/>
      </w:rPr>
      <w:t>im. prof. Ludwika Bierkowskiego, ul. Dojazd 34, 60-631 Poznań</w:t>
    </w:r>
  </w:p>
  <w:p w:rsidR="00D65EEB" w:rsidRPr="00E5776C" w:rsidRDefault="00D65EEB"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EndPr/>
    <w:sdtContent>
      <w:p w:rsidR="00D65EEB" w:rsidRPr="00E5776C" w:rsidRDefault="00D65EEB" w:rsidP="00E5776C">
        <w:pPr>
          <w:jc w:val="center"/>
          <w:rPr>
            <w:rFonts w:cs="Arial"/>
            <w:sz w:val="14"/>
            <w:szCs w:val="16"/>
          </w:rPr>
        </w:pPr>
        <w:r w:rsidRPr="00E5776C">
          <w:rPr>
            <w:rFonts w:cs="Arial"/>
            <w:sz w:val="14"/>
            <w:szCs w:val="16"/>
          </w:rPr>
          <w:t xml:space="preserve">Strona </w:t>
        </w:r>
        <w:r w:rsidR="00B75526" w:rsidRPr="00E5776C">
          <w:rPr>
            <w:rFonts w:cs="Arial"/>
            <w:sz w:val="14"/>
            <w:szCs w:val="16"/>
          </w:rPr>
          <w:fldChar w:fldCharType="begin"/>
        </w:r>
        <w:r w:rsidRPr="00E5776C">
          <w:rPr>
            <w:rFonts w:cs="Arial"/>
            <w:sz w:val="14"/>
            <w:szCs w:val="16"/>
          </w:rPr>
          <w:instrText xml:space="preserve"> PAGE </w:instrText>
        </w:r>
        <w:r w:rsidR="00B75526" w:rsidRPr="00E5776C">
          <w:rPr>
            <w:rFonts w:cs="Arial"/>
            <w:sz w:val="14"/>
            <w:szCs w:val="16"/>
          </w:rPr>
          <w:fldChar w:fldCharType="separate"/>
        </w:r>
        <w:r w:rsidR="00201148">
          <w:rPr>
            <w:rFonts w:cs="Arial"/>
            <w:noProof/>
            <w:sz w:val="14"/>
            <w:szCs w:val="16"/>
          </w:rPr>
          <w:t>1</w:t>
        </w:r>
        <w:r w:rsidR="00B75526" w:rsidRPr="00E5776C">
          <w:rPr>
            <w:rFonts w:cs="Arial"/>
            <w:sz w:val="14"/>
            <w:szCs w:val="16"/>
          </w:rPr>
          <w:fldChar w:fldCharType="end"/>
        </w:r>
        <w:r w:rsidRPr="00E5776C">
          <w:rPr>
            <w:rFonts w:cs="Arial"/>
            <w:sz w:val="14"/>
            <w:szCs w:val="16"/>
          </w:rPr>
          <w:t xml:space="preserve"> z </w:t>
        </w:r>
        <w:r w:rsidR="00B75526" w:rsidRPr="00E5776C">
          <w:rPr>
            <w:rFonts w:cs="Arial"/>
            <w:sz w:val="14"/>
            <w:szCs w:val="16"/>
          </w:rPr>
          <w:fldChar w:fldCharType="begin"/>
        </w:r>
        <w:r w:rsidRPr="00E5776C">
          <w:rPr>
            <w:rFonts w:cs="Arial"/>
            <w:sz w:val="14"/>
            <w:szCs w:val="16"/>
          </w:rPr>
          <w:instrText xml:space="preserve"> NUMPAGES  </w:instrText>
        </w:r>
        <w:r w:rsidR="00B75526" w:rsidRPr="00E5776C">
          <w:rPr>
            <w:rFonts w:cs="Arial"/>
            <w:sz w:val="14"/>
            <w:szCs w:val="16"/>
          </w:rPr>
          <w:fldChar w:fldCharType="separate"/>
        </w:r>
        <w:r w:rsidR="00201148">
          <w:rPr>
            <w:rFonts w:cs="Arial"/>
            <w:noProof/>
            <w:sz w:val="14"/>
            <w:szCs w:val="16"/>
          </w:rPr>
          <w:t>26</w:t>
        </w:r>
        <w:r w:rsidR="00B75526" w:rsidRPr="00E5776C">
          <w:rPr>
            <w:rFonts w:cs="Arial"/>
            <w:sz w:val="14"/>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EB" w:rsidRDefault="00D65EEB" w:rsidP="00863CF2">
      <w:pPr>
        <w:spacing w:after="0" w:line="240" w:lineRule="auto"/>
      </w:pPr>
      <w:r>
        <w:separator/>
      </w:r>
    </w:p>
  </w:footnote>
  <w:footnote w:type="continuationSeparator" w:id="0">
    <w:p w:rsidR="00D65EEB" w:rsidRDefault="00D65EEB" w:rsidP="00863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EB" w:rsidRDefault="00D65EEB">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4"/>
      <w:gridCol w:w="4714"/>
    </w:tblGrid>
    <w:tr w:rsidR="00D65EEB" w:rsidTr="00863CF2">
      <w:trPr>
        <w:trHeight w:val="1134"/>
      </w:trPr>
      <w:tc>
        <w:tcPr>
          <w:tcW w:w="4714" w:type="dxa"/>
        </w:tcPr>
        <w:p w:rsidR="00D65EEB" w:rsidRDefault="00D65EEB"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D65EEB" w:rsidRDefault="00D65EEB"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D65EEB" w:rsidRDefault="00D65EEB"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D65EEB" w:rsidRDefault="00D65EEB">
    <w:pPr>
      <w:pStyle w:val="Nagwek"/>
    </w:pPr>
  </w:p>
  <w:p w:rsidR="00D65EEB" w:rsidRDefault="00D65EEB" w:rsidP="00863CF2">
    <w:pPr>
      <w:pStyle w:val="Nagwek"/>
      <w:jc w:val="center"/>
      <w:rPr>
        <w:rFonts w:eastAsia="Arial Unicode MS" w:cs="Arial"/>
      </w:rPr>
    </w:pPr>
    <w:r w:rsidRPr="00846023">
      <w:rPr>
        <w:rFonts w:eastAsia="Arial Unicode MS" w:cs="Arial"/>
      </w:rPr>
      <w:t>Sfinansowana w ramach w ramach reakcji Unii na pandemię COVID-19</w:t>
    </w:r>
  </w:p>
  <w:p w:rsidR="00D65EEB" w:rsidRPr="00846023" w:rsidRDefault="00D65EEB" w:rsidP="00863CF2">
    <w:pPr>
      <w:pStyle w:val="Nagwek"/>
      <w:jc w:val="center"/>
      <w:rPr>
        <w:rFonts w:eastAsia="Arial Unicode M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15:restartNumberingAfterBreak="0">
    <w:nsid w:val="0E894A15"/>
    <w:multiLevelType w:val="singleLevel"/>
    <w:tmpl w:val="0E894A15"/>
    <w:lvl w:ilvl="0">
      <w:start w:val="1"/>
      <w:numFmt w:val="decimal"/>
      <w:lvlText w:val="%1."/>
      <w:legacy w:legacy="1" w:legacySpace="0" w:legacyIndent="283"/>
      <w:lvlJc w:val="left"/>
      <w:pPr>
        <w:ind w:left="283" w:hanging="283"/>
      </w:pPr>
    </w:lvl>
  </w:abstractNum>
  <w:abstractNum w:abstractNumId="7" w15:restartNumberingAfterBreak="0">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458B9"/>
    <w:multiLevelType w:val="singleLevel"/>
    <w:tmpl w:val="0E894A15"/>
    <w:lvl w:ilvl="0">
      <w:start w:val="1"/>
      <w:numFmt w:val="decimal"/>
      <w:lvlText w:val="%1."/>
      <w:legacy w:legacy="1" w:legacySpace="0" w:legacyIndent="283"/>
      <w:lvlJc w:val="left"/>
      <w:pPr>
        <w:ind w:left="283" w:hanging="283"/>
      </w:pPr>
    </w:lvl>
  </w:abstractNum>
  <w:abstractNum w:abstractNumId="9" w15:restartNumberingAfterBreak="0">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15:restartNumberingAfterBreak="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15:restartNumberingAfterBreak="0">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1655780E"/>
    <w:multiLevelType w:val="singleLevel"/>
    <w:tmpl w:val="0E894A15"/>
    <w:lvl w:ilvl="0">
      <w:start w:val="1"/>
      <w:numFmt w:val="decimal"/>
      <w:lvlText w:val="%1."/>
      <w:legacy w:legacy="1" w:legacySpace="0" w:legacyIndent="283"/>
      <w:lvlJc w:val="left"/>
      <w:pPr>
        <w:ind w:left="283" w:hanging="283"/>
      </w:pPr>
    </w:lvl>
  </w:abstractNum>
  <w:abstractNum w:abstractNumId="1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15:restartNumberingAfterBreak="0">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15:restartNumberingAfterBreak="0">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15:restartNumberingAfterBreak="0">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15:restartNumberingAfterBreak="0">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15:restartNumberingAfterBreak="0">
    <w:nsid w:val="2D8163E3"/>
    <w:multiLevelType w:val="singleLevel"/>
    <w:tmpl w:val="0E894A15"/>
    <w:lvl w:ilvl="0">
      <w:start w:val="1"/>
      <w:numFmt w:val="decimal"/>
      <w:lvlText w:val="%1."/>
      <w:legacy w:legacy="1" w:legacySpace="0" w:legacyIndent="283"/>
      <w:lvlJc w:val="left"/>
      <w:pPr>
        <w:ind w:left="708" w:hanging="283"/>
      </w:pPr>
    </w:lvl>
  </w:abstractNum>
  <w:abstractNum w:abstractNumId="25" w15:restartNumberingAfterBreak="0">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15:restartNumberingAfterBreak="0">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15:restartNumberingAfterBreak="0">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15:restartNumberingAfterBreak="0">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15:restartNumberingAfterBreak="0">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15:restartNumberingAfterBreak="0">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15:restartNumberingAfterBreak="0">
    <w:nsid w:val="408F636E"/>
    <w:multiLevelType w:val="singleLevel"/>
    <w:tmpl w:val="0E894A15"/>
    <w:lvl w:ilvl="0">
      <w:start w:val="1"/>
      <w:numFmt w:val="decimal"/>
      <w:lvlText w:val="%1."/>
      <w:legacy w:legacy="1" w:legacySpace="0" w:legacyIndent="283"/>
      <w:lvlJc w:val="left"/>
      <w:pPr>
        <w:ind w:left="283" w:hanging="283"/>
      </w:pPr>
    </w:lvl>
  </w:abstractNum>
  <w:abstractNum w:abstractNumId="3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6A65DE"/>
    <w:multiLevelType w:val="singleLevel"/>
    <w:tmpl w:val="0E894A15"/>
    <w:lvl w:ilvl="0">
      <w:start w:val="1"/>
      <w:numFmt w:val="decimal"/>
      <w:lvlText w:val="%1."/>
      <w:legacy w:legacy="1" w:legacySpace="0" w:legacyIndent="283"/>
      <w:lvlJc w:val="left"/>
      <w:pPr>
        <w:ind w:left="283" w:hanging="283"/>
      </w:pPr>
    </w:lvl>
  </w:abstractNum>
  <w:abstractNum w:abstractNumId="4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2" w15:restartNumberingAfterBreak="0">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2E25D13"/>
    <w:multiLevelType w:val="singleLevel"/>
    <w:tmpl w:val="0E894A15"/>
    <w:lvl w:ilvl="0">
      <w:start w:val="1"/>
      <w:numFmt w:val="decimal"/>
      <w:lvlText w:val="%1."/>
      <w:legacy w:legacy="1" w:legacySpace="0" w:legacyIndent="283"/>
      <w:lvlJc w:val="left"/>
      <w:pPr>
        <w:ind w:left="283" w:hanging="283"/>
      </w:pPr>
    </w:lvl>
  </w:abstractNum>
  <w:abstractNum w:abstractNumId="4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583F3254"/>
    <w:multiLevelType w:val="singleLevel"/>
    <w:tmpl w:val="0E894A15"/>
    <w:lvl w:ilvl="0">
      <w:start w:val="1"/>
      <w:numFmt w:val="decimal"/>
      <w:lvlText w:val="%1."/>
      <w:legacy w:legacy="1" w:legacySpace="0" w:legacyIndent="283"/>
      <w:lvlJc w:val="left"/>
      <w:pPr>
        <w:ind w:left="283" w:hanging="283"/>
      </w:pPr>
    </w:lvl>
  </w:abstractNum>
  <w:abstractNum w:abstractNumId="46" w15:restartNumberingAfterBreak="0">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7" w15:restartNumberingAfterBreak="0">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E22435"/>
    <w:multiLevelType w:val="singleLevel"/>
    <w:tmpl w:val="0E894A15"/>
    <w:lvl w:ilvl="0">
      <w:start w:val="1"/>
      <w:numFmt w:val="decimal"/>
      <w:lvlText w:val="%1."/>
      <w:legacy w:legacy="1" w:legacySpace="0" w:legacyIndent="283"/>
      <w:lvlJc w:val="left"/>
      <w:pPr>
        <w:ind w:left="283" w:hanging="283"/>
      </w:pPr>
    </w:lvl>
  </w:abstractNum>
  <w:abstractNum w:abstractNumId="5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174F75"/>
    <w:multiLevelType w:val="singleLevel"/>
    <w:tmpl w:val="0E894A15"/>
    <w:lvl w:ilvl="0">
      <w:start w:val="1"/>
      <w:numFmt w:val="decimal"/>
      <w:lvlText w:val="%1."/>
      <w:legacy w:legacy="1" w:legacySpace="0" w:legacyIndent="283"/>
      <w:lvlJc w:val="left"/>
      <w:pPr>
        <w:ind w:left="283" w:hanging="283"/>
      </w:pPr>
    </w:lvl>
  </w:abstractNum>
  <w:abstractNum w:abstractNumId="54" w15:restartNumberingAfterBreak="0">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F98253A"/>
    <w:multiLevelType w:val="singleLevel"/>
    <w:tmpl w:val="0E894A15"/>
    <w:lvl w:ilvl="0">
      <w:start w:val="1"/>
      <w:numFmt w:val="decimal"/>
      <w:lvlText w:val="%1."/>
      <w:legacy w:legacy="1" w:legacySpace="0" w:legacyIndent="283"/>
      <w:lvlJc w:val="left"/>
      <w:pPr>
        <w:ind w:left="283" w:hanging="283"/>
      </w:pPr>
    </w:lvl>
  </w:abstractNum>
  <w:abstractNum w:abstractNumId="56" w15:restartNumberingAfterBreak="0">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0672A9D"/>
    <w:multiLevelType w:val="singleLevel"/>
    <w:tmpl w:val="0E894A15"/>
    <w:lvl w:ilvl="0">
      <w:start w:val="1"/>
      <w:numFmt w:val="decimal"/>
      <w:lvlText w:val="%1."/>
      <w:legacy w:legacy="1" w:legacySpace="0" w:legacyIndent="283"/>
      <w:lvlJc w:val="left"/>
      <w:pPr>
        <w:ind w:left="708" w:hanging="283"/>
      </w:pPr>
    </w:lvl>
  </w:abstractNum>
  <w:abstractNum w:abstractNumId="5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531022"/>
    <w:multiLevelType w:val="singleLevel"/>
    <w:tmpl w:val="0E894A15"/>
    <w:lvl w:ilvl="0">
      <w:start w:val="1"/>
      <w:numFmt w:val="decimal"/>
      <w:lvlText w:val="%1."/>
      <w:legacy w:legacy="1" w:legacySpace="0" w:legacyIndent="283"/>
      <w:lvlJc w:val="left"/>
      <w:pPr>
        <w:ind w:left="283" w:hanging="283"/>
      </w:pPr>
    </w:lvl>
  </w:abstractNum>
  <w:abstractNum w:abstractNumId="61" w15:restartNumberingAfterBreak="0">
    <w:nsid w:val="65803238"/>
    <w:multiLevelType w:val="singleLevel"/>
    <w:tmpl w:val="0E894A15"/>
    <w:lvl w:ilvl="0">
      <w:start w:val="1"/>
      <w:numFmt w:val="decimal"/>
      <w:lvlText w:val="%1."/>
      <w:legacy w:legacy="1" w:legacySpace="0" w:legacyIndent="283"/>
      <w:lvlJc w:val="left"/>
      <w:pPr>
        <w:ind w:left="283" w:hanging="283"/>
      </w:pPr>
    </w:lvl>
  </w:abstractNum>
  <w:abstractNum w:abstractNumId="62" w15:restartNumberingAfterBreak="0">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5E12D5"/>
    <w:multiLevelType w:val="singleLevel"/>
    <w:tmpl w:val="0E894A15"/>
    <w:lvl w:ilvl="0">
      <w:start w:val="1"/>
      <w:numFmt w:val="decimal"/>
      <w:lvlText w:val="%1."/>
      <w:legacy w:legacy="1" w:legacySpace="0" w:legacyIndent="283"/>
      <w:lvlJc w:val="left"/>
      <w:pPr>
        <w:ind w:left="283" w:hanging="283"/>
      </w:pPr>
    </w:lvl>
  </w:abstractNum>
  <w:abstractNum w:abstractNumId="6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1271E5"/>
    <w:multiLevelType w:val="singleLevel"/>
    <w:tmpl w:val="0E894A15"/>
    <w:lvl w:ilvl="0">
      <w:start w:val="1"/>
      <w:numFmt w:val="decimal"/>
      <w:lvlText w:val="%1."/>
      <w:legacy w:legacy="1" w:legacySpace="0" w:legacyIndent="283"/>
      <w:lvlJc w:val="left"/>
      <w:pPr>
        <w:ind w:left="283" w:hanging="283"/>
      </w:pPr>
    </w:lvl>
  </w:abstractNum>
  <w:abstractNum w:abstractNumId="66" w15:restartNumberingAfterBreak="0">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2" w15:restartNumberingAfterBreak="0">
    <w:nsid w:val="7B05408B"/>
    <w:multiLevelType w:val="hybridMultilevel"/>
    <w:tmpl w:val="C688047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3" w15:restartNumberingAfterBreak="0">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2"/>
  </w:num>
  <w:num w:numId="3">
    <w:abstractNumId w:val="71"/>
  </w:num>
  <w:num w:numId="4">
    <w:abstractNumId w:val="69"/>
  </w:num>
  <w:num w:numId="5">
    <w:abstractNumId w:val="44"/>
  </w:num>
  <w:num w:numId="6">
    <w:abstractNumId w:val="4"/>
  </w:num>
  <w:num w:numId="7">
    <w:abstractNumId w:val="3"/>
  </w:num>
  <w:num w:numId="8">
    <w:abstractNumId w:val="67"/>
  </w:num>
  <w:num w:numId="9">
    <w:abstractNumId w:val="7"/>
  </w:num>
  <w:num w:numId="10">
    <w:abstractNumId w:val="41"/>
  </w:num>
  <w:num w:numId="11">
    <w:abstractNumId w:val="49"/>
  </w:num>
  <w:num w:numId="12">
    <w:abstractNumId w:val="20"/>
  </w:num>
  <w:num w:numId="13">
    <w:abstractNumId w:val="15"/>
  </w:num>
  <w:num w:numId="14">
    <w:abstractNumId w:val="37"/>
  </w:num>
  <w:num w:numId="15">
    <w:abstractNumId w:val="2"/>
  </w:num>
  <w:num w:numId="16">
    <w:abstractNumId w:val="26"/>
  </w:num>
  <w:num w:numId="17">
    <w:abstractNumId w:val="52"/>
  </w:num>
  <w:num w:numId="18">
    <w:abstractNumId w:val="70"/>
  </w:num>
  <w:num w:numId="19">
    <w:abstractNumId w:val="48"/>
  </w:num>
  <w:num w:numId="20">
    <w:abstractNumId w:val="51"/>
  </w:num>
  <w:num w:numId="21">
    <w:abstractNumId w:val="46"/>
  </w:num>
  <w:num w:numId="22">
    <w:abstractNumId w:val="34"/>
  </w:num>
  <w:num w:numId="23">
    <w:abstractNumId w:val="0"/>
  </w:num>
  <w:num w:numId="24">
    <w:abstractNumId w:val="35"/>
  </w:num>
  <w:num w:numId="25">
    <w:abstractNumId w:val="40"/>
  </w:num>
  <w:num w:numId="26">
    <w:abstractNumId w:val="64"/>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8"/>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6"/>
  </w:num>
  <w:num w:numId="33">
    <w:abstractNumId w:val="47"/>
  </w:num>
  <w:num w:numId="34">
    <w:abstractNumId w:val="43"/>
  </w:num>
  <w:num w:numId="35">
    <w:abstractNumId w:val="50"/>
  </w:num>
  <w:num w:numId="36">
    <w:abstractNumId w:val="14"/>
  </w:num>
  <w:num w:numId="37">
    <w:abstractNumId w:val="39"/>
  </w:num>
  <w:num w:numId="38">
    <w:abstractNumId w:val="53"/>
  </w:num>
  <w:num w:numId="39">
    <w:abstractNumId w:val="31"/>
  </w:num>
  <w:num w:numId="40">
    <w:abstractNumId w:val="61"/>
  </w:num>
  <w:num w:numId="41">
    <w:abstractNumId w:val="25"/>
  </w:num>
  <w:num w:numId="42">
    <w:abstractNumId w:val="30"/>
  </w:num>
  <w:num w:numId="43">
    <w:abstractNumId w:val="36"/>
  </w:num>
  <w:num w:numId="44">
    <w:abstractNumId w:val="62"/>
  </w:num>
  <w:num w:numId="45">
    <w:abstractNumId w:val="38"/>
  </w:num>
  <w:num w:numId="46">
    <w:abstractNumId w:val="59"/>
  </w:num>
  <w:num w:numId="47">
    <w:abstractNumId w:val="29"/>
  </w:num>
  <w:num w:numId="48">
    <w:abstractNumId w:val="24"/>
  </w:num>
  <w:num w:numId="49">
    <w:abstractNumId w:val="8"/>
  </w:num>
  <w:num w:numId="50">
    <w:abstractNumId w:val="63"/>
  </w:num>
  <w:num w:numId="51">
    <w:abstractNumId w:val="66"/>
  </w:num>
  <w:num w:numId="52">
    <w:abstractNumId w:val="17"/>
  </w:num>
  <w:num w:numId="53">
    <w:abstractNumId w:val="10"/>
  </w:num>
  <w:num w:numId="54">
    <w:abstractNumId w:val="18"/>
  </w:num>
  <w:num w:numId="55">
    <w:abstractNumId w:val="55"/>
  </w:num>
  <w:num w:numId="56">
    <w:abstractNumId w:val="28"/>
  </w:num>
  <w:num w:numId="57">
    <w:abstractNumId w:val="16"/>
  </w:num>
  <w:num w:numId="58">
    <w:abstractNumId w:val="27"/>
  </w:num>
  <w:num w:numId="59">
    <w:abstractNumId w:val="73"/>
  </w:num>
  <w:num w:numId="60">
    <w:abstractNumId w:val="33"/>
  </w:num>
  <w:num w:numId="61">
    <w:abstractNumId w:val="45"/>
  </w:num>
  <w:num w:numId="62">
    <w:abstractNumId w:val="19"/>
  </w:num>
  <w:num w:numId="63">
    <w:abstractNumId w:val="1"/>
  </w:num>
  <w:num w:numId="64">
    <w:abstractNumId w:val="57"/>
  </w:num>
  <w:num w:numId="65">
    <w:abstractNumId w:val="42"/>
  </w:num>
  <w:num w:numId="66">
    <w:abstractNumId w:val="11"/>
  </w:num>
  <w:num w:numId="67">
    <w:abstractNumId w:val="22"/>
  </w:num>
  <w:num w:numId="68">
    <w:abstractNumId w:val="60"/>
  </w:num>
  <w:num w:numId="69">
    <w:abstractNumId w:val="12"/>
  </w:num>
  <w:num w:numId="70">
    <w:abstractNumId w:val="65"/>
  </w:num>
  <w:num w:numId="71">
    <w:abstractNumId w:val="32"/>
  </w:num>
  <w:num w:numId="72">
    <w:abstractNumId w:val="9"/>
  </w:num>
  <w:num w:numId="73">
    <w:abstractNumId w:val="23"/>
  </w:num>
  <w:num w:numId="74">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2"/>
    <w:rsid w:val="00015BEA"/>
    <w:rsid w:val="00085D91"/>
    <w:rsid w:val="00091271"/>
    <w:rsid w:val="00092205"/>
    <w:rsid w:val="001D1324"/>
    <w:rsid w:val="00201148"/>
    <w:rsid w:val="002208C0"/>
    <w:rsid w:val="002568BC"/>
    <w:rsid w:val="002B164A"/>
    <w:rsid w:val="002C2589"/>
    <w:rsid w:val="002D378A"/>
    <w:rsid w:val="002D3AC4"/>
    <w:rsid w:val="002F77B9"/>
    <w:rsid w:val="00305BE9"/>
    <w:rsid w:val="00320CF3"/>
    <w:rsid w:val="003510C9"/>
    <w:rsid w:val="00384FA6"/>
    <w:rsid w:val="003F3C49"/>
    <w:rsid w:val="003F4351"/>
    <w:rsid w:val="00490B93"/>
    <w:rsid w:val="004A77BB"/>
    <w:rsid w:val="004C2006"/>
    <w:rsid w:val="004E1261"/>
    <w:rsid w:val="005357EA"/>
    <w:rsid w:val="00554F5D"/>
    <w:rsid w:val="00577B35"/>
    <w:rsid w:val="005D7C7F"/>
    <w:rsid w:val="005E31BE"/>
    <w:rsid w:val="0062727C"/>
    <w:rsid w:val="00695ACB"/>
    <w:rsid w:val="006B6409"/>
    <w:rsid w:val="006D4590"/>
    <w:rsid w:val="007334C4"/>
    <w:rsid w:val="00772196"/>
    <w:rsid w:val="0077671B"/>
    <w:rsid w:val="00783A22"/>
    <w:rsid w:val="007865A1"/>
    <w:rsid w:val="007A4E25"/>
    <w:rsid w:val="007B1731"/>
    <w:rsid w:val="007D5705"/>
    <w:rsid w:val="008003AF"/>
    <w:rsid w:val="00846023"/>
    <w:rsid w:val="008524D5"/>
    <w:rsid w:val="00857E43"/>
    <w:rsid w:val="00863CF2"/>
    <w:rsid w:val="00892B66"/>
    <w:rsid w:val="008A0A53"/>
    <w:rsid w:val="008C5614"/>
    <w:rsid w:val="009457E9"/>
    <w:rsid w:val="0097018D"/>
    <w:rsid w:val="0098060B"/>
    <w:rsid w:val="00987CD8"/>
    <w:rsid w:val="009C557F"/>
    <w:rsid w:val="009D1BBB"/>
    <w:rsid w:val="009D6DE9"/>
    <w:rsid w:val="00A75E95"/>
    <w:rsid w:val="00AD0C58"/>
    <w:rsid w:val="00AD5546"/>
    <w:rsid w:val="00B75526"/>
    <w:rsid w:val="00B87478"/>
    <w:rsid w:val="00BD3FE8"/>
    <w:rsid w:val="00C10044"/>
    <w:rsid w:val="00C10F8C"/>
    <w:rsid w:val="00C422B5"/>
    <w:rsid w:val="00C759CD"/>
    <w:rsid w:val="00C872CF"/>
    <w:rsid w:val="00CA6294"/>
    <w:rsid w:val="00CB317A"/>
    <w:rsid w:val="00D37C2F"/>
    <w:rsid w:val="00D43489"/>
    <w:rsid w:val="00D5074E"/>
    <w:rsid w:val="00D65EEB"/>
    <w:rsid w:val="00D671FF"/>
    <w:rsid w:val="00DA5CA2"/>
    <w:rsid w:val="00DB3476"/>
    <w:rsid w:val="00E5776C"/>
    <w:rsid w:val="00E81073"/>
    <w:rsid w:val="00EA36E4"/>
    <w:rsid w:val="00EC4620"/>
    <w:rsid w:val="00EE6B3D"/>
    <w:rsid w:val="00EF61A4"/>
    <w:rsid w:val="00F56920"/>
    <w:rsid w:val="00F75AFE"/>
    <w:rsid w:val="00FD5019"/>
    <w:rsid w:val="00FD6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D296C12-D613-4F2A-8DE7-46CA361F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rsid w:val="00AD5546"/>
    <w:rPr>
      <w:rFonts w:ascii="Segoe UI" w:eastAsia="Calibri" w:hAnsi="Segoe UI" w:cs="Segoe UI"/>
      <w:sz w:val="16"/>
      <w:szCs w:val="16"/>
    </w:rPr>
  </w:style>
  <w:style w:type="paragraph" w:styleId="Mapadokumentu">
    <w:name w:val="Document Map"/>
    <w:basedOn w:val="Normalny"/>
    <w:link w:val="Mapa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9628</Words>
  <Characters>57774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Ewa Filipiak-Kozłowska</cp:lastModifiedBy>
  <cp:revision>2</cp:revision>
  <cp:lastPrinted>2023-05-12T14:42:00Z</cp:lastPrinted>
  <dcterms:created xsi:type="dcterms:W3CDTF">2023-05-31T20:27:00Z</dcterms:created>
  <dcterms:modified xsi:type="dcterms:W3CDTF">2023-05-31T20:27:00Z</dcterms:modified>
</cp:coreProperties>
</file>