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C779" w14:textId="77777777" w:rsidR="00522F0F" w:rsidRPr="00F771CB" w:rsidRDefault="00522F0F" w:rsidP="00F771CB">
      <w:pPr>
        <w:jc w:val="both"/>
        <w:rPr>
          <w:rFonts w:asciiTheme="majorHAnsi" w:hAnsiTheme="majorHAnsi" w:cstheme="majorHAnsi"/>
        </w:rPr>
        <w:sectPr w:rsidR="00522F0F" w:rsidRPr="00F771CB" w:rsidSect="0066031F">
          <w:headerReference w:type="default" r:id="rId8"/>
          <w:footerReference w:type="default" r:id="rId9"/>
          <w:pgSz w:w="11900" w:h="16840"/>
          <w:pgMar w:top="284" w:right="1417" w:bottom="1417" w:left="1417" w:header="0" w:footer="3" w:gutter="0"/>
          <w:cols w:space="720"/>
          <w:noEndnote/>
          <w:docGrid w:linePitch="360"/>
        </w:sectPr>
      </w:pPr>
    </w:p>
    <w:p w14:paraId="66872154" w14:textId="3A4D12C3" w:rsidR="009A68EF" w:rsidRPr="00B44E38" w:rsidRDefault="003D6073" w:rsidP="00F771CB">
      <w:pPr>
        <w:pStyle w:val="Nagwek10"/>
        <w:keepNext/>
        <w:keepLines/>
        <w:shd w:val="clear" w:color="auto" w:fill="auto"/>
        <w:spacing w:before="0" w:after="0" w:line="240" w:lineRule="auto"/>
        <w:jc w:val="both"/>
        <w:rPr>
          <w:rStyle w:val="Nagwek11"/>
          <w:rFonts w:asciiTheme="majorHAnsi" w:hAnsiTheme="majorHAnsi" w:cstheme="majorHAnsi"/>
          <w:b/>
          <w:bCs/>
          <w:sz w:val="24"/>
          <w:szCs w:val="24"/>
        </w:rPr>
      </w:pPr>
      <w:r w:rsidRPr="00B44E38">
        <w:rPr>
          <w:rStyle w:val="Nagwek11"/>
          <w:rFonts w:asciiTheme="majorHAnsi" w:hAnsiTheme="majorHAnsi" w:cstheme="majorHAnsi"/>
          <w:b/>
          <w:bCs/>
          <w:sz w:val="24"/>
          <w:szCs w:val="24"/>
        </w:rPr>
        <w:t xml:space="preserve">Załącznik nr 2 </w:t>
      </w:r>
      <w:r w:rsidR="009A68EF" w:rsidRPr="00B44E38">
        <w:rPr>
          <w:rStyle w:val="Nagwek11"/>
          <w:rFonts w:asciiTheme="majorHAnsi" w:hAnsiTheme="majorHAnsi" w:cstheme="majorHAnsi"/>
          <w:b/>
          <w:bCs/>
          <w:sz w:val="24"/>
          <w:szCs w:val="24"/>
        </w:rPr>
        <w:t>Opis przedmiotu zamówienia</w:t>
      </w:r>
    </w:p>
    <w:p w14:paraId="553FBE56" w14:textId="77777777" w:rsidR="0066031F" w:rsidRPr="00B44E38" w:rsidRDefault="0066031F" w:rsidP="00F771CB">
      <w:pPr>
        <w:jc w:val="both"/>
        <w:rPr>
          <w:rFonts w:asciiTheme="majorHAnsi" w:hAnsiTheme="majorHAnsi" w:cstheme="majorHAnsi"/>
          <w:b/>
          <w:bCs/>
        </w:rPr>
      </w:pPr>
    </w:p>
    <w:p w14:paraId="24CA81D2" w14:textId="77777777" w:rsidR="0066031F" w:rsidRPr="00F771CB" w:rsidRDefault="009A68EF" w:rsidP="00F771CB">
      <w:pPr>
        <w:jc w:val="both"/>
        <w:rPr>
          <w:rFonts w:asciiTheme="majorHAnsi" w:eastAsia="Times New Roman" w:hAnsiTheme="majorHAnsi" w:cstheme="majorHAnsi"/>
        </w:rPr>
      </w:pPr>
      <w:r w:rsidRPr="00F771CB">
        <w:rPr>
          <w:rFonts w:asciiTheme="majorHAnsi" w:hAnsiTheme="majorHAnsi" w:cstheme="majorHAnsi"/>
        </w:rPr>
        <w:t xml:space="preserve">Przedmiotem </w:t>
      </w:r>
      <w:r w:rsidR="00636140" w:rsidRPr="00F771CB">
        <w:rPr>
          <w:rFonts w:asciiTheme="majorHAnsi" w:hAnsiTheme="majorHAnsi" w:cstheme="majorHAnsi"/>
        </w:rPr>
        <w:t xml:space="preserve">zamówienia </w:t>
      </w:r>
      <w:r w:rsidR="00E523DD" w:rsidRPr="00F771CB">
        <w:rPr>
          <w:rFonts w:asciiTheme="majorHAnsi" w:hAnsiTheme="majorHAnsi" w:cstheme="majorHAnsi"/>
        </w:rPr>
        <w:t>są</w:t>
      </w:r>
      <w:r w:rsidR="00636140" w:rsidRPr="00F771CB">
        <w:rPr>
          <w:rFonts w:asciiTheme="majorHAnsi" w:hAnsiTheme="majorHAnsi" w:cstheme="majorHAnsi"/>
        </w:rPr>
        <w:t xml:space="preserve"> </w:t>
      </w:r>
      <w:r w:rsidR="00E523DD" w:rsidRPr="00F771CB">
        <w:rPr>
          <w:rFonts w:asciiTheme="majorHAnsi" w:eastAsia="Times New Roman" w:hAnsiTheme="majorHAnsi" w:cstheme="majorHAnsi"/>
        </w:rPr>
        <w:t>usługi wsparcia przy tworzeniu nowej strony www Politechniki Warszawskiej w celu uzyskania dostępności cyfrowej wg WCAG 2.1. poziom AA oraz audyty dostępności z wydaniem zaświadczenia / certyfikatu.</w:t>
      </w:r>
    </w:p>
    <w:p w14:paraId="2DDAB267" w14:textId="77777777" w:rsidR="00F771CB" w:rsidRDefault="00F771CB" w:rsidP="00F771CB">
      <w:pPr>
        <w:jc w:val="both"/>
        <w:rPr>
          <w:rFonts w:asciiTheme="majorHAnsi" w:hAnsiTheme="majorHAnsi" w:cstheme="majorHAnsi"/>
        </w:rPr>
      </w:pPr>
    </w:p>
    <w:p w14:paraId="6346966D" w14:textId="39FAE060" w:rsidR="00255E71" w:rsidRPr="00F771CB" w:rsidRDefault="009A68EF" w:rsidP="00F771CB">
      <w:pPr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t>Przedmiot zamówienia obejmuje</w:t>
      </w:r>
      <w:r w:rsidR="00255E71" w:rsidRPr="00F771CB">
        <w:rPr>
          <w:rFonts w:asciiTheme="majorHAnsi" w:hAnsiTheme="majorHAnsi" w:cstheme="majorHAnsi"/>
        </w:rPr>
        <w:t>:</w:t>
      </w:r>
    </w:p>
    <w:p w14:paraId="46505CD7" w14:textId="77777777" w:rsidR="00255E71" w:rsidRPr="00F771CB" w:rsidRDefault="00255E71" w:rsidP="00F771CB">
      <w:pPr>
        <w:pStyle w:val="Akapitzlist"/>
        <w:widowControl/>
        <w:numPr>
          <w:ilvl w:val="0"/>
          <w:numId w:val="10"/>
        </w:numPr>
        <w:tabs>
          <w:tab w:val="left" w:pos="284"/>
        </w:tabs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t>Warunki ogólne:</w:t>
      </w:r>
    </w:p>
    <w:p w14:paraId="140677BA" w14:textId="77777777" w:rsidR="00255E71" w:rsidRPr="00F771CB" w:rsidRDefault="00255E71" w:rsidP="00F771CB">
      <w:pPr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t xml:space="preserve">Przedmiotem zamówienia są: </w:t>
      </w:r>
      <w:r w:rsidRPr="00F771CB">
        <w:rPr>
          <w:rFonts w:asciiTheme="majorHAnsi" w:eastAsia="Calibri" w:hAnsiTheme="majorHAnsi" w:cstheme="majorHAnsi"/>
        </w:rPr>
        <w:t>bieżące wsparcie podczas tworzenia nowej strony www Politechniki Warszawskiej</w:t>
      </w:r>
      <w:r w:rsidRPr="00F771CB">
        <w:rPr>
          <w:rFonts w:asciiTheme="majorHAnsi" w:hAnsiTheme="majorHAnsi" w:cstheme="majorHAnsi"/>
          <w:iCs/>
        </w:rPr>
        <w:t xml:space="preserve"> </w:t>
      </w:r>
      <w:hyperlink r:id="rId10">
        <w:r w:rsidRPr="00F771CB">
          <w:rPr>
            <w:rStyle w:val="Hipercze"/>
            <w:rFonts w:asciiTheme="majorHAnsi" w:hAnsiTheme="majorHAnsi" w:cstheme="majorHAnsi"/>
          </w:rPr>
          <w:t>www.pw.edu.pl</w:t>
        </w:r>
      </w:hyperlink>
      <w:r w:rsidRPr="00F771CB">
        <w:rPr>
          <w:rFonts w:asciiTheme="majorHAnsi" w:hAnsiTheme="majorHAnsi" w:cstheme="majorHAnsi"/>
        </w:rPr>
        <w:t xml:space="preserve"> (obejmujące konsultacje i audyty cząstkowe), mające</w:t>
      </w:r>
      <w:r w:rsidRPr="00F771CB">
        <w:rPr>
          <w:rFonts w:asciiTheme="majorHAnsi" w:hAnsiTheme="majorHAnsi" w:cstheme="majorHAnsi"/>
          <w:iCs/>
        </w:rPr>
        <w:t xml:space="preserve"> na celu uzyskanie </w:t>
      </w:r>
      <w:r w:rsidRPr="00F771CB">
        <w:rPr>
          <w:rFonts w:asciiTheme="majorHAnsi" w:hAnsiTheme="majorHAnsi" w:cstheme="majorHAnsi"/>
        </w:rPr>
        <w:t>dostępności cyfrowej ww. strony</w:t>
      </w:r>
      <w:r w:rsidRPr="00F771CB">
        <w:rPr>
          <w:rFonts w:asciiTheme="majorHAnsi" w:hAnsiTheme="majorHAnsi" w:cstheme="majorHAnsi"/>
          <w:iCs/>
        </w:rPr>
        <w:t xml:space="preserve"> www według zasad określonych </w:t>
      </w:r>
      <w:r w:rsidRPr="00F771CB">
        <w:rPr>
          <w:rFonts w:asciiTheme="majorHAnsi" w:hAnsiTheme="majorHAnsi" w:cstheme="majorHAnsi"/>
        </w:rPr>
        <w:t xml:space="preserve">w ramach Wytycznych Dotyczących Dostępności Treści Internetowych (WCAG 2.1 poziom AA) oraz </w:t>
      </w:r>
      <w:r w:rsidRPr="00F771CB">
        <w:rPr>
          <w:rFonts w:asciiTheme="majorHAnsi" w:eastAsia="Calibri" w:hAnsiTheme="majorHAnsi" w:cstheme="majorHAnsi"/>
        </w:rPr>
        <w:t>przeprowadzanie audytów dostępności wskazanych stron www (</w:t>
      </w:r>
      <w:hyperlink r:id="rId11">
        <w:r w:rsidRPr="00F771CB">
          <w:rPr>
            <w:rStyle w:val="Hipercze"/>
            <w:rFonts w:asciiTheme="majorHAnsi" w:eastAsia="Calibri" w:hAnsiTheme="majorHAnsi" w:cstheme="majorHAnsi"/>
          </w:rPr>
          <w:t>www.pw.edu.pl,</w:t>
        </w:r>
      </w:hyperlink>
      <w:r w:rsidRPr="00F771CB">
        <w:rPr>
          <w:rFonts w:asciiTheme="majorHAnsi" w:eastAsia="Calibri" w:hAnsiTheme="majorHAnsi" w:cstheme="majorHAnsi"/>
        </w:rPr>
        <w:t xml:space="preserve"> </w:t>
      </w:r>
      <w:hyperlink r:id="rId12">
        <w:r w:rsidRPr="00F771CB">
          <w:rPr>
            <w:rStyle w:val="Hipercze"/>
            <w:rFonts w:asciiTheme="majorHAnsi" w:eastAsia="Calibri" w:hAnsiTheme="majorHAnsi" w:cstheme="majorHAnsi"/>
          </w:rPr>
          <w:t>www.fizyka.pw.edu.pl,</w:t>
        </w:r>
      </w:hyperlink>
      <w:r w:rsidRPr="00F771CB">
        <w:rPr>
          <w:rFonts w:asciiTheme="majorHAnsi" w:eastAsia="Calibri" w:hAnsiTheme="majorHAnsi" w:cstheme="majorHAnsi"/>
        </w:rPr>
        <w:t xml:space="preserve"> </w:t>
      </w:r>
      <w:hyperlink r:id="rId13">
        <w:r w:rsidRPr="00F771CB">
          <w:rPr>
            <w:rStyle w:val="Hipercze"/>
            <w:rFonts w:asciiTheme="majorHAnsi" w:eastAsia="Calibri" w:hAnsiTheme="majorHAnsi" w:cstheme="majorHAnsi"/>
          </w:rPr>
          <w:t>www.okno.pw.edu.pll</w:t>
        </w:r>
      </w:hyperlink>
      <w:r w:rsidRPr="00F771CB">
        <w:rPr>
          <w:rFonts w:asciiTheme="majorHAnsi" w:eastAsia="Calibri" w:hAnsiTheme="majorHAnsi" w:cstheme="majorHAnsi"/>
        </w:rPr>
        <w:t xml:space="preserve">, </w:t>
      </w:r>
      <w:hyperlink r:id="rId14">
        <w:r w:rsidRPr="00F771CB">
          <w:rPr>
            <w:rStyle w:val="Hipercze"/>
            <w:rFonts w:asciiTheme="majorHAnsi" w:eastAsia="Calibri" w:hAnsiTheme="majorHAnsi" w:cstheme="majorHAnsi"/>
          </w:rPr>
          <w:t>www.bg.pw.edu.pl)</w:t>
        </w:r>
      </w:hyperlink>
      <w:r w:rsidRPr="00F771CB">
        <w:rPr>
          <w:rFonts w:asciiTheme="majorHAnsi" w:eastAsia="Calibri" w:hAnsiTheme="majorHAnsi" w:cstheme="majorHAnsi"/>
        </w:rPr>
        <w:t>, zakończonych wydaniem zaświadczenia lub certyfikatu, poświadczających spełnianie ww. wymogów.</w:t>
      </w:r>
    </w:p>
    <w:p w14:paraId="3F3094CF" w14:textId="77777777" w:rsidR="00255E71" w:rsidRPr="00F771CB" w:rsidRDefault="00255E71" w:rsidP="00F771CB">
      <w:pPr>
        <w:pStyle w:val="Akapitzlist"/>
        <w:widowControl/>
        <w:numPr>
          <w:ilvl w:val="0"/>
          <w:numId w:val="13"/>
        </w:numPr>
        <w:tabs>
          <w:tab w:val="left" w:pos="284"/>
        </w:tabs>
        <w:ind w:left="958" w:hanging="493"/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t>W zakres przedmiotu zamówienia wchodzi:</w:t>
      </w:r>
    </w:p>
    <w:p w14:paraId="45C9A80F" w14:textId="77777777" w:rsidR="00255E71" w:rsidRPr="00F771CB" w:rsidRDefault="00255E71" w:rsidP="00F771CB">
      <w:pPr>
        <w:pStyle w:val="Akapitzlist"/>
        <w:widowControl/>
        <w:numPr>
          <w:ilvl w:val="1"/>
          <w:numId w:val="9"/>
        </w:numPr>
        <w:tabs>
          <w:tab w:val="left" w:pos="284"/>
        </w:tabs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t>Bieżące wsparcie w trakcie tworzenia nowej strony www Politechniki Warszawskiej, mające na celu zapewnienie dostępności serwisu, w tym przeprowadzenie audytów cząstkowych.</w:t>
      </w:r>
    </w:p>
    <w:p w14:paraId="64411FA3" w14:textId="77777777" w:rsidR="00255E71" w:rsidRPr="00F771CB" w:rsidRDefault="00255E71" w:rsidP="00F771CB">
      <w:pPr>
        <w:pStyle w:val="Akapitzlist"/>
        <w:widowControl/>
        <w:numPr>
          <w:ilvl w:val="1"/>
          <w:numId w:val="9"/>
        </w:numPr>
        <w:tabs>
          <w:tab w:val="left" w:pos="284"/>
        </w:tabs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  <w:iCs/>
        </w:rPr>
        <w:t>Usługa przeprowadzenia specjalistycznych badań i testów dostępności cyfrowej (audytu) wybranych przez Zamawiającego stron internetowych.</w:t>
      </w:r>
    </w:p>
    <w:p w14:paraId="3167A867" w14:textId="57312F2D" w:rsidR="00255E71" w:rsidRPr="009258F0" w:rsidRDefault="00255E71" w:rsidP="00F771CB">
      <w:pPr>
        <w:pStyle w:val="Akapitzlist"/>
        <w:widowControl/>
        <w:numPr>
          <w:ilvl w:val="1"/>
          <w:numId w:val="11"/>
        </w:numPr>
        <w:jc w:val="both"/>
        <w:rPr>
          <w:rFonts w:asciiTheme="majorHAnsi" w:hAnsiTheme="majorHAnsi" w:cstheme="majorHAnsi"/>
          <w:color w:val="C00000"/>
        </w:rPr>
      </w:pPr>
      <w:r w:rsidRPr="00F771CB">
        <w:rPr>
          <w:rFonts w:asciiTheme="majorHAnsi" w:hAnsiTheme="majorHAnsi" w:cstheme="majorHAnsi"/>
        </w:rPr>
        <w:t xml:space="preserve">Termin realizacji: </w:t>
      </w:r>
      <w:r w:rsidRPr="009258F0">
        <w:rPr>
          <w:rFonts w:asciiTheme="majorHAnsi" w:hAnsiTheme="majorHAnsi" w:cstheme="majorHAnsi"/>
          <w:color w:val="C00000"/>
        </w:rPr>
        <w:t>do 31 grudnia 2023 r.</w:t>
      </w:r>
    </w:p>
    <w:p w14:paraId="70B43861" w14:textId="77777777" w:rsidR="00255E71" w:rsidRPr="00F771CB" w:rsidRDefault="00255E71" w:rsidP="00F771CB">
      <w:pPr>
        <w:pStyle w:val="Akapitzlist"/>
        <w:widowControl/>
        <w:numPr>
          <w:ilvl w:val="1"/>
          <w:numId w:val="11"/>
        </w:numPr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t xml:space="preserve">Zamawiający wymaga, aby w efekcie przeprowadzonych prac wszystkie strony objęte przedmiotem zamówienia były zgodne z zasadami określonymi w ramach Wytycznych Dotyczących Dostępności Treści Internetowych (WCAG 2.1 poziom AA). Wszelkie niejasności precyzuje oficjalne tłumaczenie standardów WCAG 2.1 na język polski, który można znaleźć pod adresem: </w:t>
      </w:r>
      <w:hyperlink r:id="rId15" w:anchor="perceivable">
        <w:r w:rsidRPr="00F771CB">
          <w:rPr>
            <w:rStyle w:val="Hipercze"/>
            <w:rFonts w:asciiTheme="majorHAnsi" w:hAnsiTheme="majorHAnsi" w:cstheme="majorHAnsi"/>
            <w:color w:val="auto"/>
          </w:rPr>
          <w:t>https://www.w3.org/Translations/WCAG21-pl/#perceivable</w:t>
        </w:r>
      </w:hyperlink>
      <w:r w:rsidRPr="00F771CB">
        <w:rPr>
          <w:rFonts w:asciiTheme="majorHAnsi" w:hAnsiTheme="majorHAnsi" w:cstheme="majorHAnsi"/>
        </w:rPr>
        <w:t>. Wykonawca zbada strony internetowe pod kątem zgodności z Ustawą z dnia 4 kwietnia 2019 o dostępności cyfrowej stron internetowych i aplikacji mobilnych podmiotów publicznych (Dz.U. 2019 poz. 848) (zwaną dalej Ustawą) i podda weryfikacji zgodności z Załącznikiem do Ustawy (</w:t>
      </w:r>
      <w:r w:rsidRPr="00F771CB">
        <w:rPr>
          <w:rFonts w:asciiTheme="majorHAnsi" w:eastAsia="Calibri" w:hAnsiTheme="majorHAnsi" w:cstheme="majorHAnsi"/>
        </w:rPr>
        <w:t>„Wytyczne dla dostępności treści internetowych 2.1 stosowane dla stron internetowych i aplikacji mobilnych w zakresie dostępności dla osób niepełnosprawnych”)</w:t>
      </w:r>
      <w:r w:rsidRPr="00F771CB">
        <w:rPr>
          <w:rFonts w:asciiTheme="majorHAnsi" w:hAnsiTheme="majorHAnsi" w:cstheme="majorHAnsi"/>
        </w:rPr>
        <w:t>.</w:t>
      </w:r>
    </w:p>
    <w:p w14:paraId="4CE3CD96" w14:textId="77777777" w:rsidR="00255E71" w:rsidRPr="00F771CB" w:rsidRDefault="00255E71" w:rsidP="00F771CB">
      <w:pPr>
        <w:pStyle w:val="Akapitzlist"/>
        <w:widowControl/>
        <w:numPr>
          <w:ilvl w:val="1"/>
          <w:numId w:val="11"/>
        </w:numPr>
        <w:jc w:val="both"/>
        <w:rPr>
          <w:rFonts w:asciiTheme="majorHAnsi" w:eastAsia="Calibri" w:hAnsiTheme="majorHAnsi" w:cstheme="majorHAnsi"/>
          <w:color w:val="D13438"/>
          <w:u w:val="single"/>
        </w:rPr>
      </w:pPr>
      <w:r w:rsidRPr="00F771CB">
        <w:rPr>
          <w:rFonts w:asciiTheme="majorHAnsi" w:hAnsiTheme="majorHAnsi" w:cstheme="majorHAnsi"/>
        </w:rPr>
        <w:t>Wykonawca jest zobowiązany w każdym momencie obowiązywania umowy na żądanie Zamawiającego udostępnić do wglądu wszelkie informacje i dokumenty mające związek z realizacją umowy.</w:t>
      </w:r>
    </w:p>
    <w:p w14:paraId="5A52C024" w14:textId="77777777" w:rsidR="00255E71" w:rsidRPr="00F771CB" w:rsidRDefault="00255E71" w:rsidP="00F771CB">
      <w:pPr>
        <w:pStyle w:val="Akapitzlist"/>
        <w:widowControl/>
        <w:numPr>
          <w:ilvl w:val="1"/>
          <w:numId w:val="11"/>
        </w:numPr>
        <w:jc w:val="both"/>
        <w:rPr>
          <w:rFonts w:asciiTheme="majorHAnsi" w:eastAsia="Calibri" w:hAnsiTheme="majorHAnsi" w:cstheme="majorHAnsi"/>
        </w:rPr>
      </w:pPr>
      <w:r w:rsidRPr="00F771CB">
        <w:rPr>
          <w:rFonts w:asciiTheme="majorHAnsi" w:eastAsia="Calibri" w:hAnsiTheme="majorHAnsi" w:cstheme="majorHAnsi"/>
        </w:rPr>
        <w:t>Wykonawca jest zobowiązany do przeprowadzenia audytów w terminach uzgodnionych z Zamawiającym. Wykonawca zaproponuje termin niezwłocznie, jednakże nie później niż w kolejnym dniu roboczym, po każdorazowym mailowym zgłoszeniu przez Zamawiającego potrzeby wykonania audytu. Zamawiający zaakceptuje propozycję terminu lub wyznaczy własny.</w:t>
      </w:r>
    </w:p>
    <w:p w14:paraId="33A21E50" w14:textId="77777777" w:rsidR="00255E71" w:rsidRPr="00F771CB" w:rsidRDefault="00255E71" w:rsidP="00F771CB">
      <w:pPr>
        <w:pStyle w:val="Akapitzlist"/>
        <w:widowControl/>
        <w:numPr>
          <w:ilvl w:val="1"/>
          <w:numId w:val="11"/>
        </w:numPr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lastRenderedPageBreak/>
        <w:t>Audyty dostępnośc</w:t>
      </w:r>
      <w:bookmarkStart w:id="0" w:name="_GoBack"/>
      <w:bookmarkEnd w:id="0"/>
      <w:r w:rsidRPr="00F771CB">
        <w:rPr>
          <w:rFonts w:asciiTheme="majorHAnsi" w:hAnsiTheme="majorHAnsi" w:cstheme="majorHAnsi"/>
        </w:rPr>
        <w:t>i, o których mowa w pkt 1.1.-1.2., zostaną wykonane przez eksperta/ekspertów ds. WCAG w wersji 2.1/dostępności cyfrowej. Eksperta/ekspertów zapewnia Wykonawca. Ekspert musi/eksperci muszą mieć co najmniej 2-letnie doświadczenie w weryfikacji stron i aplikacji internetowych pod kątem spełnienia warunków WCAG w wersji 2.1.</w:t>
      </w:r>
    </w:p>
    <w:p w14:paraId="6D71B8DA" w14:textId="77777777" w:rsidR="00255E71" w:rsidRPr="00F771CB" w:rsidRDefault="00255E71" w:rsidP="00F771CB">
      <w:pPr>
        <w:pStyle w:val="Akapitzlist"/>
        <w:widowControl/>
        <w:numPr>
          <w:ilvl w:val="1"/>
          <w:numId w:val="11"/>
        </w:numPr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t xml:space="preserve">Audyty, o których mowa w pkt. 1.1-1.1.2, będą sprawdzać dostępność stron na urządzeniu stacjonarnym (komputer) oraz mobilnym (smartfon). </w:t>
      </w:r>
    </w:p>
    <w:p w14:paraId="3ECD8293" w14:textId="77777777" w:rsidR="00255E71" w:rsidRPr="00F771CB" w:rsidRDefault="00255E71" w:rsidP="00F771CB">
      <w:pPr>
        <w:pStyle w:val="Akapitzlist"/>
        <w:widowControl/>
        <w:numPr>
          <w:ilvl w:val="1"/>
          <w:numId w:val="11"/>
        </w:numPr>
        <w:jc w:val="both"/>
        <w:rPr>
          <w:rStyle w:val="normaltextrun"/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t xml:space="preserve">W przypadku uzyskania zgodności audytowanych stron internetowych z WCAG 2.1 na poziomie AA Wykonawca potwierdzi ich dostępność, wystawiając zaświadczenie lub certyfikat. </w:t>
      </w:r>
    </w:p>
    <w:p w14:paraId="6D171326" w14:textId="77777777" w:rsidR="00255E71" w:rsidRPr="00F771CB" w:rsidRDefault="00255E71" w:rsidP="00F771CB">
      <w:pPr>
        <w:pStyle w:val="Akapitzlist"/>
        <w:widowControl/>
        <w:numPr>
          <w:ilvl w:val="1"/>
          <w:numId w:val="11"/>
        </w:numPr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t>Raporty z audytu dostępności Wykonawca przekaże Zamawiającemu w formacie elektronicznym, np. .doc/.docx/.pdf, umożliwiającym swobodne przeszukiwanie treści.</w:t>
      </w:r>
    </w:p>
    <w:p w14:paraId="2946792A" w14:textId="77777777" w:rsidR="00255E71" w:rsidRPr="00F771CB" w:rsidRDefault="00255E71" w:rsidP="00F771CB">
      <w:pPr>
        <w:pStyle w:val="Akapitzlist"/>
        <w:ind w:left="360"/>
        <w:jc w:val="both"/>
        <w:rPr>
          <w:rFonts w:asciiTheme="majorHAnsi" w:eastAsia="Times New Roman" w:hAnsiTheme="majorHAnsi" w:cstheme="majorHAnsi"/>
          <w:lang w:eastAsia="x-none"/>
        </w:rPr>
      </w:pPr>
    </w:p>
    <w:p w14:paraId="0FA30A84" w14:textId="77777777" w:rsidR="00255E71" w:rsidRPr="00F771CB" w:rsidRDefault="00255E71" w:rsidP="00F771CB">
      <w:pPr>
        <w:pStyle w:val="Akapitzlist"/>
        <w:keepNext/>
        <w:widowControl/>
        <w:numPr>
          <w:ilvl w:val="0"/>
          <w:numId w:val="10"/>
        </w:numPr>
        <w:ind w:left="714" w:hanging="357"/>
        <w:jc w:val="both"/>
        <w:rPr>
          <w:rFonts w:asciiTheme="majorHAnsi" w:eastAsia="Times New Roman" w:hAnsiTheme="majorHAnsi" w:cstheme="majorHAnsi"/>
          <w:lang w:eastAsia="x-none"/>
        </w:rPr>
      </w:pPr>
      <w:r w:rsidRPr="00F771CB">
        <w:rPr>
          <w:rFonts w:asciiTheme="majorHAnsi" w:hAnsiTheme="majorHAnsi" w:cstheme="majorHAnsi"/>
        </w:rPr>
        <w:t>Warunki szczegółowe:</w:t>
      </w:r>
      <w:r w:rsidRPr="00F771CB">
        <w:rPr>
          <w:rFonts w:asciiTheme="majorHAnsi" w:eastAsia="Times New Roman" w:hAnsiTheme="majorHAnsi" w:cstheme="majorHAnsi"/>
          <w:lang w:eastAsia="x-none"/>
        </w:rPr>
        <w:t xml:space="preserve"> </w:t>
      </w:r>
      <w:r w:rsidRPr="00F771CB">
        <w:rPr>
          <w:rFonts w:asciiTheme="majorHAnsi" w:eastAsia="Times New Roman" w:hAnsiTheme="majorHAnsi" w:cstheme="majorHAnsi"/>
          <w:lang w:eastAsia="x-none"/>
        </w:rPr>
        <w:br/>
      </w:r>
      <w:r w:rsidRPr="00F771CB">
        <w:rPr>
          <w:rFonts w:asciiTheme="majorHAnsi" w:hAnsiTheme="majorHAnsi" w:cstheme="majorHAnsi"/>
          <w:b/>
          <w:bCs/>
        </w:rPr>
        <w:t xml:space="preserve">1. Ad pkt. 1.1. – Bieżące wsparcie w trakcie tworzenia nowej strony www Politechniki Warszawskiej, </w:t>
      </w:r>
      <w:r w:rsidRPr="00F771CB">
        <w:rPr>
          <w:rFonts w:asciiTheme="majorHAnsi" w:hAnsiTheme="majorHAnsi" w:cstheme="majorHAnsi"/>
          <w:b/>
        </w:rPr>
        <w:t>w tym przeprowadzanie audytów cząstkowych</w:t>
      </w:r>
      <w:r w:rsidRPr="00F771CB">
        <w:rPr>
          <w:rFonts w:asciiTheme="majorHAnsi" w:hAnsiTheme="majorHAnsi" w:cstheme="majorHAnsi"/>
        </w:rPr>
        <w:t>.</w:t>
      </w:r>
    </w:p>
    <w:p w14:paraId="7CD71DA6" w14:textId="77777777" w:rsidR="00255E71" w:rsidRPr="00F771CB" w:rsidRDefault="00255E71" w:rsidP="00F771CB">
      <w:pPr>
        <w:pStyle w:val="Akapitzlist"/>
        <w:widowControl/>
        <w:numPr>
          <w:ilvl w:val="1"/>
          <w:numId w:val="12"/>
        </w:numPr>
        <w:ind w:left="1151" w:hanging="431"/>
        <w:jc w:val="both"/>
        <w:rPr>
          <w:rFonts w:asciiTheme="majorHAnsi" w:eastAsia="Times New Roman" w:hAnsiTheme="majorHAnsi" w:cstheme="majorHAnsi"/>
          <w:lang w:eastAsia="x-none"/>
        </w:rPr>
      </w:pPr>
      <w:r w:rsidRPr="00F771CB">
        <w:rPr>
          <w:rFonts w:asciiTheme="majorHAnsi" w:hAnsiTheme="majorHAnsi" w:cstheme="majorHAnsi"/>
        </w:rPr>
        <w:t xml:space="preserve"> Obejmuje ono przeprowadzanie bieżących konsultacji w trakcie tworzenia strony pod kątem zgodności z wytycznymi WCAG 2.1. Wykonawca będzie przygotowywał rekomendacje oraz propozycje rozwiązań problemów, brał czynny udział w pracach dostosowawczych, wykonywał audyty cząstkowe na żądanie Zamawiającego,</w:t>
      </w:r>
      <w:r w:rsidRPr="00F771CB">
        <w:rPr>
          <w:rFonts w:asciiTheme="majorHAnsi" w:hAnsiTheme="majorHAnsi" w:cstheme="majorHAnsi"/>
          <w:b/>
          <w:bCs/>
        </w:rPr>
        <w:t xml:space="preserve"> </w:t>
      </w:r>
      <w:r w:rsidRPr="00F771CB">
        <w:rPr>
          <w:rFonts w:asciiTheme="majorHAnsi" w:hAnsiTheme="majorHAnsi" w:cstheme="majorHAnsi"/>
        </w:rPr>
        <w:t>wspierał Zamawiającego w przygotowaniu deklaracji dostępności.</w:t>
      </w:r>
    </w:p>
    <w:p w14:paraId="6399763E" w14:textId="77777777" w:rsidR="00255E71" w:rsidRPr="00F771CB" w:rsidRDefault="00255E71" w:rsidP="00F771CB">
      <w:pPr>
        <w:pStyle w:val="Akapitzlist"/>
        <w:widowControl/>
        <w:numPr>
          <w:ilvl w:val="1"/>
          <w:numId w:val="12"/>
        </w:numPr>
        <w:ind w:left="1151" w:hanging="431"/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t>Konsultacje, o których mowa w pkt 1.1., przeprowadzone zostaną przez eksperta/ekspertów ds. WCAG w wersji 2.1/dostępności cyfrowej. Eksperta/ekspertów zapewnia Wykonawca. Jeżeli ekspertów jest więcej, to co najmniej jeden z nich musi mieć co najmniej 2-letnie doświadczenie jako deweloper stron internetowych.</w:t>
      </w:r>
    </w:p>
    <w:p w14:paraId="115A1BFE" w14:textId="77777777" w:rsidR="00255E71" w:rsidRPr="00F771CB" w:rsidRDefault="00255E71" w:rsidP="00F771CB">
      <w:pPr>
        <w:pStyle w:val="Akapitzlist"/>
        <w:widowControl/>
        <w:numPr>
          <w:ilvl w:val="1"/>
          <w:numId w:val="12"/>
        </w:numPr>
        <w:ind w:left="1151" w:hanging="431"/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t xml:space="preserve">Zamawiający wymaga, żeby po każdorazowym zgłoszeniu potrzeby konsultacji Wykonawca wskazał niezwłocznie, jednakże nie później niż w </w:t>
      </w:r>
      <w:r w:rsidRPr="00A1021A">
        <w:rPr>
          <w:rFonts w:asciiTheme="majorHAnsi" w:hAnsiTheme="majorHAnsi" w:cstheme="majorHAnsi"/>
          <w:color w:val="00B0F0"/>
        </w:rPr>
        <w:t>kolejnym dniu roboczym</w:t>
      </w:r>
      <w:r w:rsidRPr="00F771CB">
        <w:rPr>
          <w:rFonts w:asciiTheme="majorHAnsi" w:hAnsiTheme="majorHAnsi" w:cstheme="majorHAnsi"/>
        </w:rPr>
        <w:t>, przewidywany czas niezbędny na realizację konsultacji oraz inne niezbędne warunki do realizacji konsultacji i poinformował o tym Zamawiającego drogą mailową. Czas i warunki wymagają każdorazowej akceptacji Zamawiającego. Akceptacja odbywa się drogą mailową.</w:t>
      </w:r>
    </w:p>
    <w:p w14:paraId="48F08F3A" w14:textId="77777777" w:rsidR="00255E71" w:rsidRPr="00F771CB" w:rsidRDefault="00255E71" w:rsidP="00F771CB">
      <w:pPr>
        <w:pStyle w:val="Akapitzlist"/>
        <w:widowControl/>
        <w:numPr>
          <w:ilvl w:val="1"/>
          <w:numId w:val="12"/>
        </w:numPr>
        <w:ind w:left="1151" w:hanging="431"/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t xml:space="preserve">Zamawiający wymaga, żeby czas realizacji konsultacji wynosił maksymalnie </w:t>
      </w:r>
      <w:r w:rsidRPr="00F771CB">
        <w:rPr>
          <w:rFonts w:asciiTheme="majorHAnsi" w:hAnsiTheme="majorHAnsi" w:cstheme="majorHAnsi"/>
          <w:color w:val="00B0F0"/>
        </w:rPr>
        <w:t xml:space="preserve">2 dni robocze </w:t>
      </w:r>
      <w:r w:rsidRPr="00F771CB">
        <w:rPr>
          <w:rFonts w:asciiTheme="majorHAnsi" w:hAnsiTheme="majorHAnsi" w:cstheme="majorHAnsi"/>
        </w:rPr>
        <w:t>(liczone od wysłania przez Zamawiającego akceptacji czasu i warunków konsultacji).</w:t>
      </w:r>
    </w:p>
    <w:p w14:paraId="4FB38780" w14:textId="77777777" w:rsidR="00255E71" w:rsidRPr="00F771CB" w:rsidRDefault="00255E71" w:rsidP="00F771CB">
      <w:pPr>
        <w:pStyle w:val="Akapitzlist"/>
        <w:widowControl/>
        <w:numPr>
          <w:ilvl w:val="1"/>
          <w:numId w:val="12"/>
        </w:numPr>
        <w:ind w:left="1151" w:hanging="431"/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t xml:space="preserve"> W trakcie tworzenia nowej strony www Politechniki Warszawskiej, na żądanie Zamawiającego lub w porozumieniu z Zamawiającym, Wykonawca będzie przeprowadzał audyty cząstkowe zgodności z wytycznymi WCAG 2.1. Audyty te zostaną wykonane przez eksperta/ekspertów ds. WCAG w wersji 2.1/dostępności cyfrowej. Eksperta/ekspertów zapewnia Wykonawca. Ekspert musi/eksperci muszą mieć co najmniej 2-letnie doświadczenie w weryfikacji stron i aplikacji internetowych pod kątem spełnienia warunków WCAG w wersji 2.1. Audyty będą </w:t>
      </w:r>
      <w:r w:rsidRPr="00F771CB">
        <w:rPr>
          <w:rFonts w:asciiTheme="majorHAnsi" w:hAnsiTheme="majorHAnsi" w:cstheme="majorHAnsi"/>
        </w:rPr>
        <w:lastRenderedPageBreak/>
        <w:t xml:space="preserve">obejmować np. konkretne podstrony czy konkretne funkcjonalności wskazane przez Zamawiającego. </w:t>
      </w:r>
    </w:p>
    <w:p w14:paraId="356214C3" w14:textId="77777777" w:rsidR="00255E71" w:rsidRPr="00F771CB" w:rsidRDefault="00255E71" w:rsidP="00F771CB">
      <w:pPr>
        <w:pStyle w:val="Akapitzlist"/>
        <w:widowControl/>
        <w:numPr>
          <w:ilvl w:val="1"/>
          <w:numId w:val="12"/>
        </w:numPr>
        <w:ind w:left="1151" w:hanging="431"/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t xml:space="preserve">W ramach zadania Zamawiający przewiduje minimum </w:t>
      </w:r>
      <w:r w:rsidRPr="00F771CB">
        <w:rPr>
          <w:rFonts w:asciiTheme="majorHAnsi" w:hAnsiTheme="majorHAnsi" w:cstheme="majorHAnsi"/>
          <w:color w:val="00B0F0"/>
        </w:rPr>
        <w:t xml:space="preserve">50 godzin, maksimum 100 godzin </w:t>
      </w:r>
      <w:r w:rsidRPr="00F771CB">
        <w:rPr>
          <w:rFonts w:asciiTheme="majorHAnsi" w:hAnsiTheme="majorHAnsi" w:cstheme="majorHAnsi"/>
        </w:rPr>
        <w:t xml:space="preserve">na konsultacje i audyty cząstkowe. Zamawiający zastrzega sobie możliwość decydowania o podziale godzin między konsultacje a audyty, w zależności od własnych potrzeb i w porozumieniu z Wykonawcą. </w:t>
      </w:r>
    </w:p>
    <w:p w14:paraId="0EC35FD3" w14:textId="77777777" w:rsidR="00255E71" w:rsidRPr="00F771CB" w:rsidRDefault="00255E71" w:rsidP="00F771CB">
      <w:pPr>
        <w:pStyle w:val="Akapitzlist"/>
        <w:widowControl/>
        <w:numPr>
          <w:ilvl w:val="1"/>
          <w:numId w:val="12"/>
        </w:numPr>
        <w:ind w:left="1151" w:hanging="431"/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t>Zamawiający zapłaci Wykonawcy tylko za wykorzystane godziny. Rozliczenie będzie się odbywać w trybie miesięcznym, na podstawie zestawienia liczby godzin przeznaczonych na konsultacje i audyty cząstkowe. Zestawienie liczby godzin zostanie wysłane drogą mailową do Zamawiającego. Zestawienie wymaga akceptacji przez Zamawiającego. Akceptacja odbywa się drogą mailową.</w:t>
      </w:r>
    </w:p>
    <w:p w14:paraId="783FD31A" w14:textId="77777777" w:rsidR="00255E71" w:rsidRPr="00F771CB" w:rsidRDefault="00255E71" w:rsidP="00F771CB">
      <w:pPr>
        <w:ind w:left="720"/>
        <w:jc w:val="both"/>
        <w:rPr>
          <w:rFonts w:asciiTheme="majorHAnsi" w:hAnsiTheme="majorHAnsi" w:cstheme="majorHAnsi"/>
          <w:b/>
        </w:rPr>
      </w:pPr>
      <w:r w:rsidRPr="00F771CB">
        <w:rPr>
          <w:rFonts w:asciiTheme="majorHAnsi" w:hAnsiTheme="majorHAnsi" w:cstheme="majorHAnsi"/>
          <w:b/>
        </w:rPr>
        <w:t>2. Ad pkt. 1.2. – Przeprowadzenie specjalistycznych badań i testów dostępności cyfrowej (audytu) wybranych przez Zamawiającego stron internetowych:</w:t>
      </w:r>
    </w:p>
    <w:p w14:paraId="43928827" w14:textId="77777777" w:rsidR="00255E71" w:rsidRPr="00F771CB" w:rsidRDefault="00255E71" w:rsidP="00F771CB">
      <w:pPr>
        <w:pStyle w:val="Akapitzlist"/>
        <w:widowControl/>
        <w:numPr>
          <w:ilvl w:val="1"/>
          <w:numId w:val="14"/>
        </w:numPr>
        <w:ind w:left="1151" w:hanging="431"/>
        <w:jc w:val="both"/>
        <w:rPr>
          <w:rFonts w:asciiTheme="majorHAnsi" w:eastAsia="Times New Roman" w:hAnsiTheme="majorHAnsi" w:cstheme="majorHAnsi"/>
        </w:rPr>
      </w:pPr>
      <w:r w:rsidRPr="00F771CB">
        <w:rPr>
          <w:rFonts w:asciiTheme="majorHAnsi" w:hAnsiTheme="majorHAnsi" w:cstheme="majorHAnsi"/>
        </w:rPr>
        <w:t xml:space="preserve"> Strony podlegające audytowi:</w:t>
      </w:r>
    </w:p>
    <w:p w14:paraId="677E15CF" w14:textId="77777777" w:rsidR="00255E71" w:rsidRPr="00F771CB" w:rsidRDefault="00255E71" w:rsidP="00F771CB">
      <w:pPr>
        <w:pStyle w:val="Akapitzlist"/>
        <w:widowControl/>
        <w:numPr>
          <w:ilvl w:val="2"/>
          <w:numId w:val="14"/>
        </w:numPr>
        <w:ind w:left="1526" w:hanging="505"/>
        <w:jc w:val="both"/>
        <w:rPr>
          <w:rFonts w:asciiTheme="majorHAnsi" w:eastAsia="Times New Roman" w:hAnsiTheme="majorHAnsi" w:cstheme="majorHAnsi"/>
        </w:rPr>
      </w:pPr>
      <w:r w:rsidRPr="00F771CB">
        <w:rPr>
          <w:rFonts w:asciiTheme="majorHAnsi" w:hAnsiTheme="majorHAnsi" w:cstheme="majorHAnsi"/>
        </w:rPr>
        <w:t xml:space="preserve"> Strona Politechniki Warszawskiej </w:t>
      </w:r>
      <w:hyperlink r:id="rId16">
        <w:r w:rsidRPr="00F771CB">
          <w:rPr>
            <w:rStyle w:val="Hipercze"/>
            <w:rFonts w:asciiTheme="majorHAnsi" w:hAnsiTheme="majorHAnsi" w:cstheme="majorHAnsi"/>
            <w:color w:val="auto"/>
          </w:rPr>
          <w:t>www.pw.edu.pl</w:t>
        </w:r>
      </w:hyperlink>
      <w:r w:rsidRPr="00F771CB">
        <w:rPr>
          <w:rFonts w:asciiTheme="majorHAnsi" w:hAnsiTheme="majorHAnsi" w:cstheme="majorHAnsi"/>
        </w:rPr>
        <w:t xml:space="preserve"> wraz ze wskazanymi podstronami,</w:t>
      </w:r>
    </w:p>
    <w:p w14:paraId="6B1797A3" w14:textId="77777777" w:rsidR="00255E71" w:rsidRPr="00F771CB" w:rsidRDefault="00255E71" w:rsidP="00F771CB">
      <w:pPr>
        <w:pStyle w:val="Akapitzlist"/>
        <w:widowControl/>
        <w:numPr>
          <w:ilvl w:val="2"/>
          <w:numId w:val="14"/>
        </w:numPr>
        <w:ind w:left="1526" w:hanging="505"/>
        <w:jc w:val="both"/>
        <w:rPr>
          <w:rFonts w:asciiTheme="majorHAnsi" w:eastAsia="Times New Roman" w:hAnsiTheme="majorHAnsi" w:cstheme="majorHAnsi"/>
        </w:rPr>
      </w:pPr>
      <w:r w:rsidRPr="00F771CB">
        <w:rPr>
          <w:rFonts w:asciiTheme="majorHAnsi" w:hAnsiTheme="majorHAnsi" w:cstheme="majorHAnsi"/>
        </w:rPr>
        <w:t xml:space="preserve"> Wydziału Fizyki PW: </w:t>
      </w:r>
      <w:hyperlink r:id="rId17" w:history="1">
        <w:r w:rsidRPr="00F771CB">
          <w:rPr>
            <w:rFonts w:asciiTheme="majorHAnsi" w:hAnsiTheme="majorHAnsi" w:cstheme="majorHAnsi"/>
            <w:u w:val="single"/>
          </w:rPr>
          <w:t>www.fizyka.pw.edu.pl</w:t>
        </w:r>
      </w:hyperlink>
      <w:r w:rsidRPr="00F771CB">
        <w:rPr>
          <w:rFonts w:asciiTheme="majorHAnsi" w:eastAsia="Times New Roman" w:hAnsiTheme="majorHAnsi" w:cstheme="majorHAnsi"/>
        </w:rPr>
        <w:t xml:space="preserve"> wraz ze wskazanymi podstronami,</w:t>
      </w:r>
    </w:p>
    <w:p w14:paraId="03214892" w14:textId="77777777" w:rsidR="00255E71" w:rsidRPr="00F771CB" w:rsidRDefault="00255E71" w:rsidP="00F771CB">
      <w:pPr>
        <w:pStyle w:val="Akapitzlist"/>
        <w:widowControl/>
        <w:numPr>
          <w:ilvl w:val="2"/>
          <w:numId w:val="14"/>
        </w:numPr>
        <w:ind w:left="1526" w:hanging="505"/>
        <w:jc w:val="both"/>
        <w:rPr>
          <w:rFonts w:asciiTheme="majorHAnsi" w:eastAsia="Times New Roman" w:hAnsiTheme="majorHAnsi" w:cstheme="majorHAnsi"/>
        </w:rPr>
      </w:pPr>
      <w:r w:rsidRPr="00F771CB">
        <w:rPr>
          <w:rFonts w:asciiTheme="majorHAnsi" w:hAnsiTheme="majorHAnsi" w:cstheme="majorHAnsi"/>
        </w:rPr>
        <w:t xml:space="preserve"> Strona Ośrodka Kształcenia na Odległość OKNO: </w:t>
      </w:r>
      <w:hyperlink r:id="rId18" w:history="1">
        <w:r w:rsidRPr="00F771CB">
          <w:rPr>
            <w:rFonts w:asciiTheme="majorHAnsi" w:hAnsiTheme="majorHAnsi" w:cstheme="majorHAnsi"/>
            <w:u w:val="single"/>
          </w:rPr>
          <w:t>www.okno.pw.edu.pl</w:t>
        </w:r>
      </w:hyperlink>
      <w:r w:rsidRPr="00F771CB">
        <w:rPr>
          <w:rFonts w:asciiTheme="majorHAnsi" w:eastAsia="Times New Roman" w:hAnsiTheme="majorHAnsi" w:cstheme="majorHAnsi"/>
        </w:rPr>
        <w:t xml:space="preserve"> wraz ze wskazanymi podstronami,</w:t>
      </w:r>
    </w:p>
    <w:p w14:paraId="2EE9C25C" w14:textId="77777777" w:rsidR="00255E71" w:rsidRPr="00F771CB" w:rsidRDefault="00255E71" w:rsidP="00F771CB">
      <w:pPr>
        <w:pStyle w:val="Akapitzlist"/>
        <w:widowControl/>
        <w:numPr>
          <w:ilvl w:val="2"/>
          <w:numId w:val="14"/>
        </w:numPr>
        <w:ind w:left="1526" w:hanging="505"/>
        <w:jc w:val="both"/>
        <w:rPr>
          <w:rFonts w:asciiTheme="majorHAnsi" w:eastAsia="Times New Roman" w:hAnsiTheme="majorHAnsi" w:cstheme="majorHAnsi"/>
        </w:rPr>
      </w:pPr>
      <w:r w:rsidRPr="00F771CB">
        <w:rPr>
          <w:rFonts w:asciiTheme="majorHAnsi" w:hAnsiTheme="majorHAnsi" w:cstheme="majorHAnsi"/>
        </w:rPr>
        <w:t xml:space="preserve"> Strona Biblioteki Głównej PW: </w:t>
      </w:r>
      <w:hyperlink r:id="rId19" w:history="1">
        <w:r w:rsidRPr="00F771CB">
          <w:rPr>
            <w:rFonts w:asciiTheme="majorHAnsi" w:hAnsiTheme="majorHAnsi" w:cstheme="majorHAnsi"/>
            <w:u w:val="single"/>
          </w:rPr>
          <w:t>www.bg.pw.edu.pl</w:t>
        </w:r>
      </w:hyperlink>
      <w:r w:rsidRPr="00F771CB">
        <w:rPr>
          <w:rFonts w:asciiTheme="majorHAnsi" w:eastAsia="Times New Roman" w:hAnsiTheme="majorHAnsi" w:cstheme="majorHAnsi"/>
        </w:rPr>
        <w:t xml:space="preserve"> wraz ze wskazanymi podstronami.</w:t>
      </w:r>
    </w:p>
    <w:p w14:paraId="58D21B8A" w14:textId="77777777" w:rsidR="00255E71" w:rsidRPr="00F771CB" w:rsidRDefault="00255E71" w:rsidP="00F771CB">
      <w:pPr>
        <w:pStyle w:val="Akapitzlist"/>
        <w:widowControl/>
        <w:numPr>
          <w:ilvl w:val="1"/>
          <w:numId w:val="15"/>
        </w:numPr>
        <w:ind w:left="1151" w:hanging="431"/>
        <w:jc w:val="both"/>
        <w:rPr>
          <w:rFonts w:asciiTheme="majorHAnsi" w:eastAsia="Times New Roman" w:hAnsiTheme="majorHAnsi" w:cstheme="majorHAnsi"/>
        </w:rPr>
      </w:pPr>
      <w:r w:rsidRPr="00F771CB">
        <w:rPr>
          <w:rFonts w:asciiTheme="majorHAnsi" w:eastAsia="Calibri" w:hAnsiTheme="majorHAnsi" w:cstheme="majorHAnsi"/>
        </w:rPr>
        <w:t>Audyt musi objąć minimum 20 podstron serwisów, w tym podstrony lub funkcjonalności o kluczowym znaczeniu wskazane przez Zamawiającego.</w:t>
      </w:r>
    </w:p>
    <w:p w14:paraId="0F775EFE" w14:textId="77777777" w:rsidR="00255E71" w:rsidRPr="00F771CB" w:rsidRDefault="00255E71" w:rsidP="00F771CB">
      <w:pPr>
        <w:pStyle w:val="Akapitzlist"/>
        <w:widowControl/>
        <w:numPr>
          <w:ilvl w:val="1"/>
          <w:numId w:val="15"/>
        </w:numPr>
        <w:ind w:left="1151" w:hanging="431"/>
        <w:jc w:val="both"/>
        <w:rPr>
          <w:rFonts w:asciiTheme="majorHAnsi" w:eastAsia="Times New Roman" w:hAnsiTheme="majorHAnsi" w:cstheme="majorHAnsi"/>
        </w:rPr>
      </w:pPr>
      <w:r w:rsidRPr="00F771CB">
        <w:rPr>
          <w:rFonts w:asciiTheme="majorHAnsi" w:eastAsia="Calibri" w:hAnsiTheme="majorHAnsi" w:cstheme="majorHAnsi"/>
        </w:rPr>
        <w:t>Audyt musi obejmować:</w:t>
      </w:r>
    </w:p>
    <w:p w14:paraId="7183F24A" w14:textId="77777777" w:rsidR="00255E71" w:rsidRPr="00F771CB" w:rsidRDefault="00255E71" w:rsidP="00F771CB">
      <w:pPr>
        <w:pStyle w:val="Akapitzlist"/>
        <w:widowControl/>
        <w:numPr>
          <w:ilvl w:val="2"/>
          <w:numId w:val="15"/>
        </w:numPr>
        <w:ind w:left="1526" w:hanging="505"/>
        <w:jc w:val="both"/>
        <w:rPr>
          <w:rFonts w:asciiTheme="majorHAnsi" w:hAnsiTheme="majorHAnsi" w:cstheme="majorHAnsi"/>
        </w:rPr>
      </w:pPr>
      <w:r w:rsidRPr="00F771CB">
        <w:rPr>
          <w:rFonts w:asciiTheme="majorHAnsi" w:eastAsia="Calibri" w:hAnsiTheme="majorHAnsi" w:cstheme="majorHAnsi"/>
        </w:rPr>
        <w:t xml:space="preserve"> Analizę ekspercką – </w:t>
      </w:r>
      <w:r w:rsidRPr="00F771CB">
        <w:rPr>
          <w:rFonts w:asciiTheme="majorHAnsi" w:hAnsiTheme="majorHAnsi" w:cstheme="majorHAnsi"/>
        </w:rPr>
        <w:t>przeprowadzoną przez eksperta/ekspertów ds. WCAG w wersji 2.1/dostępności cyfrowej. Eksperta/ekspertów zapewnia Wykonawca. Ekspert musi/eksperci muszą mieć co najmniej 2-letnie doświadczenie w weryfikacji stron i aplikacji internetowych pod kątem spełnienia warunków WCAG w wersji 2.1.</w:t>
      </w:r>
    </w:p>
    <w:p w14:paraId="6DF2EDAD" w14:textId="77777777" w:rsidR="00255E71" w:rsidRPr="00F771CB" w:rsidRDefault="00255E71" w:rsidP="00F771CB">
      <w:pPr>
        <w:pStyle w:val="Akapitzlist"/>
        <w:widowControl/>
        <w:numPr>
          <w:ilvl w:val="2"/>
          <w:numId w:val="15"/>
        </w:numPr>
        <w:ind w:left="1526" w:hanging="505"/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t xml:space="preserve"> Testy z użytkownikami – osobami z niepełnosprawnościami, zapewnionymi przez Wykonawcę. Zamawiający wymaga udziału: osoby niewidomej, osoby niedowidzącej, osoby z niepełnosprawnością ruchową o ograniczonej mobilności dłoni. Możliwy jest także dodatkowy udział innych użytkowników, np. G/głuchych, osób ze spektrum autyzmu.</w:t>
      </w:r>
    </w:p>
    <w:p w14:paraId="1B94FC29" w14:textId="77777777" w:rsidR="00255E71" w:rsidRPr="00F771CB" w:rsidRDefault="00255E71" w:rsidP="00F771CB">
      <w:pPr>
        <w:pStyle w:val="Akapitzlist"/>
        <w:widowControl/>
        <w:numPr>
          <w:ilvl w:val="1"/>
          <w:numId w:val="16"/>
        </w:numPr>
        <w:ind w:left="1151" w:hanging="431"/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t xml:space="preserve">Efektem audytu muszą być raporty podsumowujące dostępność cyfrową stron www oraz ich zgodność ze standardami WCAG 2.1. na poziomie AA. Dla każdej ze stron wskazanych w pkt 1.1.1-1.1.4 Wykonawca przygotuje odrębny raport. </w:t>
      </w:r>
    </w:p>
    <w:p w14:paraId="3D9A838A" w14:textId="77777777" w:rsidR="00255E71" w:rsidRPr="00F771CB" w:rsidRDefault="00255E71" w:rsidP="00F771CB">
      <w:pPr>
        <w:pStyle w:val="Akapitzlist"/>
        <w:widowControl/>
        <w:numPr>
          <w:ilvl w:val="1"/>
          <w:numId w:val="16"/>
        </w:numPr>
        <w:ind w:left="1151" w:hanging="431"/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t>Raporty z audytu muszą zawierać tabelę, odpowiadającą swoją strukturą Załącznikowi do Ustawy z dnia 19 lipca 2019 r. o zapewnianiu dostępności osobom ze szczególnymi potrzebami („Wytyczne dla dostępności treści internetowych 2.1 stosowane dla stron internetowych i aplikacji mobilnych w zakresie dostępności dla osób niepełnosprawnych”).</w:t>
      </w:r>
    </w:p>
    <w:p w14:paraId="6BB52C62" w14:textId="77777777" w:rsidR="00255E71" w:rsidRPr="00F771CB" w:rsidRDefault="00255E71" w:rsidP="00F771CB">
      <w:pPr>
        <w:pStyle w:val="Akapitzlist"/>
        <w:widowControl/>
        <w:numPr>
          <w:ilvl w:val="1"/>
          <w:numId w:val="16"/>
        </w:numPr>
        <w:ind w:left="1151" w:hanging="431"/>
        <w:jc w:val="both"/>
        <w:rPr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</w:rPr>
        <w:lastRenderedPageBreak/>
        <w:t>Raporty z audytu Wykonawca przekaże Zamawiającemu w formacie elektronicznym, np. .doc/.docx/.pdf, umożliwiającym swobodne przeszukiwanie treści.</w:t>
      </w:r>
    </w:p>
    <w:p w14:paraId="207490FB" w14:textId="0348AF0B" w:rsidR="00255E71" w:rsidRPr="00F771CB" w:rsidRDefault="00255E71" w:rsidP="00F771CB">
      <w:pPr>
        <w:pStyle w:val="Akapitzlist"/>
        <w:widowControl/>
        <w:numPr>
          <w:ilvl w:val="1"/>
          <w:numId w:val="16"/>
        </w:numPr>
        <w:ind w:left="1151" w:hanging="431"/>
        <w:jc w:val="both"/>
        <w:rPr>
          <w:rStyle w:val="normaltextrun"/>
          <w:rFonts w:asciiTheme="majorHAnsi" w:hAnsiTheme="majorHAnsi" w:cstheme="majorHAnsi"/>
        </w:rPr>
      </w:pPr>
      <w:r w:rsidRPr="00F771CB">
        <w:rPr>
          <w:rFonts w:asciiTheme="majorHAnsi" w:hAnsiTheme="majorHAnsi" w:cstheme="majorHAnsi"/>
          <w:iCs/>
        </w:rPr>
        <w:t xml:space="preserve">W przypadku uzyskania zgodności audytowanych stron internetowych z WCAG 2.1 na poziomie AA Wykonawca potwierdzi ich dostępność, wystawiając zaświadczenie lub certyfikat </w:t>
      </w:r>
      <w:r w:rsidRPr="00F771CB">
        <w:rPr>
          <w:rStyle w:val="normaltextrun"/>
          <w:rFonts w:asciiTheme="majorHAnsi" w:hAnsiTheme="majorHAnsi" w:cstheme="majorHAnsi"/>
          <w:shd w:val="clear" w:color="auto" w:fill="FFFFFF"/>
        </w:rPr>
        <w:t xml:space="preserve">o spełnieniu wymogu wynikającego z zapisu Rozporządzenia o dostosowaniu usług do wytycznych WCAG 2.1 na poziomie AA zgodnie z Załącznikiem do Ustawy („Wytyczne dla dostępności treści internetowych 2.1 stosowane dla stron internetowych i aplikacji mobilnych w zakresie dostępności dla osób niepełnosprawnych”). </w:t>
      </w:r>
    </w:p>
    <w:p w14:paraId="1515855B" w14:textId="40941BCD" w:rsidR="00255E71" w:rsidRPr="004222F6" w:rsidRDefault="00255E71" w:rsidP="00F771CB">
      <w:pPr>
        <w:pStyle w:val="Akapitzlist"/>
        <w:widowControl/>
        <w:numPr>
          <w:ilvl w:val="1"/>
          <w:numId w:val="16"/>
        </w:numPr>
        <w:ind w:left="1151" w:hanging="431"/>
        <w:jc w:val="both"/>
        <w:rPr>
          <w:rFonts w:asciiTheme="majorHAnsi" w:hAnsiTheme="majorHAnsi" w:cstheme="majorHAnsi"/>
          <w:color w:val="833C0B" w:themeColor="accent2" w:themeShade="80"/>
        </w:rPr>
      </w:pPr>
      <w:r w:rsidRPr="004222F6">
        <w:rPr>
          <w:rFonts w:asciiTheme="majorHAnsi" w:hAnsiTheme="majorHAnsi" w:cstheme="majorHAnsi"/>
          <w:color w:val="833C0B" w:themeColor="accent2" w:themeShade="80"/>
        </w:rPr>
        <w:t xml:space="preserve">Wykonawca </w:t>
      </w:r>
      <w:bookmarkStart w:id="1" w:name="_Hlk73024523"/>
      <w:r w:rsidRPr="004222F6">
        <w:rPr>
          <w:rFonts w:asciiTheme="majorHAnsi" w:hAnsiTheme="majorHAnsi" w:cstheme="majorHAnsi"/>
          <w:color w:val="833C0B" w:themeColor="accent2" w:themeShade="80"/>
        </w:rPr>
        <w:t>zrealizowuje całości zadań zgodnie z założeniami i w oparciu o przyjęty przez Strony Harmonogram</w:t>
      </w:r>
      <w:bookmarkEnd w:id="1"/>
      <w:r w:rsidRPr="004222F6">
        <w:rPr>
          <w:rFonts w:asciiTheme="majorHAnsi" w:hAnsiTheme="majorHAnsi" w:cstheme="majorHAnsi"/>
          <w:color w:val="833C0B" w:themeColor="accent2" w:themeShade="80"/>
        </w:rPr>
        <w:t>. Strony uzgodnią Harmonogram i Zamawiający ostatecznie go zaakceptuje w terminie do 10 Dni Roboczych od dnia zawarcia Umowy. Wykonawca zobowiązuje się do najwyższej staranności w dochowaniu terminów uzgodnionych w treści Harmonogramu.</w:t>
      </w:r>
    </w:p>
    <w:p w14:paraId="728352A0" w14:textId="77777777" w:rsidR="00255E71" w:rsidRPr="004222F6" w:rsidRDefault="00255E71" w:rsidP="00F771CB">
      <w:pPr>
        <w:ind w:left="792"/>
        <w:jc w:val="both"/>
        <w:rPr>
          <w:rFonts w:asciiTheme="majorHAnsi" w:eastAsia="Calibri" w:hAnsiTheme="majorHAnsi" w:cstheme="majorHAnsi"/>
          <w:b/>
          <w:bCs/>
          <w:color w:val="C00000"/>
        </w:rPr>
      </w:pPr>
    </w:p>
    <w:p w14:paraId="3305C7ED" w14:textId="77777777" w:rsidR="00255E71" w:rsidRPr="00F771CB" w:rsidRDefault="00255E71" w:rsidP="00F771CB">
      <w:pPr>
        <w:ind w:left="792"/>
        <w:jc w:val="both"/>
        <w:rPr>
          <w:rFonts w:asciiTheme="majorHAnsi" w:eastAsia="Calibri" w:hAnsiTheme="majorHAnsi" w:cstheme="majorHAnsi"/>
          <w:b/>
          <w:bCs/>
        </w:rPr>
      </w:pPr>
    </w:p>
    <w:p w14:paraId="7FD3960D" w14:textId="77777777" w:rsidR="00255E71" w:rsidRPr="00F771CB" w:rsidRDefault="00255E71" w:rsidP="00F771CB">
      <w:pPr>
        <w:ind w:left="792"/>
        <w:jc w:val="both"/>
        <w:rPr>
          <w:rFonts w:asciiTheme="majorHAnsi" w:eastAsia="Calibri" w:hAnsiTheme="majorHAnsi" w:cstheme="majorHAnsi"/>
          <w:b/>
          <w:bCs/>
        </w:rPr>
      </w:pPr>
    </w:p>
    <w:sectPr w:rsidR="00255E71" w:rsidRPr="00F771CB" w:rsidSect="0066031F">
      <w:type w:val="continuous"/>
      <w:pgSz w:w="11900" w:h="16840"/>
      <w:pgMar w:top="993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4C81D" w14:textId="77777777" w:rsidR="00B57FDF" w:rsidRDefault="00B57FDF">
      <w:r>
        <w:separator/>
      </w:r>
    </w:p>
  </w:endnote>
  <w:endnote w:type="continuationSeparator" w:id="0">
    <w:p w14:paraId="000189BA" w14:textId="77777777" w:rsidR="00B57FDF" w:rsidRDefault="00B5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49956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sdt>
        <w:sdtPr>
          <w:rPr>
            <w:rFonts w:asciiTheme="majorHAnsi" w:hAnsiTheme="maj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8DB716" w14:textId="05E3786F" w:rsidR="00B44E38" w:rsidRPr="00B44E38" w:rsidRDefault="0092641E">
            <w:pPr>
              <w:pStyle w:val="Stopka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8FE4F6" wp14:editId="2F72550D">
                  <wp:extent cx="5756910" cy="564670"/>
                  <wp:effectExtent l="0" t="0" r="0" b="6985"/>
                  <wp:docPr id="4" name="Obraz 4" descr="logo zestaw 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staw 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56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4E38" w:rsidRPr="00B44E38">
              <w:rPr>
                <w:rFonts w:asciiTheme="majorHAnsi" w:hAnsiTheme="majorHAnsi"/>
                <w:sz w:val="20"/>
                <w:szCs w:val="20"/>
              </w:rPr>
              <w:t xml:space="preserve">Strona </w:t>
            </w:r>
            <w:r w:rsidR="00B44E38" w:rsidRPr="00B44E38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="00B44E38" w:rsidRPr="00B44E38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="00B44E38" w:rsidRPr="00B44E38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B44E38" w:rsidRPr="00B44E38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B44E38" w:rsidRPr="00B44E38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="00B44E38" w:rsidRPr="00B44E38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="00B44E38" w:rsidRPr="00B44E38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="00B44E38" w:rsidRPr="00B44E38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="00B44E38" w:rsidRPr="00B44E38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B44E38" w:rsidRPr="00B44E38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B44E38" w:rsidRPr="00B44E38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359E2FF" w14:textId="77777777" w:rsidR="00B44E38" w:rsidRDefault="00B44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5B792" w14:textId="77777777" w:rsidR="00B57FDF" w:rsidRDefault="00B57FDF"/>
  </w:footnote>
  <w:footnote w:type="continuationSeparator" w:id="0">
    <w:p w14:paraId="01177BAC" w14:textId="77777777" w:rsidR="00B57FDF" w:rsidRDefault="00B57F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B1F9" w14:textId="77777777" w:rsidR="0092641E" w:rsidRDefault="0092641E" w:rsidP="0092641E">
    <w:pPr>
      <w:jc w:val="both"/>
      <w:rPr>
        <w:rFonts w:asciiTheme="majorHAnsi" w:hAnsiTheme="majorHAnsi" w:cstheme="majorHAnsi"/>
        <w:b/>
        <w:bCs/>
        <w:i/>
        <w:iCs/>
      </w:rPr>
    </w:pPr>
  </w:p>
  <w:p w14:paraId="0B40DDEF" w14:textId="69F800E8" w:rsidR="0092641E" w:rsidRPr="003A1F1B" w:rsidRDefault="0092641E" w:rsidP="0092641E">
    <w:pPr>
      <w:jc w:val="both"/>
      <w:rPr>
        <w:rFonts w:asciiTheme="majorHAnsi" w:hAnsiTheme="majorHAnsi" w:cstheme="majorHAnsi"/>
        <w:b/>
        <w:bCs/>
        <w:i/>
        <w:iCs/>
      </w:rPr>
    </w:pPr>
    <w:r w:rsidRPr="003A1F1B">
      <w:rPr>
        <w:rFonts w:asciiTheme="majorHAnsi" w:hAnsiTheme="majorHAnsi" w:cstheme="majorHAnsi"/>
        <w:b/>
        <w:bCs/>
        <w:i/>
        <w:iCs/>
      </w:rPr>
      <w:t>Postępowanie o udzielenie zamówienia jest prowadzone w związku z realizacją zadania 6. Poprawienie dostępności narzędzi informatycznych w ramach projektu: „Politechnika Warszawska Ambasadorem Innowacji na Rzecz Dostępności”, współfinansowanego ze środków Unii Europejskiej w ramach Europejskiego Funduszu Społecznego, Programu Operacyjnego Wiedza Edukacja Rozwój 2014-2020.</w:t>
    </w:r>
  </w:p>
  <w:p w14:paraId="233E965D" w14:textId="77777777" w:rsidR="0092641E" w:rsidRDefault="00926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A82"/>
    <w:multiLevelType w:val="multilevel"/>
    <w:tmpl w:val="1304E3B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55856"/>
    <w:multiLevelType w:val="hybridMultilevel"/>
    <w:tmpl w:val="6A6A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4A89"/>
    <w:multiLevelType w:val="hybridMultilevel"/>
    <w:tmpl w:val="9760CF4C"/>
    <w:lvl w:ilvl="0" w:tplc="385C7630">
      <w:start w:val="1"/>
      <w:numFmt w:val="decimal"/>
      <w:lvlText w:val="%1."/>
      <w:lvlJc w:val="left"/>
      <w:pPr>
        <w:ind w:left="720" w:hanging="360"/>
      </w:pPr>
    </w:lvl>
    <w:lvl w:ilvl="1" w:tplc="DE1C80EC">
      <w:start w:val="1"/>
      <w:numFmt w:val="ordinal"/>
      <w:lvlText w:val="8.%2"/>
      <w:lvlJc w:val="left"/>
      <w:pPr>
        <w:ind w:left="1440" w:hanging="360"/>
      </w:pPr>
      <w:rPr>
        <w:rFonts w:hint="default"/>
      </w:rPr>
    </w:lvl>
    <w:lvl w:ilvl="2" w:tplc="09A65ECE">
      <w:start w:val="1"/>
      <w:numFmt w:val="lowerRoman"/>
      <w:lvlText w:val="%3."/>
      <w:lvlJc w:val="right"/>
      <w:pPr>
        <w:ind w:left="2160" w:hanging="180"/>
      </w:pPr>
    </w:lvl>
    <w:lvl w:ilvl="3" w:tplc="6A3C0B80">
      <w:start w:val="1"/>
      <w:numFmt w:val="decimal"/>
      <w:lvlText w:val="%4."/>
      <w:lvlJc w:val="left"/>
      <w:pPr>
        <w:ind w:left="2880" w:hanging="360"/>
      </w:pPr>
    </w:lvl>
    <w:lvl w:ilvl="4" w:tplc="B132620C">
      <w:start w:val="1"/>
      <w:numFmt w:val="lowerLetter"/>
      <w:lvlText w:val="%5."/>
      <w:lvlJc w:val="left"/>
      <w:pPr>
        <w:ind w:left="3600" w:hanging="360"/>
      </w:pPr>
    </w:lvl>
    <w:lvl w:ilvl="5" w:tplc="F0DCA79C">
      <w:start w:val="1"/>
      <w:numFmt w:val="lowerRoman"/>
      <w:lvlText w:val="%6."/>
      <w:lvlJc w:val="right"/>
      <w:pPr>
        <w:ind w:left="4320" w:hanging="180"/>
      </w:pPr>
    </w:lvl>
    <w:lvl w:ilvl="6" w:tplc="90CA300E">
      <w:start w:val="1"/>
      <w:numFmt w:val="decimal"/>
      <w:lvlText w:val="%7."/>
      <w:lvlJc w:val="left"/>
      <w:pPr>
        <w:ind w:left="5040" w:hanging="360"/>
      </w:pPr>
    </w:lvl>
    <w:lvl w:ilvl="7" w:tplc="162ACF68">
      <w:start w:val="1"/>
      <w:numFmt w:val="lowerLetter"/>
      <w:lvlText w:val="%8."/>
      <w:lvlJc w:val="left"/>
      <w:pPr>
        <w:ind w:left="5760" w:hanging="360"/>
      </w:pPr>
    </w:lvl>
    <w:lvl w:ilvl="8" w:tplc="7644A5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613"/>
    <w:multiLevelType w:val="hybridMultilevel"/>
    <w:tmpl w:val="09F2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2605F"/>
    <w:multiLevelType w:val="multilevel"/>
    <w:tmpl w:val="ED267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0E041B"/>
    <w:multiLevelType w:val="hybridMultilevel"/>
    <w:tmpl w:val="6B5410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0C2842"/>
    <w:multiLevelType w:val="multilevel"/>
    <w:tmpl w:val="9146B0C0"/>
    <w:lvl w:ilvl="0">
      <w:start w:val="1"/>
      <w:numFmt w:val="decimal"/>
      <w:lvlText w:val="%1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0C1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auto"/>
      </w:rPr>
    </w:lvl>
  </w:abstractNum>
  <w:abstractNum w:abstractNumId="8" w15:restartNumberingAfterBreak="0">
    <w:nsid w:val="2EDD03A8"/>
    <w:multiLevelType w:val="multilevel"/>
    <w:tmpl w:val="0CBCC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9" w15:restartNumberingAfterBreak="0">
    <w:nsid w:val="30352CA3"/>
    <w:multiLevelType w:val="hybridMultilevel"/>
    <w:tmpl w:val="05002B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DF41B"/>
    <w:multiLevelType w:val="hybridMultilevel"/>
    <w:tmpl w:val="24EAAA1A"/>
    <w:lvl w:ilvl="0" w:tplc="72604F1A">
      <w:start w:val="1"/>
      <w:numFmt w:val="decimal"/>
      <w:lvlText w:val="%1)"/>
      <w:lvlJc w:val="left"/>
      <w:pPr>
        <w:ind w:left="720" w:hanging="360"/>
      </w:pPr>
    </w:lvl>
    <w:lvl w:ilvl="1" w:tplc="1D86E606">
      <w:start w:val="1"/>
      <w:numFmt w:val="lowerLetter"/>
      <w:lvlText w:val="%2."/>
      <w:lvlJc w:val="left"/>
      <w:pPr>
        <w:ind w:left="1440" w:hanging="360"/>
      </w:pPr>
    </w:lvl>
    <w:lvl w:ilvl="2" w:tplc="09789EC6">
      <w:start w:val="1"/>
      <w:numFmt w:val="lowerRoman"/>
      <w:lvlText w:val="%3."/>
      <w:lvlJc w:val="right"/>
      <w:pPr>
        <w:ind w:left="2160" w:hanging="180"/>
      </w:pPr>
    </w:lvl>
    <w:lvl w:ilvl="3" w:tplc="994A4F9A">
      <w:start w:val="1"/>
      <w:numFmt w:val="decimal"/>
      <w:lvlText w:val="%4."/>
      <w:lvlJc w:val="left"/>
      <w:pPr>
        <w:ind w:left="2880" w:hanging="360"/>
      </w:pPr>
    </w:lvl>
    <w:lvl w:ilvl="4" w:tplc="32567ADE">
      <w:start w:val="1"/>
      <w:numFmt w:val="lowerLetter"/>
      <w:lvlText w:val="%5."/>
      <w:lvlJc w:val="left"/>
      <w:pPr>
        <w:ind w:left="3600" w:hanging="360"/>
      </w:pPr>
    </w:lvl>
    <w:lvl w:ilvl="5" w:tplc="045A372A">
      <w:start w:val="1"/>
      <w:numFmt w:val="lowerRoman"/>
      <w:lvlText w:val="%6."/>
      <w:lvlJc w:val="right"/>
      <w:pPr>
        <w:ind w:left="4320" w:hanging="180"/>
      </w:pPr>
    </w:lvl>
    <w:lvl w:ilvl="6" w:tplc="9FB8E0E0">
      <w:start w:val="1"/>
      <w:numFmt w:val="decimal"/>
      <w:lvlText w:val="%7."/>
      <w:lvlJc w:val="left"/>
      <w:pPr>
        <w:ind w:left="5040" w:hanging="360"/>
      </w:pPr>
    </w:lvl>
    <w:lvl w:ilvl="7" w:tplc="B28299DC">
      <w:start w:val="1"/>
      <w:numFmt w:val="lowerLetter"/>
      <w:lvlText w:val="%8."/>
      <w:lvlJc w:val="left"/>
      <w:pPr>
        <w:ind w:left="5760" w:hanging="360"/>
      </w:pPr>
    </w:lvl>
    <w:lvl w:ilvl="8" w:tplc="1AC455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5492"/>
    <w:multiLevelType w:val="multilevel"/>
    <w:tmpl w:val="F952570A"/>
    <w:lvl w:ilvl="0">
      <w:start w:val="1"/>
      <w:numFmt w:val="decimal"/>
      <w:lvlText w:val="%1."/>
      <w:lvlJc w:val="left"/>
      <w:pPr>
        <w:ind w:left="823" w:hanging="360"/>
      </w:pPr>
    </w:lvl>
    <w:lvl w:ilvl="1">
      <w:start w:val="2"/>
      <w:numFmt w:val="decimal"/>
      <w:isLgl/>
      <w:lvlText w:val="%1.%2."/>
      <w:lvlJc w:val="left"/>
      <w:pPr>
        <w:ind w:left="1018" w:hanging="555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183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183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543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543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03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903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263" w:hanging="1800"/>
      </w:pPr>
      <w:rPr>
        <w:rFonts w:asciiTheme="minorHAnsi" w:eastAsiaTheme="minorHAnsi" w:hAnsiTheme="minorHAnsi" w:cstheme="minorBidi" w:hint="default"/>
      </w:rPr>
    </w:lvl>
  </w:abstractNum>
  <w:abstractNum w:abstractNumId="12" w15:restartNumberingAfterBreak="0">
    <w:nsid w:val="430C6417"/>
    <w:multiLevelType w:val="hybridMultilevel"/>
    <w:tmpl w:val="00841312"/>
    <w:lvl w:ilvl="0" w:tplc="B3B0FA28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07DF9"/>
    <w:multiLevelType w:val="multilevel"/>
    <w:tmpl w:val="256E5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391512"/>
    <w:multiLevelType w:val="hybridMultilevel"/>
    <w:tmpl w:val="1960FD14"/>
    <w:lvl w:ilvl="0" w:tplc="13D0882C">
      <w:start w:val="2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23115"/>
    <w:multiLevelType w:val="hybridMultilevel"/>
    <w:tmpl w:val="F050CB46"/>
    <w:lvl w:ilvl="0" w:tplc="F0EA095E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FF59CE"/>
    <w:multiLevelType w:val="hybridMultilevel"/>
    <w:tmpl w:val="264EE8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30769"/>
    <w:multiLevelType w:val="multilevel"/>
    <w:tmpl w:val="31BAF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00308C"/>
    <w:multiLevelType w:val="hybridMultilevel"/>
    <w:tmpl w:val="32ECE052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659D78B1"/>
    <w:multiLevelType w:val="hybridMultilevel"/>
    <w:tmpl w:val="6A6A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23DCA"/>
    <w:multiLevelType w:val="multilevel"/>
    <w:tmpl w:val="A36041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495"/>
      </w:pPr>
      <w:rPr>
        <w:rFonts w:hint="default"/>
        <w:color w:val="auto"/>
      </w:rPr>
    </w:lvl>
    <w:lvl w:ilvl="2">
      <w:start w:val="1"/>
      <w:numFmt w:val="upperRoman"/>
      <w:lvlText w:val="%3.1."/>
      <w:lvlJc w:val="righ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auto"/>
      </w:rPr>
    </w:lvl>
  </w:abstractNum>
  <w:abstractNum w:abstractNumId="21" w15:restartNumberingAfterBreak="0">
    <w:nsid w:val="7384677D"/>
    <w:multiLevelType w:val="multilevel"/>
    <w:tmpl w:val="93A813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>
      <w:start w:val="2"/>
      <w:numFmt w:val="decimal"/>
      <w:lvlText w:val="%2."/>
      <w:lvlJc w:val="left"/>
      <w:pPr>
        <w:ind w:left="958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auto"/>
      </w:rPr>
    </w:lvl>
  </w:abstractNum>
  <w:abstractNum w:abstractNumId="22" w15:restartNumberingAfterBreak="0">
    <w:nsid w:val="75E226D6"/>
    <w:multiLevelType w:val="multilevel"/>
    <w:tmpl w:val="24ECF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872082F"/>
    <w:multiLevelType w:val="hybridMultilevel"/>
    <w:tmpl w:val="4118902E"/>
    <w:lvl w:ilvl="0" w:tplc="DF6E23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18"/>
  </w:num>
  <w:num w:numId="6">
    <w:abstractNumId w:val="3"/>
  </w:num>
  <w:num w:numId="7">
    <w:abstractNumId w:val="10"/>
  </w:num>
  <w:num w:numId="8">
    <w:abstractNumId w:val="2"/>
  </w:num>
  <w:num w:numId="9">
    <w:abstractNumId w:val="20"/>
  </w:num>
  <w:num w:numId="10">
    <w:abstractNumId w:val="9"/>
  </w:num>
  <w:num w:numId="11">
    <w:abstractNumId w:val="21"/>
  </w:num>
  <w:num w:numId="12">
    <w:abstractNumId w:val="7"/>
  </w:num>
  <w:num w:numId="13">
    <w:abstractNumId w:val="11"/>
  </w:num>
  <w:num w:numId="14">
    <w:abstractNumId w:val="8"/>
  </w:num>
  <w:num w:numId="15">
    <w:abstractNumId w:val="22"/>
  </w:num>
  <w:num w:numId="16">
    <w:abstractNumId w:val="17"/>
  </w:num>
  <w:num w:numId="17">
    <w:abstractNumId w:val="16"/>
  </w:num>
  <w:num w:numId="18">
    <w:abstractNumId w:val="15"/>
  </w:num>
  <w:num w:numId="19">
    <w:abstractNumId w:val="12"/>
  </w:num>
  <w:num w:numId="20">
    <w:abstractNumId w:val="5"/>
  </w:num>
  <w:num w:numId="21">
    <w:abstractNumId w:val="1"/>
  </w:num>
  <w:num w:numId="22">
    <w:abstractNumId w:val="23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0F"/>
    <w:rsid w:val="00040771"/>
    <w:rsid w:val="000F41E3"/>
    <w:rsid w:val="000F582E"/>
    <w:rsid w:val="001B5DC4"/>
    <w:rsid w:val="001C3546"/>
    <w:rsid w:val="00255E71"/>
    <w:rsid w:val="00312123"/>
    <w:rsid w:val="00321FCE"/>
    <w:rsid w:val="00326479"/>
    <w:rsid w:val="00397777"/>
    <w:rsid w:val="003B1A6D"/>
    <w:rsid w:val="003D6073"/>
    <w:rsid w:val="004222F6"/>
    <w:rsid w:val="00441400"/>
    <w:rsid w:val="00522F0F"/>
    <w:rsid w:val="005770D1"/>
    <w:rsid w:val="00577E42"/>
    <w:rsid w:val="00636140"/>
    <w:rsid w:val="006531FC"/>
    <w:rsid w:val="006536C2"/>
    <w:rsid w:val="0066031F"/>
    <w:rsid w:val="00664D81"/>
    <w:rsid w:val="006755E4"/>
    <w:rsid w:val="006A31CF"/>
    <w:rsid w:val="0077057F"/>
    <w:rsid w:val="00772969"/>
    <w:rsid w:val="008A5E32"/>
    <w:rsid w:val="008E207F"/>
    <w:rsid w:val="00917083"/>
    <w:rsid w:val="009258F0"/>
    <w:rsid w:val="0092641E"/>
    <w:rsid w:val="00940969"/>
    <w:rsid w:val="00941475"/>
    <w:rsid w:val="009A2CB1"/>
    <w:rsid w:val="009A68EF"/>
    <w:rsid w:val="00A1021A"/>
    <w:rsid w:val="00A31280"/>
    <w:rsid w:val="00A5320D"/>
    <w:rsid w:val="00A61615"/>
    <w:rsid w:val="00A825CC"/>
    <w:rsid w:val="00AA72D5"/>
    <w:rsid w:val="00B44E38"/>
    <w:rsid w:val="00B57FDF"/>
    <w:rsid w:val="00BF3909"/>
    <w:rsid w:val="00C05552"/>
    <w:rsid w:val="00C151CD"/>
    <w:rsid w:val="00C233D2"/>
    <w:rsid w:val="00C7640E"/>
    <w:rsid w:val="00CC3EB3"/>
    <w:rsid w:val="00D632A7"/>
    <w:rsid w:val="00E01DF9"/>
    <w:rsid w:val="00E523DD"/>
    <w:rsid w:val="00E52E2B"/>
    <w:rsid w:val="00E573ED"/>
    <w:rsid w:val="00E95ADE"/>
    <w:rsid w:val="00EF0408"/>
    <w:rsid w:val="00F771CB"/>
    <w:rsid w:val="00F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EC08"/>
  <w15:docId w15:val="{55D2B23E-D41A-427F-9B04-2ED7B66D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grubienieTeksttreci2BookAntiqua115ptKursywa">
    <w:name w:val="Pogrubienie;Tekst treści (2) + Book Antiqua;11;5 pt;Kursywa"/>
    <w:basedOn w:val="Teksttreci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710ptBezpogrubienia">
    <w:name w:val="Tekst treści (7) + 10 pt;Bez pogrubienia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5100" w:line="230" w:lineRule="exact"/>
      <w:ind w:hanging="4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74" w:lineRule="exact"/>
      <w:ind w:hanging="3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360" w:line="0" w:lineRule="atLeast"/>
      <w:ind w:hanging="3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60" w:line="0" w:lineRule="atLeas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60"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82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5C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2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5CC"/>
    <w:rPr>
      <w:color w:val="000000"/>
    </w:rPr>
  </w:style>
  <w:style w:type="paragraph" w:styleId="Akapitzlist">
    <w:name w:val="List Paragraph"/>
    <w:basedOn w:val="Normalny"/>
    <w:uiPriority w:val="34"/>
    <w:qFormat/>
    <w:rsid w:val="00E52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5A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DE"/>
    <w:rPr>
      <w:rFonts w:ascii="Segoe UI" w:hAnsi="Segoe UI" w:cs="Segoe UI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6031F"/>
    <w:rPr>
      <w:i/>
      <w:iCs/>
    </w:rPr>
  </w:style>
  <w:style w:type="character" w:customStyle="1" w:styleId="normaltextrun">
    <w:name w:val="normaltextrun"/>
    <w:basedOn w:val="Domylnaczcionkaakapitu"/>
    <w:rsid w:val="0066031F"/>
  </w:style>
  <w:style w:type="character" w:styleId="Nierozpoznanawzmianka">
    <w:name w:val="Unresolved Mention"/>
    <w:basedOn w:val="Domylnaczcionkaakapitu"/>
    <w:uiPriority w:val="99"/>
    <w:semiHidden/>
    <w:unhideWhenUsed/>
    <w:rsid w:val="0066031F"/>
    <w:rPr>
      <w:color w:val="605E5C"/>
      <w:shd w:val="clear" w:color="auto" w:fill="E1DFDD"/>
    </w:rPr>
  </w:style>
  <w:style w:type="paragraph" w:customStyle="1" w:styleId="Standard">
    <w:name w:val="Standard"/>
    <w:rsid w:val="00255E71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kno.pw.edu.pll" TargetMode="External"/><Relationship Id="rId18" Type="http://schemas.openxmlformats.org/officeDocument/2006/relationships/hyperlink" Target="http://www.okno.pw.edu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izyka.pw.edu.pl/" TargetMode="External"/><Relationship Id="rId17" Type="http://schemas.openxmlformats.org/officeDocument/2006/relationships/hyperlink" Target="http://www.fizyka.pw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w.edu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w.edu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3.org/Translations/WCAG21-pl/" TargetMode="External"/><Relationship Id="rId10" Type="http://schemas.openxmlformats.org/officeDocument/2006/relationships/hyperlink" Target="http://www.pw.edu.pl" TargetMode="External"/><Relationship Id="rId19" Type="http://schemas.openxmlformats.org/officeDocument/2006/relationships/hyperlink" Target="http://www.bg.pw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g.pw.edu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66A6-8248-4F14-BCDF-E2291458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Iwona Nierwińska</dc:creator>
  <cp:keywords/>
  <cp:lastModifiedBy>Szafrańska-Słoboda Ewa</cp:lastModifiedBy>
  <cp:revision>15</cp:revision>
  <cp:lastPrinted>2023-06-26T13:55:00Z</cp:lastPrinted>
  <dcterms:created xsi:type="dcterms:W3CDTF">2023-06-06T12:13:00Z</dcterms:created>
  <dcterms:modified xsi:type="dcterms:W3CDTF">2023-08-31T08:03:00Z</dcterms:modified>
</cp:coreProperties>
</file>