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0"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0"/>
    </w:p>
    <w:p w14:paraId="3CF53D24" w14:textId="77777777" w:rsidR="00131FF4" w:rsidRPr="00B62071" w:rsidRDefault="00131FF4" w:rsidP="00CD3263">
      <w:pPr>
        <w:spacing w:before="60" w:line="240" w:lineRule="auto"/>
        <w:jc w:val="center"/>
        <w:rPr>
          <w:rFonts w:ascii="Arial" w:hAnsi="Arial" w:cs="Arial"/>
          <w:b/>
        </w:rPr>
      </w:pPr>
      <w:bookmarkStart w:id="1"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1"/>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2" w:name="_Toc264373033"/>
      <w:bookmarkStart w:id="3"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2"/>
      <w:bookmarkEnd w:id="3"/>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r w:rsidRPr="00B62071">
        <w:rPr>
          <w:rFonts w:ascii="Arial" w:hAnsi="Arial" w:cs="Arial"/>
          <w:b/>
          <w:bCs/>
        </w:rPr>
        <w:t>Nazwa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4"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proofErr w:type="spellStart"/>
      <w:r w:rsidRPr="00B62071">
        <w:rPr>
          <w:rFonts w:ascii="Arial" w:hAnsi="Arial" w:cs="Arial"/>
          <w:bCs/>
          <w:iCs/>
        </w:rPr>
        <w:t>Pzp</w:t>
      </w:r>
      <w:proofErr w:type="spellEnd"/>
      <w:r w:rsidRPr="00B62071">
        <w:rPr>
          <w:rFonts w:ascii="Arial" w:hAnsi="Arial" w:cs="Arial"/>
          <w:bCs/>
          <w:iCs/>
        </w:rPr>
        <w:t xml:space="preserve">”). Zastosowanie mają także akty wykonawcze do ustawy </w:t>
      </w:r>
      <w:proofErr w:type="spellStart"/>
      <w:r w:rsidRPr="00B62071">
        <w:rPr>
          <w:rFonts w:ascii="Arial" w:hAnsi="Arial" w:cs="Arial"/>
          <w:bCs/>
          <w:iCs/>
        </w:rPr>
        <w:t>Pzp</w:t>
      </w:r>
      <w:proofErr w:type="spellEnd"/>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xml:space="preserve">, z </w:t>
      </w:r>
      <w:proofErr w:type="spellStart"/>
      <w:r w:rsidR="008B32C4" w:rsidRPr="00B62071">
        <w:rPr>
          <w:rFonts w:ascii="Arial" w:hAnsi="Arial" w:cs="Arial"/>
          <w:bCs/>
        </w:rPr>
        <w:t>późn</w:t>
      </w:r>
      <w:proofErr w:type="spellEnd"/>
      <w:r w:rsidR="008B32C4" w:rsidRPr="00B62071">
        <w:rPr>
          <w:rFonts w:ascii="Arial" w:hAnsi="Arial" w:cs="Arial"/>
          <w:bCs/>
        </w:rPr>
        <w:t>. zm.</w:t>
      </w:r>
      <w:r w:rsidRPr="00B62071">
        <w:rPr>
          <w:rFonts w:ascii="Arial" w:hAnsi="Arial" w:cs="Arial"/>
          <w:bCs/>
        </w:rPr>
        <w:t xml:space="preserve">), jeżeli przepisy ustawy </w:t>
      </w:r>
      <w:proofErr w:type="spellStart"/>
      <w:r w:rsidRPr="00B62071">
        <w:rPr>
          <w:rFonts w:ascii="Arial" w:hAnsi="Arial" w:cs="Arial"/>
          <w:bCs/>
        </w:rPr>
        <w:t>Pzp</w:t>
      </w:r>
      <w:proofErr w:type="spellEnd"/>
      <w:r w:rsidRPr="00B62071">
        <w:rPr>
          <w:rFonts w:ascii="Arial" w:hAnsi="Arial" w:cs="Arial"/>
          <w:bCs/>
        </w:rPr>
        <w:t xml:space="preserve">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w:t>
      </w:r>
      <w:proofErr w:type="spellStart"/>
      <w:r w:rsidRPr="00B62071">
        <w:rPr>
          <w:rFonts w:ascii="Arial" w:hAnsi="Arial" w:cs="Arial"/>
          <w:bCs/>
          <w:iCs/>
        </w:rPr>
        <w:t>Pzp</w:t>
      </w:r>
      <w:proofErr w:type="spellEnd"/>
      <w:r w:rsidRPr="00B62071">
        <w:rPr>
          <w:rFonts w:ascii="Arial" w:hAnsi="Arial" w:cs="Arial"/>
          <w:bCs/>
          <w:iCs/>
        </w:rPr>
        <w:t xml:space="preserve">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4"/>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Funkcjonalno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w:t>
      </w:r>
      <w:proofErr w:type="spellStart"/>
      <w:r w:rsidR="00321370" w:rsidRPr="00B62071">
        <w:rPr>
          <w:rFonts w:ascii="Arial" w:hAnsi="Arial" w:cs="Arial"/>
        </w:rPr>
        <w:t>Pzp</w:t>
      </w:r>
      <w:proofErr w:type="spellEnd"/>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5"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5"/>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lastRenderedPageBreak/>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w:t>
      </w:r>
      <w:proofErr w:type="spellStart"/>
      <w:r w:rsidR="00EA7043" w:rsidRPr="00B62071">
        <w:rPr>
          <w:rFonts w:ascii="Arial" w:hAnsi="Arial" w:cs="Arial"/>
        </w:rPr>
        <w:t>Pzp</w:t>
      </w:r>
      <w:proofErr w:type="spellEnd"/>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lastRenderedPageBreak/>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6" w:name="_Toc440969209"/>
      <w:bookmarkStart w:id="7"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w:t>
      </w:r>
      <w:proofErr w:type="spellStart"/>
      <w:r w:rsidR="000842C2" w:rsidRPr="00B62071">
        <w:rPr>
          <w:rFonts w:ascii="Arial" w:hAnsi="Arial" w:cs="Arial"/>
        </w:rPr>
        <w:t>pozacenowych</w:t>
      </w:r>
      <w:proofErr w:type="spellEnd"/>
      <w:r w:rsidR="000842C2" w:rsidRPr="00B62071">
        <w:rPr>
          <w:rFonts w:ascii="Arial" w:hAnsi="Arial" w:cs="Arial"/>
        </w:rPr>
        <w:t xml:space="preserve">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xml:space="preserve">, na podstawie art. 226 ust. 1 pkt 5) ustawy </w:t>
      </w:r>
      <w:proofErr w:type="spellStart"/>
      <w:r w:rsidR="002B601A" w:rsidRPr="00B62071">
        <w:rPr>
          <w:rFonts w:ascii="Arial" w:hAnsi="Arial" w:cs="Arial"/>
        </w:rPr>
        <w:t>Pzp</w:t>
      </w:r>
      <w:proofErr w:type="spellEnd"/>
      <w:r w:rsidR="002B601A" w:rsidRPr="00B62071">
        <w:rPr>
          <w:rFonts w:ascii="Arial" w:hAnsi="Arial" w:cs="Arial"/>
        </w:rPr>
        <w:t>.</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nie podlegają wykluczeniu;</w:t>
      </w:r>
    </w:p>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5A187EF4" w:rsidR="006B29BE" w:rsidRPr="00B62071" w:rsidRDefault="001D5EE4" w:rsidP="00E50A3A">
      <w:pPr>
        <w:autoSpaceDE w:val="0"/>
        <w:autoSpaceDN w:val="0"/>
        <w:adjustRightInd w:val="0"/>
        <w:spacing w:after="120" w:line="240" w:lineRule="auto"/>
        <w:ind w:left="710"/>
        <w:jc w:val="left"/>
        <w:rPr>
          <w:rFonts w:ascii="Arial" w:hAnsi="Arial" w:cs="Arial"/>
        </w:rPr>
      </w:pPr>
      <w:bookmarkStart w:id="8" w:name="_Hlk77773413"/>
      <w:r w:rsidRPr="00B62071">
        <w:rPr>
          <w:rFonts w:ascii="Arial" w:hAnsi="Arial" w:cs="Arial"/>
          <w:bCs/>
        </w:rPr>
        <w:t>Zamawiający</w:t>
      </w:r>
      <w:r w:rsidR="00DA6D13" w:rsidRPr="00B62071">
        <w:rPr>
          <w:rFonts w:ascii="Arial" w:hAnsi="Arial" w:cs="Arial"/>
          <w:bCs/>
        </w:rPr>
        <w:t xml:space="preserve"> uzna, że wykonawca znajduje się w sytuacji ekonomicznej lub </w:t>
      </w:r>
      <w:r w:rsidRPr="00B62071">
        <w:rPr>
          <w:rFonts w:ascii="Arial" w:hAnsi="Arial" w:cs="Arial"/>
          <w:bCs/>
        </w:rPr>
        <w:t>finansowej</w:t>
      </w:r>
      <w:r w:rsidR="00DA6D13" w:rsidRPr="00B62071">
        <w:rPr>
          <w:rFonts w:ascii="Arial" w:hAnsi="Arial" w:cs="Arial"/>
          <w:bCs/>
        </w:rPr>
        <w:t xml:space="preserve"> </w:t>
      </w:r>
      <w:r w:rsidR="00AB5208" w:rsidRPr="00B62071">
        <w:rPr>
          <w:rFonts w:ascii="Arial" w:hAnsi="Arial" w:cs="Arial"/>
          <w:bCs/>
        </w:rPr>
        <w:t xml:space="preserve">zapewniającej należyte </w:t>
      </w:r>
      <w:r w:rsidRPr="00B62071">
        <w:rPr>
          <w:rFonts w:ascii="Arial" w:hAnsi="Arial" w:cs="Arial"/>
          <w:bCs/>
        </w:rPr>
        <w:t>wykonanie</w:t>
      </w:r>
      <w:r w:rsidR="00AB5208" w:rsidRPr="00B62071">
        <w:rPr>
          <w:rFonts w:ascii="Arial" w:hAnsi="Arial" w:cs="Arial"/>
          <w:bCs/>
        </w:rPr>
        <w:t xml:space="preserve"> zamówienia</w:t>
      </w:r>
      <w:r w:rsidR="003C493D" w:rsidRPr="00B62071">
        <w:rPr>
          <w:rFonts w:ascii="Arial" w:hAnsi="Arial" w:cs="Arial"/>
          <w:bCs/>
        </w:rPr>
        <w:t xml:space="preserve">, jeżeli wykonawca wykaże, że w ciągu ostatnich trzech lat obrotowych </w:t>
      </w:r>
      <w:r w:rsidR="00124D40">
        <w:rPr>
          <w:rFonts w:ascii="Arial" w:hAnsi="Arial" w:cs="Arial"/>
          <w:bCs/>
        </w:rPr>
        <w:t xml:space="preserve">osiągnął średni roczny </w:t>
      </w:r>
      <w:r w:rsidR="00124D40" w:rsidRPr="001E535F">
        <w:rPr>
          <w:rFonts w:ascii="Arial" w:hAnsi="Arial" w:cs="Arial"/>
          <w:bCs/>
        </w:rPr>
        <w:t>przychód</w:t>
      </w:r>
      <w:r w:rsidR="00995C3F" w:rsidRPr="001E535F">
        <w:rPr>
          <w:rFonts w:ascii="Arial" w:hAnsi="Arial" w:cs="Arial"/>
          <w:bCs/>
        </w:rPr>
        <w:t xml:space="preserve">, </w:t>
      </w:r>
      <w:r w:rsidR="00995C3F" w:rsidRPr="00B62071">
        <w:rPr>
          <w:rFonts w:ascii="Arial" w:hAnsi="Arial" w:cs="Arial"/>
          <w:bCs/>
        </w:rPr>
        <w:t xml:space="preserve">a jeżeli okres </w:t>
      </w:r>
      <w:r w:rsidRPr="00B62071">
        <w:rPr>
          <w:rFonts w:ascii="Arial" w:hAnsi="Arial" w:cs="Arial"/>
          <w:bCs/>
        </w:rPr>
        <w:t>prowadzenia</w:t>
      </w:r>
      <w:r w:rsidR="00995C3F" w:rsidRPr="00B62071">
        <w:rPr>
          <w:rFonts w:ascii="Arial" w:hAnsi="Arial" w:cs="Arial"/>
          <w:bCs/>
        </w:rPr>
        <w:t xml:space="preserve"> </w:t>
      </w:r>
      <w:r w:rsidRPr="00B62071">
        <w:rPr>
          <w:rFonts w:ascii="Arial" w:hAnsi="Arial" w:cs="Arial"/>
          <w:bCs/>
        </w:rPr>
        <w:t>działalności</w:t>
      </w:r>
      <w:r w:rsidR="00995C3F" w:rsidRPr="00B62071">
        <w:rPr>
          <w:rFonts w:ascii="Arial" w:hAnsi="Arial" w:cs="Arial"/>
          <w:bCs/>
        </w:rPr>
        <w:t xml:space="preserve"> jest </w:t>
      </w:r>
      <w:r w:rsidR="00B06839" w:rsidRPr="00B62071">
        <w:rPr>
          <w:rFonts w:ascii="Arial" w:hAnsi="Arial" w:cs="Arial"/>
          <w:bCs/>
        </w:rPr>
        <w:t>krótszy – w tym okresie</w:t>
      </w:r>
      <w:r w:rsidR="00FE5789" w:rsidRPr="00B62071">
        <w:rPr>
          <w:rFonts w:ascii="Arial" w:hAnsi="Arial" w:cs="Arial"/>
          <w:bCs/>
        </w:rPr>
        <w:t xml:space="preserve">, w wysokości </w:t>
      </w:r>
      <w:r w:rsidR="00EE2F99" w:rsidRPr="00B62071">
        <w:rPr>
          <w:rFonts w:ascii="Arial" w:hAnsi="Arial" w:cs="Arial"/>
          <w:bCs/>
        </w:rPr>
        <w:t xml:space="preserve">co najmniej 5.000.000,00 zł (słownie: </w:t>
      </w:r>
      <w:r w:rsidR="009431F5" w:rsidRPr="00B62071">
        <w:rPr>
          <w:rFonts w:ascii="Arial" w:hAnsi="Arial" w:cs="Arial"/>
          <w:bCs/>
        </w:rPr>
        <w:t xml:space="preserve">pięć milionów złotych) </w:t>
      </w:r>
      <w:r w:rsidR="00C54687" w:rsidRPr="00B62071">
        <w:rPr>
          <w:rFonts w:ascii="Arial" w:hAnsi="Arial" w:cs="Arial"/>
          <w:bCs/>
        </w:rPr>
        <w:t>w obszar</w:t>
      </w:r>
      <w:r w:rsidR="00174741" w:rsidRPr="00B62071">
        <w:rPr>
          <w:rFonts w:ascii="Arial" w:hAnsi="Arial" w:cs="Arial"/>
          <w:bCs/>
        </w:rPr>
        <w:t>ze</w:t>
      </w:r>
      <w:r w:rsidR="00B54AAD" w:rsidRPr="00B62071">
        <w:rPr>
          <w:rFonts w:ascii="Arial" w:hAnsi="Arial" w:cs="Arial"/>
          <w:bCs/>
        </w:rPr>
        <w:t xml:space="preserve"> związan</w:t>
      </w:r>
      <w:r w:rsidR="00174741" w:rsidRPr="00B62071">
        <w:rPr>
          <w:rFonts w:ascii="Arial" w:hAnsi="Arial" w:cs="Arial"/>
          <w:bCs/>
        </w:rPr>
        <w:t>ym</w:t>
      </w:r>
      <w:r w:rsidR="00B54AAD" w:rsidRPr="00B62071">
        <w:rPr>
          <w:rFonts w:ascii="Arial" w:hAnsi="Arial" w:cs="Arial"/>
          <w:bCs/>
        </w:rPr>
        <w:t xml:space="preserve"> z przedmiotem zamówienia</w:t>
      </w:r>
      <w:r w:rsidR="00E80AB1" w:rsidRPr="00B62071">
        <w:rPr>
          <w:rFonts w:ascii="Arial" w:hAnsi="Arial" w:cs="Arial"/>
        </w:rPr>
        <w:t>.</w:t>
      </w:r>
    </w:p>
    <w:bookmarkEnd w:id="8"/>
    <w:p w14:paraId="096664B3" w14:textId="0CBFC90F"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7DFFE877" w:rsidR="003A5112" w:rsidRPr="001E535F"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59DF2F11"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Zamawiający uzna, że wykonawca posiada wymagane zdolności techniczne i/lub zawodowe zapewniające należyte wykonanie zamówienia, jeżeli wykonawca wykaże, że w okresie ostatnich dziesięciu latach przed upływem terminu składania ofert, a jeżeli okres prowadzenia działalności jest krótszy – w tym okresie, wykonał (zakończył) w sposób należyty oraz zgodnie z zasadami sztuki inżynierskiej co najmniej jedno zamówienie </w:t>
      </w:r>
      <w:r w:rsidRPr="001E535F">
        <w:rPr>
          <w:rFonts w:ascii="Arial" w:hAnsi="Arial" w:cs="Arial"/>
          <w:color w:val="00B050"/>
        </w:rPr>
        <w:t xml:space="preserve">polegające na </w:t>
      </w:r>
      <w:r w:rsidRPr="001E535F">
        <w:rPr>
          <w:rFonts w:ascii="Arial" w:hAnsi="Arial" w:cs="Arial"/>
        </w:rPr>
        <w:t>zaprojektowaniu, dostawie i wdrożeniu oraz uruchomieniu do działania</w:t>
      </w:r>
    </w:p>
    <w:p w14:paraId="621D8D6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w warunkach rzeczywistego ruchu drogowego Systemu Zarządzania Ruchem (SZR) lub Systemu Sterowania Ruchem (SSR) Drogowym, który obejmował łącznie co najmniej następujące podsystemy i funkcjonalności:</w:t>
      </w:r>
    </w:p>
    <w:p w14:paraId="22C63CF3"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System Sterowania Ruchem (SSR) z funkcją optymalizacji parametrów sterowania drogową sygnalizacją świetlną zarówno dla poszczególnych skrzyżowań, ciągów komunikacyjnych lub obszarów 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 lub pojazdów specjalnych;</w:t>
      </w:r>
    </w:p>
    <w:p w14:paraId="2A1D0747"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 System informacji dla Kierowców oparty o wykorzystanie elektronicznych tablic o zmiennej treści, znaków typu VMS z podłączonymi przynajmniej dwoma tego rodzaju </w:t>
      </w:r>
      <w:r w:rsidRPr="001E535F">
        <w:rPr>
          <w:rFonts w:ascii="Arial" w:hAnsi="Arial" w:cs="Arial"/>
        </w:rPr>
        <w:lastRenderedPageBreak/>
        <w:t>urządzeniami (elektronicznymi tablicami lub znakami typu VMS) oraz jednocześnie posiadający dedykowany do celów informacji</w:t>
      </w:r>
    </w:p>
    <w:p w14:paraId="36ACEFD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o aktualnych warunkach ruchu Portal Internetowy typu WWW;</w:t>
      </w:r>
    </w:p>
    <w:p w14:paraId="23798B5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Zawierający system informacji, 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08E30443" w14:textId="77777777" w:rsidR="001E535F" w:rsidRPr="001E535F" w:rsidRDefault="001E535F" w:rsidP="001E535F">
      <w:pPr>
        <w:autoSpaceDE w:val="0"/>
        <w:autoSpaceDN w:val="0"/>
        <w:adjustRightInd w:val="0"/>
        <w:spacing w:after="120" w:line="240" w:lineRule="auto"/>
        <w:ind w:left="709"/>
        <w:jc w:val="left"/>
        <w:rPr>
          <w:rFonts w:ascii="Arial" w:hAnsi="Arial" w:cs="Arial"/>
          <w:color w:val="00B050"/>
        </w:rPr>
      </w:pPr>
      <w:r w:rsidRPr="001E535F">
        <w:rPr>
          <w:rFonts w:ascii="Arial" w:hAnsi="Arial" w:cs="Arial"/>
          <w:color w:val="00B050"/>
        </w:rPr>
        <w:t>Zamawiający wymaga, aby wykonawca wykonał w ramach jednego zamówienia przynajmniej System Sterowania Ruchem (SSR) oraz System informacji dla Kierowców, o których mowa powyżej.</w:t>
      </w:r>
    </w:p>
    <w:p w14:paraId="5CED6B72" w14:textId="1ECEEAB8"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Przy wykazywaniu zadań wykonywanych w ramach konsorcjum Zamawiający zastrzega sobie prawo badania faktycznego udziału poszczególnych członków konsorcjum 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w:t>
      </w:r>
      <w:proofErr w:type="spellStart"/>
      <w:r w:rsidRPr="00B62071">
        <w:rPr>
          <w:rFonts w:ascii="Arial" w:hAnsi="Arial" w:cs="Arial"/>
          <w:iCs/>
        </w:rPr>
        <w:t>cy</w:t>
      </w:r>
      <w:proofErr w:type="spellEnd"/>
      <w:r w:rsidRPr="00B62071">
        <w:rPr>
          <w:rFonts w:ascii="Arial" w:hAnsi="Arial" w:cs="Arial"/>
          <w:iCs/>
        </w:rPr>
        <w:t xml:space="preserve">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lastRenderedPageBreak/>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zgodnie z art. 118 ustawy </w:t>
      </w:r>
      <w:proofErr w:type="spellStart"/>
      <w:r w:rsidRPr="00B62071">
        <w:rPr>
          <w:rFonts w:ascii="Arial" w:hAnsi="Arial" w:cs="Arial"/>
        </w:rPr>
        <w:t>Pzp</w:t>
      </w:r>
      <w:proofErr w:type="spellEnd"/>
      <w:r w:rsidRPr="00B62071">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w:t>
      </w:r>
      <w:proofErr w:type="spellStart"/>
      <w:r w:rsidRPr="00B62071">
        <w:rPr>
          <w:rFonts w:ascii="Arial" w:hAnsi="Arial" w:cs="Arial"/>
        </w:rPr>
        <w:t>Pzp</w:t>
      </w:r>
      <w:proofErr w:type="spellEnd"/>
      <w:r w:rsidRPr="00B62071">
        <w:rPr>
          <w:rFonts w:ascii="Arial" w:hAnsi="Arial" w:cs="Arial"/>
        </w:rPr>
        <w:t xml:space="preserve">,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Pr="00B62071">
        <w:rPr>
          <w:rFonts w:ascii="Arial" w:hAnsi="Arial" w:cs="Arial"/>
        </w:rPr>
        <w:lastRenderedPageBreak/>
        <w:t xml:space="preserve">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9"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6"/>
      <w:bookmarkEnd w:id="7"/>
      <w:bookmarkEnd w:id="9"/>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0" w:name="_Toc264373037"/>
      <w:bookmarkStart w:id="11" w:name="_Toc440969210"/>
      <w:bookmarkStart w:id="12" w:name="_Toc221427589"/>
      <w:bookmarkStart w:id="13"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w:t>
      </w:r>
      <w:proofErr w:type="spellStart"/>
      <w:r w:rsidRPr="00B62071">
        <w:rPr>
          <w:rFonts w:ascii="Arial" w:hAnsi="Arial" w:cs="Arial"/>
        </w:rPr>
        <w:t>Pzp</w:t>
      </w:r>
      <w:proofErr w:type="spellEnd"/>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w:t>
      </w:r>
      <w:proofErr w:type="spellStart"/>
      <w:r w:rsidR="008479AB" w:rsidRPr="00B62071">
        <w:rPr>
          <w:rFonts w:ascii="Arial" w:hAnsi="Arial" w:cs="Arial"/>
        </w:rPr>
        <w:t>późn</w:t>
      </w:r>
      <w:proofErr w:type="spellEnd"/>
      <w:r w:rsidR="008479AB" w:rsidRPr="00B62071">
        <w:rPr>
          <w:rFonts w:ascii="Arial" w:hAnsi="Arial" w:cs="Arial"/>
        </w:rPr>
        <w:t>.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 xml:space="preserve">zaleganiu z uiszczeniem podatków, opłat lub składek na ubezpieczenie społeczne lub zdrowotne, chyba że wykonawca odpowiednio przed upływem terminu do składania </w:t>
      </w:r>
      <w:r w:rsidRPr="00B62071">
        <w:rPr>
          <w:rFonts w:ascii="Arial" w:hAnsi="Arial" w:cs="Arial"/>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w:t>
      </w:r>
      <w:proofErr w:type="spellStart"/>
      <w:r w:rsidR="007639EA" w:rsidRPr="00B62071">
        <w:rPr>
          <w:rFonts w:ascii="Arial" w:hAnsi="Arial" w:cs="Arial"/>
        </w:rPr>
        <w:t>Pzp</w:t>
      </w:r>
      <w:proofErr w:type="spellEnd"/>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 xml:space="preserve">ustawy </w:t>
      </w:r>
      <w:proofErr w:type="spellStart"/>
      <w:r w:rsidRPr="00A4565E">
        <w:rPr>
          <w:rFonts w:ascii="Arial" w:eastAsia="SimSun" w:hAnsi="Arial" w:cs="Arial"/>
          <w:lang w:eastAsia="zh-CN"/>
        </w:rPr>
        <w:t>Pzp</w:t>
      </w:r>
      <w:proofErr w:type="spellEnd"/>
      <w:r w:rsidRPr="00A4565E">
        <w:rPr>
          <w:rFonts w:ascii="Arial" w:eastAsia="SimSun" w:hAnsi="Arial" w:cs="Arial"/>
          <w:lang w:eastAsia="zh-CN"/>
        </w:rPr>
        <w:t>,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w:t>
      </w:r>
      <w:r w:rsidRPr="00A4565E">
        <w:rPr>
          <w:rFonts w:ascii="Arial" w:hAnsi="Arial" w:cs="Arial"/>
          <w:shd w:val="clear" w:color="auto" w:fill="FFFFFF"/>
        </w:rPr>
        <w:lastRenderedPageBreak/>
        <w:t>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w:t>
      </w:r>
      <w:proofErr w:type="spellStart"/>
      <w:r w:rsidRPr="00A4565E">
        <w:rPr>
          <w:rFonts w:ascii="Arial" w:hAnsi="Arial" w:cs="Arial"/>
          <w:shd w:val="clear" w:color="auto" w:fill="FFFFFF"/>
        </w:rPr>
        <w:t>Pzp</w:t>
      </w:r>
      <w:proofErr w:type="spellEnd"/>
      <w:r w:rsidRPr="00A4565E">
        <w:rPr>
          <w:rFonts w:ascii="Arial" w:hAnsi="Arial" w:cs="Arial"/>
          <w:shd w:val="clear" w:color="auto" w:fill="FFFFFF"/>
        </w:rPr>
        <w:t xml:space="preserve">,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w:t>
      </w:r>
      <w:proofErr w:type="spellStart"/>
      <w:r w:rsidRPr="00B62071">
        <w:rPr>
          <w:rFonts w:ascii="Arial" w:hAnsi="Arial" w:cs="Arial"/>
        </w:rPr>
        <w:t>Pzp</w:t>
      </w:r>
      <w:proofErr w:type="spellEnd"/>
      <w:r w:rsidRPr="00B62071">
        <w:rPr>
          <w:rFonts w:ascii="Arial" w:hAnsi="Arial" w:cs="Arial"/>
        </w:rPr>
        <w:t xml:space="preserve">, gdy osoba, o której mowa w tych przepisach, została skazana za przestępstwo wymienione </w:t>
      </w:r>
      <w:r w:rsidRPr="00B62071">
        <w:rPr>
          <w:rFonts w:ascii="Arial" w:hAnsi="Arial" w:cs="Arial"/>
        </w:rPr>
        <w:br/>
        <w:t xml:space="preserve">w art. 108 ust. 1 pkt 1 lit. h ustawy </w:t>
      </w:r>
      <w:proofErr w:type="spellStart"/>
      <w:r w:rsidRPr="00B62071">
        <w:rPr>
          <w:rFonts w:ascii="Arial" w:hAnsi="Arial" w:cs="Arial"/>
        </w:rPr>
        <w:t>Pzp</w:t>
      </w:r>
      <w:proofErr w:type="spellEnd"/>
      <w:r w:rsidRPr="00B62071">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 xml:space="preserve">w przypadku, o którym mowa w art. 108 ust. 1 pkt 4 ustawy </w:t>
      </w:r>
      <w:proofErr w:type="spellStart"/>
      <w:r w:rsidRPr="00B62071">
        <w:rPr>
          <w:rFonts w:ascii="Arial" w:hAnsi="Arial" w:cs="Arial"/>
        </w:rPr>
        <w:t>Pzp</w:t>
      </w:r>
      <w:proofErr w:type="spellEnd"/>
      <w:r w:rsidRPr="00B62071">
        <w:rPr>
          <w:rFonts w:ascii="Arial" w:hAnsi="Arial" w:cs="Arial"/>
        </w:rPr>
        <w:t>,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4" w:name="_Hlk61855284"/>
      <w:r w:rsidRPr="00B62071">
        <w:rPr>
          <w:rFonts w:ascii="Arial" w:hAnsi="Arial" w:cs="Arial"/>
        </w:rPr>
        <w:t xml:space="preserve">w przypadkach, o których mowa w art. 108 ust. 1 pkt 5, art. 109 ust. 1 pkt 4, 7 ustawy </w:t>
      </w:r>
      <w:proofErr w:type="spellStart"/>
      <w:r w:rsidRPr="00B62071">
        <w:rPr>
          <w:rFonts w:ascii="Arial" w:hAnsi="Arial" w:cs="Arial"/>
        </w:rPr>
        <w:t>Pzp</w:t>
      </w:r>
      <w:proofErr w:type="spellEnd"/>
      <w:r w:rsidRPr="00B62071">
        <w:rPr>
          <w:rFonts w:ascii="Arial" w:hAnsi="Arial" w:cs="Arial"/>
        </w:rPr>
        <w:t>, na okres 3 lat od zaistnienia zdarzenia będącego podstawą wykluczenia;</w:t>
      </w:r>
    </w:p>
    <w:bookmarkEnd w:id="14"/>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lastRenderedPageBreak/>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0"/>
      <w:bookmarkEnd w:id="11"/>
      <w:bookmarkEnd w:id="12"/>
      <w:bookmarkEnd w:id="13"/>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w:t>
      </w:r>
      <w:proofErr w:type="spellStart"/>
      <w:r w:rsidR="008E2D83" w:rsidRPr="00B62071">
        <w:rPr>
          <w:rFonts w:ascii="Arial" w:hAnsi="Arial" w:cs="Arial"/>
        </w:rPr>
        <w:t>Pzp</w:t>
      </w:r>
      <w:proofErr w:type="spellEnd"/>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 xml:space="preserve">2 ustawy </w:t>
      </w:r>
      <w:proofErr w:type="spellStart"/>
      <w:r w:rsidRPr="00B62071">
        <w:rPr>
          <w:rFonts w:ascii="Arial" w:hAnsi="Arial" w:cs="Arial"/>
        </w:rPr>
        <w:t>Pzp</w:t>
      </w:r>
      <w:proofErr w:type="spellEnd"/>
      <w:r w:rsidRPr="00B62071">
        <w:rPr>
          <w:rFonts w:ascii="Arial" w:hAnsi="Arial" w:cs="Arial"/>
        </w:rPr>
        <w:t>,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w:t>
      </w:r>
      <w:proofErr w:type="spellStart"/>
      <w:r w:rsidRPr="00B62071">
        <w:rPr>
          <w:rFonts w:ascii="Arial" w:hAnsi="Arial" w:cs="Arial"/>
        </w:rPr>
        <w:t>Pzp</w:t>
      </w:r>
      <w:proofErr w:type="spellEnd"/>
      <w:r w:rsidRPr="00B62071">
        <w:rPr>
          <w:rFonts w:ascii="Arial" w:hAnsi="Arial" w:cs="Arial"/>
        </w:rPr>
        <w:t xml:space="preserve">,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lastRenderedPageBreak/>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447FDF5"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a w przypadku świadczeń powtarzających się lub ciągłych również wykonywanych, w okresie ostatnich</w:t>
      </w:r>
      <w:r w:rsidR="006B0CA0" w:rsidRPr="00B62071">
        <w:rPr>
          <w:rFonts w:ascii="Arial" w:hAnsi="Arial" w:cs="Arial"/>
          <w:color w:val="FF0000"/>
          <w:shd w:val="clear" w:color="auto" w:fill="FFFFFF"/>
        </w:rPr>
        <w:t xml:space="preserve"> </w:t>
      </w:r>
      <w:r w:rsidR="00B36BA2" w:rsidRPr="00B62071">
        <w:rPr>
          <w:rFonts w:ascii="Arial" w:hAnsi="Arial" w:cs="Arial"/>
          <w:shd w:val="clear" w:color="auto" w:fill="FFFFFF"/>
        </w:rPr>
        <w:t>5</w:t>
      </w:r>
      <w:r w:rsidR="006B0CA0" w:rsidRPr="00B62071">
        <w:rPr>
          <w:rFonts w:ascii="Arial" w:hAnsi="Arial" w:cs="Arial"/>
          <w:color w:val="FF0000"/>
          <w:shd w:val="clear" w:color="auto" w:fill="FFFFFF"/>
        </w:rPr>
        <w:t xml:space="preserve"> </w:t>
      </w:r>
      <w:r w:rsidR="006B0CA0" w:rsidRPr="00B62071">
        <w:rPr>
          <w:rFonts w:ascii="Arial" w:hAnsi="Arial" w:cs="Arial"/>
          <w:color w:val="000000"/>
          <w:shd w:val="clear" w:color="auto" w:fill="FFFFFF"/>
        </w:rPr>
        <w:t>lat, 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5k ust. 1 rozporządzenia Rady (UE) nr 833/2014 z dnia 31 lipca 2014 r. dotyczącego środków ograniczających w związku z działaniami Rosji destabilizującymi sytuację na Ukrainie (</w:t>
      </w:r>
      <w:proofErr w:type="spellStart"/>
      <w:r w:rsidRPr="00966D13">
        <w:rPr>
          <w:rFonts w:ascii="Arial" w:hAnsi="Arial" w:cs="Arial"/>
          <w:shd w:val="clear" w:color="auto" w:fill="FFFFFF"/>
        </w:rPr>
        <w:t>Dz.Urz</w:t>
      </w:r>
      <w:proofErr w:type="spellEnd"/>
      <w:r w:rsidRPr="00966D13">
        <w:rPr>
          <w:rFonts w:ascii="Arial" w:hAnsi="Arial" w:cs="Arial"/>
          <w:shd w:val="clear" w:color="auto" w:fill="FFFFFF"/>
        </w:rPr>
        <w:t xml:space="preserve">.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lastRenderedPageBreak/>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 xml:space="preserve">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09F51DA3" w14:textId="156E6365" w:rsidR="00AE378D" w:rsidRPr="00AE378D" w:rsidRDefault="00AE378D" w:rsidP="00AE378D">
      <w:pPr>
        <w:pStyle w:val="Akapitzlist"/>
        <w:numPr>
          <w:ilvl w:val="0"/>
          <w:numId w:val="118"/>
        </w:numPr>
        <w:suppressAutoHyphens/>
        <w:autoSpaceDN w:val="0"/>
        <w:spacing w:after="0" w:line="240" w:lineRule="auto"/>
        <w:ind w:left="142" w:hanging="284"/>
        <w:textAlignment w:val="baseline"/>
        <w:rPr>
          <w:rFonts w:ascii="Arial" w:hAnsi="Arial" w:cs="Arial"/>
          <w:color w:val="00B050"/>
        </w:rPr>
      </w:pPr>
      <w:r w:rsidRPr="00AE378D">
        <w:rPr>
          <w:rFonts w:ascii="Arial" w:hAnsi="Arial" w:cs="Arial"/>
          <w:color w:val="00B050"/>
        </w:rPr>
        <w:t>Zamawiający wymaga opracowania i złożenia wraz z ofertą koncepcji nw. podsystemów zgodnie z wytycznymi SWZ zawierających przynajmniej szczegółowe opisy oferowanych rozwiązań aplikacyjnych i sprzętowych oraz ich powiązań z określeniem charakterystyki i specyfikacji dla poszczególnych etapów wdrożenia Koncepcja musi opisywać zaoferowane przez Wykonawcę rozwiązania. Dokument musi się odnosić do każdego z poniższych punktów (od 1 do 7), oraz zawierać wszystkie szczegółowe informacje wymagane w danym punkcie. Zamawiający dokona oceny oferty na zasadzie spełnia/nie spełnia. W przypadku, jeżeli przedstawiona koncepcja nie będzie spełniała wymagań określonych w SWZ, Zamawiający odrzuci daną ofertę.</w:t>
      </w:r>
    </w:p>
    <w:p w14:paraId="1B7EBD5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6831F215"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u w:val="single"/>
        </w:rPr>
        <w:t>Podsystem Zarządzania Ruchem</w:t>
      </w:r>
    </w:p>
    <w:p w14:paraId="5F20F185"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0DDE7467"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lastRenderedPageBreak/>
        <w:t>Należy dołączyć koncepcję rozwiązań aplikacyjnych stanowiących warstwę systemu nadrzędnego oraz poszczególnych podsystemów integrowanych. W opisie należy zawrzeć opisy poszczególnych rozwiązań aplikacji systemowych, jak również poszczególne ich powiązania w ramach oferowanych otwartych standardów wymiany danych. Należy opisać przynajmniej następujące elementy:</w:t>
      </w:r>
    </w:p>
    <w:p w14:paraId="2A245B47"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FCE6DB0"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Sterowania Ruchem</w:t>
      </w:r>
    </w:p>
    <w:p w14:paraId="3D52C9EF"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Monitoringu Wizyjnego</w:t>
      </w:r>
    </w:p>
    <w:p w14:paraId="2C19BD3A"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priorytetu dla pojazdów transportu zbiorowego,</w:t>
      </w:r>
    </w:p>
    <w:p w14:paraId="727D2705"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Centrum Zarządzania Ruchem</w:t>
      </w:r>
    </w:p>
    <w:p w14:paraId="464ED98F"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59FD2EC5"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60F8240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2A8A8F3C" w14:textId="77777777" w:rsidR="00AE378D" w:rsidRPr="00AE378D" w:rsidRDefault="00AE378D" w:rsidP="00AE378D">
      <w:pPr>
        <w:numPr>
          <w:ilvl w:val="3"/>
          <w:numId w:val="72"/>
        </w:numPr>
        <w:suppressAutoHyphens/>
        <w:spacing w:after="0" w:line="240" w:lineRule="auto"/>
        <w:ind w:left="426"/>
        <w:contextualSpacing/>
        <w:jc w:val="left"/>
        <w:textAlignment w:val="baseline"/>
        <w:rPr>
          <w:rFonts w:ascii="Arial" w:hAnsi="Arial" w:cs="Arial"/>
          <w:color w:val="00B050"/>
        </w:rPr>
      </w:pPr>
      <w:r w:rsidRPr="00AE378D">
        <w:rPr>
          <w:rFonts w:ascii="Arial" w:hAnsi="Arial" w:cs="Arial"/>
          <w:b/>
          <w:color w:val="00B050"/>
        </w:rPr>
        <w:t>Podsystem Sterowania Ruchem Drogowym</w:t>
      </w:r>
    </w:p>
    <w:p w14:paraId="20A5CC36"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zawrzeć opis oferowanego systemu oraz wykorzystanego oprogramowania. Wykonawca opisze sposób realizacji oprogramowania przynajmniej w zakresie:</w:t>
      </w:r>
    </w:p>
    <w:p w14:paraId="1397FE2D"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8FEAD8F"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użytkowników systemu (tworzenie użytkowników, grupy użytkowników oraz przydzielanie im odpowiednich uprawnień w systemie),</w:t>
      </w:r>
    </w:p>
    <w:p w14:paraId="6D551D0A"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7547FD85"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grupy skrzyżowań (zmiana programu, tworzenie harmonogramu załączenia programów),</w:t>
      </w:r>
    </w:p>
    <w:p w14:paraId="65D5BEF1"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punktów pomiarowych i detektorów.</w:t>
      </w:r>
    </w:p>
    <w:p w14:paraId="540B057B"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5DE2908" w14:textId="77777777" w:rsidR="00AE378D" w:rsidRPr="00AE378D" w:rsidRDefault="00AE378D" w:rsidP="00AE378D">
      <w:pPr>
        <w:suppressAutoHyphens/>
        <w:spacing w:after="0" w:line="240" w:lineRule="auto"/>
        <w:ind w:firstLine="709"/>
        <w:contextualSpacing/>
        <w:jc w:val="left"/>
        <w:textAlignment w:val="baseline"/>
        <w:rPr>
          <w:rFonts w:ascii="Arial" w:hAnsi="Arial" w:cs="Arial"/>
          <w:color w:val="00B050"/>
        </w:rPr>
      </w:pPr>
      <w:r w:rsidRPr="00AE378D">
        <w:rPr>
          <w:rFonts w:ascii="Arial" w:hAnsi="Arial" w:cs="Arial"/>
          <w:color w:val="00B050"/>
        </w:rPr>
        <w:t>Ponadto w przypadku systemu sterowania ruchem należy opisać metodę sterowania realizowanego przez system.</w:t>
      </w:r>
    </w:p>
    <w:p w14:paraId="76D9009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opisie należy zawrzeć:</w:t>
      </w:r>
    </w:p>
    <w:p w14:paraId="7DF82473"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339B45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obliczania zmiennych sterujących sygnałów zezwalających dla decyzyjnych grup sygnalizacyjnych / faz ruchu. Należy opisać szczegółowo kolejne kroki algorytmu i sposób obliczania poszczególnych zmiennych sterujących,</w:t>
      </w:r>
    </w:p>
    <w:p w14:paraId="66BA348D"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metodę programowania i kalibracji systemu sterowania. Należy opisać, jakie dane oraz w jaki sposób są definiowane w systemie. Należy opisać cały proces kalibracji metody sterowania z podaniem sposobu oceny,</w:t>
      </w:r>
    </w:p>
    <w:p w14:paraId="107EF79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obliczenia wiązki koordynacyjnej pomiędzy zdefiniowanymi skrzyżowaniami. Należy opisać cały proces obliczenia wiązki koordynacyjnej,</w:t>
      </w:r>
    </w:p>
    <w:p w14:paraId="71EC30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czas reakcji systemu na wykrycie zmiennych warunków ruchu, np. przeciążenia sieci,</w:t>
      </w:r>
    </w:p>
    <w:p w14:paraId="0D01C2B0"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wykorzystywania danych z detektorów wraz z oceną wiarygodności zbieranych danych pomiarowych,</w:t>
      </w:r>
    </w:p>
    <w:p w14:paraId="17968938"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sterowania w oferowanym systemie (na poziomie centralnym i lokalnym) w przypadku awarii poszczególnych elementów systemu, systemu komunikacji i detekcji ruchu na skrzyżowaniu jak i detektorów systemowych.</w:t>
      </w:r>
    </w:p>
    <w:p w14:paraId="051AF46D"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761FAD38"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rPr>
        <w:t>Podsystem informacji dla kierowców oraz podsystem informacji parkingowej</w:t>
      </w:r>
    </w:p>
    <w:p w14:paraId="38454351" w14:textId="77777777" w:rsidR="00AE378D" w:rsidRPr="00AE378D" w:rsidRDefault="00AE378D" w:rsidP="00AE378D">
      <w:pPr>
        <w:suppressAutoHyphens/>
        <w:spacing w:after="0" w:line="240" w:lineRule="auto"/>
        <w:textAlignment w:val="baseline"/>
        <w:rPr>
          <w:rFonts w:ascii="Arial" w:hAnsi="Arial" w:cs="Arial"/>
          <w:color w:val="00B050"/>
        </w:rPr>
      </w:pPr>
      <w:r w:rsidRPr="00AE378D">
        <w:rPr>
          <w:rFonts w:ascii="Arial" w:hAnsi="Arial" w:cs="Arial"/>
          <w:color w:val="00B050"/>
        </w:rPr>
        <w:lastRenderedPageBreak/>
        <w:t>Wykonawca opisze szczegółowo dedykowane rozwiązania sprzętowe, urządzenia wykonawcze podsystemu informacji dla kierowców wymagane w PFU wraz z załącznikami. Należy opisać nie tylko rozwiązania sprzętowe, urządzeń wykonawcze dedykowane do pracy w ramach podsystemu ale również poszczególne ich powiązania w ramach otwartych standardów wymiany danych.</w:t>
      </w:r>
    </w:p>
    <w:p w14:paraId="54344B92"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75441560"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Znaki zmiennej treści,</w:t>
      </w:r>
    </w:p>
    <w:p w14:paraId="4FF4EEF2"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Kamery ANPR.</w:t>
      </w:r>
    </w:p>
    <w:p w14:paraId="027FA97D"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7695BF47" w14:textId="77777777" w:rsidR="00AE378D" w:rsidRPr="00AE378D" w:rsidRDefault="00AE378D" w:rsidP="00AE378D">
      <w:pPr>
        <w:suppressAutoHyphens/>
        <w:spacing w:after="0" w:line="240" w:lineRule="auto"/>
        <w:textAlignment w:val="baseline"/>
        <w:rPr>
          <w:rFonts w:ascii="Arial" w:hAnsi="Arial" w:cs="Arial"/>
          <w:b/>
          <w:bCs/>
          <w:color w:val="00B050"/>
        </w:rPr>
      </w:pPr>
      <w:r w:rsidRPr="00AE378D">
        <w:rPr>
          <w:rFonts w:ascii="Arial" w:hAnsi="Arial" w:cs="Arial"/>
          <w:color w:val="00B050"/>
        </w:rPr>
        <w:t xml:space="preserve">4. </w:t>
      </w:r>
      <w:r w:rsidRPr="00AE378D">
        <w:rPr>
          <w:rFonts w:ascii="Arial" w:hAnsi="Arial" w:cs="Arial"/>
          <w:b/>
          <w:bCs/>
          <w:color w:val="00B050"/>
        </w:rPr>
        <w:t>Podsystem wizyjny</w:t>
      </w:r>
    </w:p>
    <w:p w14:paraId="69D800B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1E9FD82D"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opisze funkcje oferowanego podsystemu monitoringu wizyjnego, w szczególności przedstawi:</w:t>
      </w:r>
    </w:p>
    <w:p w14:paraId="75350791"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architekturę podsystemu, ze wskazaniem na jego modułowość i warstwy funkcjonalne,</w:t>
      </w:r>
    </w:p>
    <w:p w14:paraId="0E7041FC"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elementy systemu przewidziane do zainstalowania w poszczególnych lokalizacjach,</w:t>
      </w:r>
    </w:p>
    <w:p w14:paraId="03A0213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zarządzania priorytetami,</w:t>
      </w:r>
    </w:p>
    <w:p w14:paraId="3126E51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niezależnie dla każdej kamery,</w:t>
      </w:r>
    </w:p>
    <w:p w14:paraId="3C2F805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w rożnych rozdzielczościach dla kamery,</w:t>
      </w:r>
    </w:p>
    <w:p w14:paraId="055B736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zakres rejestrowanych informacji o np. alarmach,</w:t>
      </w:r>
    </w:p>
    <w:p w14:paraId="2067228B"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FA4E618" w14:textId="77777777" w:rsidR="00AE378D" w:rsidRPr="00AE378D" w:rsidRDefault="00AE378D" w:rsidP="00AE378D">
      <w:pPr>
        <w:numPr>
          <w:ilvl w:val="0"/>
          <w:numId w:val="117"/>
        </w:numPr>
        <w:suppressAutoHyphens/>
        <w:spacing w:after="0" w:line="240" w:lineRule="auto"/>
        <w:ind w:left="284" w:hanging="284"/>
        <w:contextualSpacing/>
        <w:jc w:val="left"/>
        <w:textAlignment w:val="baseline"/>
        <w:rPr>
          <w:rFonts w:ascii="Arial" w:hAnsi="Arial" w:cs="Arial"/>
          <w:b/>
          <w:color w:val="00B050"/>
        </w:rPr>
      </w:pPr>
      <w:r w:rsidRPr="00AE378D">
        <w:rPr>
          <w:rFonts w:ascii="Arial" w:hAnsi="Arial" w:cs="Arial"/>
          <w:b/>
          <w:color w:val="00B050"/>
        </w:rPr>
        <w:t>Wyposażenie Centrum Zarządzania Ruchem</w:t>
      </w:r>
    </w:p>
    <w:p w14:paraId="641BF80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0068E5E"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opisze szczegółowo dedykowane rozwiązania sprzętowe, urządzenia wykonawcze stanowiące warstwę systemu nadrzędnego integrującego poszczególne podsystemy wymagane w  PFU wraz z załącznikami. Należy opisać nie tylko rozwiązania sprzętowe, urządzeń wykonawcze dedykowane do pracy w ramach podsystemu ale również poszczególne ich powiązania w ramach otwartych standardów wymiany danych.</w:t>
      </w:r>
    </w:p>
    <w:p w14:paraId="3690689E"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5D0A3F47"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6D2A6460"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E59B20F"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ściany graficznej,</w:t>
      </w:r>
    </w:p>
    <w:p w14:paraId="2210B49B"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stanowisk operatorskich,</w:t>
      </w:r>
    </w:p>
    <w:p w14:paraId="75ED58E6"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serwerowni.</w:t>
      </w:r>
    </w:p>
    <w:p w14:paraId="2D787168"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0A37462"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ma za zadania opisać również sposób etapowego wdrażania systemu ITS. Należy wziąć pod uwagę sposób wdrażania poszczególnych podsystemów, termin realizacji oraz etapowość rozwiązania.</w:t>
      </w:r>
    </w:p>
    <w:p w14:paraId="19B47FA9"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3C9248BE" w14:textId="77777777" w:rsidR="00AE378D" w:rsidRPr="00AE378D" w:rsidRDefault="00AE378D" w:rsidP="00AE378D">
      <w:pPr>
        <w:numPr>
          <w:ilvl w:val="0"/>
          <w:numId w:val="117"/>
        </w:numPr>
        <w:suppressAutoHyphens/>
        <w:spacing w:after="0" w:line="240" w:lineRule="auto"/>
        <w:contextualSpacing/>
        <w:jc w:val="left"/>
        <w:textAlignment w:val="baseline"/>
        <w:rPr>
          <w:rFonts w:ascii="Arial" w:hAnsi="Arial" w:cs="Arial"/>
          <w:b/>
          <w:bCs/>
          <w:i/>
          <w:iCs/>
          <w:color w:val="00B050"/>
        </w:rPr>
      </w:pPr>
      <w:r w:rsidRPr="00AE378D">
        <w:rPr>
          <w:rFonts w:ascii="Arial" w:hAnsi="Arial" w:cs="Arial"/>
          <w:b/>
          <w:bCs/>
          <w:i/>
          <w:iCs/>
          <w:color w:val="00B050"/>
        </w:rPr>
        <w:t>Opis realizowanych przez sterowniki metod sterowania ruchem</w:t>
      </w:r>
    </w:p>
    <w:p w14:paraId="52FD77E7" w14:textId="77777777" w:rsidR="00AE378D" w:rsidRPr="00AE378D" w:rsidRDefault="00AE378D" w:rsidP="00AE378D">
      <w:pPr>
        <w:suppressAutoHyphens/>
        <w:spacing w:after="0" w:line="240" w:lineRule="auto"/>
        <w:textAlignment w:val="baseline"/>
        <w:rPr>
          <w:rFonts w:ascii="Arial" w:hAnsi="Arial" w:cs="Arial"/>
          <w:color w:val="00B050"/>
        </w:rPr>
      </w:pPr>
    </w:p>
    <w:p w14:paraId="60EDB707"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Wykonawca opisze oferowane metody sterowania ruchem dla sterowników sygnalizacji. Zamawiający dokona oceny oferty na zasadzie spełnia/nie spełnia. W przypadku jeżeli przedstawiona oferta techniczna nie będzie spełniała wymagań określonych w SWZ, Zamawiający odrzuci daną ofertę.</w:t>
      </w:r>
    </w:p>
    <w:p w14:paraId="1A9366C8"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Opis musi zawierać przynajmniej:</w:t>
      </w:r>
    </w:p>
    <w:p w14:paraId="23DAB4F7"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85D24F3" w14:textId="77777777" w:rsidR="00AE378D" w:rsidRPr="00AE378D" w:rsidRDefault="00AE378D" w:rsidP="00AE378D">
      <w:pPr>
        <w:numPr>
          <w:ilvl w:val="0"/>
          <w:numId w:val="110"/>
        </w:numPr>
        <w:spacing w:after="0" w:line="240" w:lineRule="auto"/>
        <w:contextualSpacing/>
        <w:jc w:val="left"/>
        <w:rPr>
          <w:rFonts w:ascii="Arial" w:hAnsi="Arial" w:cs="Arial"/>
          <w:color w:val="00B050"/>
        </w:rPr>
      </w:pPr>
      <w:r w:rsidRPr="00AE378D">
        <w:rPr>
          <w:rFonts w:ascii="Arial" w:hAnsi="Arial" w:cs="Arial"/>
          <w:color w:val="00B050"/>
        </w:rPr>
        <w:t>sposób integracji i pracy sterowników sygnalizacji świetlnej w ramach systemu optymalizacji sieciowej. Należy szczegółowo opisać:</w:t>
      </w:r>
    </w:p>
    <w:p w14:paraId="485F411D" w14:textId="77777777" w:rsidR="00AE378D" w:rsidRPr="00AE378D" w:rsidRDefault="00AE378D" w:rsidP="00AE378D">
      <w:pPr>
        <w:numPr>
          <w:ilvl w:val="0"/>
          <w:numId w:val="113"/>
        </w:numPr>
        <w:spacing w:after="0" w:line="240" w:lineRule="auto"/>
        <w:contextualSpacing/>
        <w:jc w:val="left"/>
        <w:rPr>
          <w:rFonts w:ascii="Arial" w:hAnsi="Arial" w:cs="Arial"/>
          <w:color w:val="00B050"/>
        </w:rPr>
      </w:pPr>
      <w:r w:rsidRPr="00AE378D">
        <w:rPr>
          <w:rFonts w:ascii="Arial" w:hAnsi="Arial" w:cs="Arial"/>
          <w:color w:val="00B050"/>
        </w:rPr>
        <w:t>jakie dane sterownik otrzymuje od systemu optymalizacji sieciowej,</w:t>
      </w:r>
    </w:p>
    <w:p w14:paraId="0951D047"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jaki sposób sterownik przetwarza i wykorzystuje dane z systemu optymalizacji sieciowej dla zrealizowania założonej strategii sterowania,</w:t>
      </w:r>
    </w:p>
    <w:p w14:paraId="22AFE5FF"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definiowania algorytmu pracy sterownika w ramach systemu optymalizacji sieciowej,</w:t>
      </w:r>
    </w:p>
    <w:p w14:paraId="511735F0"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lastRenderedPageBreak/>
        <w:t>opisać parametry jakie określają pracę sterownika w ramach systemu optymalizacji sieciowej.</w:t>
      </w:r>
    </w:p>
    <w:p w14:paraId="027D0AEA"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parametry algorytmów pracy sterowników, które można zmienić bez potrzeby kompilowania kodów źródłowych sterownika.</w:t>
      </w:r>
    </w:p>
    <w:p w14:paraId="12185481"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4A6E93C2" w14:textId="77777777" w:rsidR="00AE378D" w:rsidRPr="00AE378D" w:rsidRDefault="00AE378D" w:rsidP="00AE378D">
      <w:pPr>
        <w:numPr>
          <w:ilvl w:val="0"/>
          <w:numId w:val="117"/>
        </w:numPr>
        <w:spacing w:after="0" w:line="240" w:lineRule="auto"/>
        <w:contextualSpacing/>
        <w:jc w:val="left"/>
        <w:rPr>
          <w:rFonts w:ascii="Arial" w:hAnsi="Arial" w:cs="Arial"/>
          <w:b/>
          <w:bCs/>
          <w:color w:val="00B050"/>
        </w:rPr>
      </w:pPr>
      <w:r w:rsidRPr="00AE378D">
        <w:rPr>
          <w:rFonts w:ascii="Arial" w:hAnsi="Arial" w:cs="Arial"/>
          <w:b/>
          <w:bCs/>
          <w:color w:val="00B050"/>
        </w:rPr>
        <w:t>Opis detekcji sterownika.</w:t>
      </w:r>
    </w:p>
    <w:p w14:paraId="0F27617B" w14:textId="77777777" w:rsidR="00AE378D" w:rsidRPr="00AE378D" w:rsidRDefault="00AE378D" w:rsidP="00AE378D">
      <w:pPr>
        <w:suppressAutoHyphens/>
        <w:spacing w:after="0" w:line="240" w:lineRule="auto"/>
        <w:ind w:firstLine="720"/>
        <w:contextualSpacing/>
        <w:textAlignment w:val="baseline"/>
        <w:rPr>
          <w:rFonts w:ascii="Arial" w:hAnsi="Arial" w:cs="Arial"/>
          <w:color w:val="00B050"/>
        </w:rPr>
      </w:pPr>
      <w:r w:rsidRPr="00AE378D">
        <w:rPr>
          <w:rFonts w:ascii="Arial" w:hAnsi="Arial" w:cs="Arial"/>
          <w:color w:val="00B050"/>
        </w:rPr>
        <w:t>Wykonawca opisze oferowany system detekcji lokalnej podłączonej do sterownika sygnalizacji świetlnej.</w:t>
      </w:r>
    </w:p>
    <w:p w14:paraId="74D363A7"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oferowanych metodach detekcji, rodzajach detektorów oraz konfiguracji detektorów na skrzyżowaniu dla potrzeb sygnalizacji świetlnej.</w:t>
      </w:r>
    </w:p>
    <w:p w14:paraId="6CA2F1CE"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typie zbieranych danych przez poszczególne detektory i ich przeznaczeniu.</w:t>
      </w:r>
    </w:p>
    <w:p w14:paraId="42235AA8"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r w:rsidRPr="00AE378D">
        <w:rPr>
          <w:rFonts w:ascii="Arial" w:hAnsi="Arial" w:cs="Arial"/>
          <w:color w:val="00B050"/>
        </w:rPr>
        <w:t>W opisie należy podać opisy detektorów lub modułów detekcji.</w:t>
      </w:r>
    </w:p>
    <w:p w14:paraId="6159AB62" w14:textId="77777777" w:rsidR="00AE378D" w:rsidRPr="00AE378D" w:rsidRDefault="00AE378D" w:rsidP="00AE378D">
      <w:pPr>
        <w:spacing w:after="0" w:line="240" w:lineRule="auto"/>
        <w:rPr>
          <w:rFonts w:ascii="Arial" w:hAnsi="Arial" w:cs="Arial"/>
          <w:color w:val="00B050"/>
        </w:rPr>
      </w:pPr>
    </w:p>
    <w:p w14:paraId="4810ABF6" w14:textId="7E95DF97" w:rsidR="00AE378D" w:rsidRPr="00AE378D" w:rsidRDefault="00AE378D" w:rsidP="00AE378D">
      <w:pPr>
        <w:pStyle w:val="Akapitzlist"/>
        <w:numPr>
          <w:ilvl w:val="2"/>
          <w:numId w:val="81"/>
        </w:numPr>
        <w:suppressAutoHyphens/>
        <w:spacing w:after="0" w:line="240" w:lineRule="auto"/>
        <w:ind w:left="284" w:hanging="284"/>
        <w:textAlignment w:val="baseline"/>
        <w:rPr>
          <w:rFonts w:ascii="Arial" w:hAnsi="Arial" w:cs="Arial"/>
          <w:color w:val="00B050"/>
        </w:rPr>
      </w:pPr>
      <w:r w:rsidRPr="00AE378D">
        <w:rPr>
          <w:rFonts w:ascii="Arial" w:hAnsi="Arial" w:cs="Arial"/>
          <w:color w:val="00B05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sidRPr="00AE378D">
        <w:rPr>
          <w:rFonts w:ascii="Arial" w:hAnsi="Arial" w:cs="Arial"/>
          <w:color w:val="00B050"/>
        </w:rPr>
        <w:t>Pzp</w:t>
      </w:r>
      <w:proofErr w:type="spellEnd"/>
      <w:r w:rsidRPr="00AE378D">
        <w:rPr>
          <w:rFonts w:ascii="Arial" w:hAnsi="Arial" w:cs="Arial"/>
          <w:color w:val="00B050"/>
        </w:rPr>
        <w:t>.</w:t>
      </w:r>
    </w:p>
    <w:p w14:paraId="15AF9748" w14:textId="4BEA9E31" w:rsidR="00B62071" w:rsidRPr="00AE378D" w:rsidRDefault="00AE378D" w:rsidP="00AE378D">
      <w:pPr>
        <w:pStyle w:val="Akapitzlist"/>
        <w:numPr>
          <w:ilvl w:val="2"/>
          <w:numId w:val="81"/>
        </w:numPr>
        <w:suppressAutoHyphens/>
        <w:spacing w:after="0" w:line="240" w:lineRule="auto"/>
        <w:ind w:left="284" w:hanging="284"/>
        <w:jc w:val="left"/>
        <w:textAlignment w:val="baseline"/>
        <w:rPr>
          <w:rFonts w:ascii="Arial" w:hAnsi="Arial" w:cs="Arial"/>
          <w:color w:val="00B050"/>
        </w:rPr>
      </w:pPr>
      <w:r w:rsidRPr="00AE378D">
        <w:rPr>
          <w:rFonts w:ascii="Arial" w:hAnsi="Arial" w:cs="Arial"/>
          <w:color w:val="00B050"/>
        </w:rPr>
        <w:t>Zamawiający przewiduje uzupełnienie przedmiotowych środków dowodowych w całym zakresie wskazanym powyżej.</w:t>
      </w:r>
    </w:p>
    <w:p w14:paraId="28FD460F" w14:textId="0021CC02" w:rsidR="00DA5B7E" w:rsidRPr="00B62071" w:rsidRDefault="006B29BE" w:rsidP="00AE378D">
      <w:pPr>
        <w:pStyle w:val="Nagwek1"/>
        <w:shd w:val="clear" w:color="auto" w:fill="CCC0D9"/>
        <w:tabs>
          <w:tab w:val="left" w:pos="567"/>
        </w:tabs>
        <w:spacing w:before="0" w:after="0" w:line="240" w:lineRule="auto"/>
        <w:ind w:left="567" w:hanging="567"/>
        <w:jc w:val="left"/>
        <w:rPr>
          <w:rFonts w:ascii="Arial" w:hAnsi="Arial" w:cs="Arial"/>
          <w:caps w:val="0"/>
          <w:sz w:val="22"/>
          <w:szCs w:val="22"/>
        </w:rPr>
      </w:pPr>
      <w:bookmarkStart w:id="15" w:name="_Toc264373038"/>
      <w:bookmarkStart w:id="16" w:name="_Toc440969212"/>
      <w:bookmarkStart w:id="17" w:name="_Toc223752162"/>
      <w:r w:rsidRPr="00AE378D">
        <w:rPr>
          <w:rFonts w:ascii="Arial" w:hAnsi="Arial" w:cs="Arial"/>
          <w:caps w:val="0"/>
          <w:sz w:val="22"/>
          <w:szCs w:val="22"/>
        </w:rPr>
        <w:t>X.</w:t>
      </w:r>
      <w:r w:rsidRPr="00AE378D">
        <w:rPr>
          <w:rFonts w:ascii="Arial" w:hAnsi="Arial" w:cs="Arial"/>
          <w:caps w:val="0"/>
          <w:sz w:val="22"/>
          <w:szCs w:val="22"/>
        </w:rPr>
        <w:tab/>
      </w:r>
      <w:r w:rsidRPr="00AE378D">
        <w:rPr>
          <w:rFonts w:ascii="Arial" w:hAnsi="Arial" w:cs="Arial"/>
          <w:caps w:val="0"/>
          <w:sz w:val="22"/>
          <w:szCs w:val="22"/>
          <w:u w:val="single"/>
        </w:rPr>
        <w:t xml:space="preserve">SPOSÓB POROZUMIEWANIA </w:t>
      </w:r>
      <w:r w:rsidRPr="00B62071">
        <w:rPr>
          <w:rFonts w:ascii="Arial" w:hAnsi="Arial" w:cs="Arial"/>
          <w:caps w:val="0"/>
          <w:sz w:val="22"/>
          <w:szCs w:val="22"/>
          <w:u w:val="single"/>
        </w:rPr>
        <w:t xml:space="preserve">SIĘ ZAMAWIAJĄCEGO Z WYKONAWCAMI ORAZ PRZEKAZYWANIA </w:t>
      </w:r>
      <w:r w:rsidRPr="00B62071">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2"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2"/>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w:t>
      </w:r>
      <w:proofErr w:type="spellStart"/>
      <w:r w:rsidR="004721BA" w:rsidRPr="00B62071">
        <w:rPr>
          <w:color w:val="auto"/>
          <w:sz w:val="22"/>
          <w:szCs w:val="22"/>
        </w:rPr>
        <w:t>Pzp</w:t>
      </w:r>
      <w:proofErr w:type="spellEnd"/>
      <w:r w:rsidR="004721BA" w:rsidRPr="00B62071">
        <w:rPr>
          <w:color w:val="auto"/>
          <w:sz w:val="22"/>
          <w:szCs w:val="22"/>
        </w:rPr>
        <w:t xml:space="preserve">,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lastRenderedPageBreak/>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3" w:name="_Toc262112641"/>
      <w:bookmarkStart w:id="24" w:name="_Toc264373039"/>
      <w:bookmarkStart w:id="25" w:name="_Toc318886760"/>
      <w:bookmarkStart w:id="26" w:name="_Toc440969214"/>
      <w:bookmarkEnd w:id="18"/>
      <w:bookmarkEnd w:id="19"/>
      <w:bookmarkEnd w:id="20"/>
      <w:bookmarkEnd w:id="21"/>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akceptująca pliki typu „</w:t>
      </w:r>
      <w:proofErr w:type="spellStart"/>
      <w:r w:rsidR="000541E0" w:rsidRPr="00B62071">
        <w:rPr>
          <w:rFonts w:ascii="Arial" w:hAnsi="Arial" w:cs="Arial"/>
          <w:shd w:val="clear" w:color="auto" w:fill="FFFFFF"/>
        </w:rPr>
        <w:t>cookies</w:t>
      </w:r>
      <w:proofErr w:type="spellEnd"/>
      <w:r w:rsidR="000541E0" w:rsidRPr="00B62071">
        <w:rPr>
          <w:rFonts w:ascii="Arial" w:hAnsi="Arial" w:cs="Arial"/>
          <w:shd w:val="clear" w:color="auto" w:fill="FFFFFF"/>
        </w:rPr>
        <w:t xml:space="preserve">” oraz łącze internetowe o przepustowości </w:t>
      </w:r>
      <w:r w:rsidR="000541E0" w:rsidRPr="00B62071">
        <w:rPr>
          <w:rFonts w:ascii="Arial" w:hAnsi="Arial" w:cs="Arial"/>
          <w:shd w:val="clear" w:color="auto" w:fill="FFFFFF"/>
        </w:rPr>
        <w:lastRenderedPageBreak/>
        <w:t xml:space="preserve">co najmniej 256 </w:t>
      </w:r>
      <w:proofErr w:type="spellStart"/>
      <w:r w:rsidR="000541E0" w:rsidRPr="00B62071">
        <w:rPr>
          <w:rFonts w:ascii="Arial" w:hAnsi="Arial" w:cs="Arial"/>
          <w:shd w:val="clear" w:color="auto" w:fill="FFFFFF"/>
        </w:rPr>
        <w:t>kbit</w:t>
      </w:r>
      <w:proofErr w:type="spellEnd"/>
      <w:r w:rsidR="000541E0" w:rsidRPr="00B62071">
        <w:rPr>
          <w:rFonts w:ascii="Arial" w:hAnsi="Arial" w:cs="Arial"/>
          <w:shd w:val="clear" w:color="auto" w:fill="FFFFFF"/>
        </w:rPr>
        <w: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3"/>
    <w:bookmarkEnd w:id="24"/>
    <w:bookmarkEnd w:id="25"/>
    <w:bookmarkEnd w:id="26"/>
    <w:p w14:paraId="6222901A" w14:textId="050182E1"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w:t>
      </w:r>
      <w:bookmarkStart w:id="27" w:name="_GoBack"/>
      <w:r w:rsidR="00566E51" w:rsidRPr="000F5708">
        <w:rPr>
          <w:rFonts w:ascii="Arial" w:hAnsi="Arial" w:cs="Arial"/>
          <w:b/>
          <w:color w:val="00B050"/>
        </w:rPr>
        <w:t>02</w:t>
      </w:r>
      <w:r w:rsidR="009278CA" w:rsidRPr="000F5708">
        <w:rPr>
          <w:rFonts w:ascii="Arial" w:hAnsi="Arial" w:cs="Arial"/>
          <w:b/>
          <w:color w:val="00B050"/>
        </w:rPr>
        <w:t>.0</w:t>
      </w:r>
      <w:r w:rsidR="004940EB" w:rsidRPr="000F5708">
        <w:rPr>
          <w:rFonts w:ascii="Arial" w:hAnsi="Arial" w:cs="Arial"/>
          <w:b/>
          <w:color w:val="00B050"/>
        </w:rPr>
        <w:t>4</w:t>
      </w:r>
      <w:r w:rsidR="009278CA" w:rsidRPr="000F5708">
        <w:rPr>
          <w:rFonts w:ascii="Arial" w:hAnsi="Arial" w:cs="Arial"/>
          <w:b/>
          <w:color w:val="00B050"/>
        </w:rPr>
        <w:t>.202</w:t>
      </w:r>
      <w:r w:rsidR="004940EB" w:rsidRPr="000F5708">
        <w:rPr>
          <w:rFonts w:ascii="Arial" w:hAnsi="Arial" w:cs="Arial"/>
          <w:b/>
          <w:color w:val="00B050"/>
        </w:rPr>
        <w:t>3</w:t>
      </w:r>
      <w:r w:rsidR="009278CA" w:rsidRPr="000F5708">
        <w:rPr>
          <w:rFonts w:ascii="Arial" w:hAnsi="Arial" w:cs="Arial"/>
          <w:b/>
          <w:color w:val="00B050"/>
        </w:rPr>
        <w:t xml:space="preserve"> </w:t>
      </w:r>
      <w:r w:rsidR="002E4AFC" w:rsidRPr="000F5708">
        <w:rPr>
          <w:rFonts w:ascii="Arial" w:hAnsi="Arial" w:cs="Arial"/>
          <w:b/>
          <w:color w:val="00B050"/>
        </w:rPr>
        <w:t>r.</w:t>
      </w:r>
      <w:bookmarkEnd w:id="27"/>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8" w:name="_Toc262112642"/>
      <w:bookmarkStart w:id="29" w:name="_Toc264373040"/>
      <w:bookmarkStart w:id="30"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8"/>
      <w:bookmarkEnd w:id="29"/>
      <w:bookmarkEnd w:id="30"/>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1" w:name="_Toc504465391"/>
      <w:bookmarkStart w:id="32" w:name="_Toc108487429"/>
      <w:r w:rsidRPr="00B62071">
        <w:rPr>
          <w:rFonts w:ascii="Arial" w:hAnsi="Arial" w:cs="Arial"/>
        </w:rPr>
        <w:t>Sposób złożenia oferty opisany jest w rozdziale X pkt 2</w:t>
      </w:r>
      <w:bookmarkEnd w:id="31"/>
      <w:bookmarkEnd w:id="32"/>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 xml:space="preserve">usług wykonywanych przez poszczególnych wykonawców (składane w trybie art. 117 ust. 4 ustawy </w:t>
      </w:r>
      <w:proofErr w:type="spellStart"/>
      <w:r w:rsidRPr="00B62071">
        <w:rPr>
          <w:rFonts w:ascii="Arial" w:hAnsi="Arial" w:cs="Arial"/>
        </w:rPr>
        <w:t>Pzp</w:t>
      </w:r>
      <w:proofErr w:type="spellEnd"/>
      <w:r w:rsidRPr="00B62071">
        <w:rPr>
          <w:rFonts w:ascii="Arial" w:hAnsi="Arial" w:cs="Arial"/>
        </w:rPr>
        <w:t>)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lastRenderedPageBreak/>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3" w:name="_Toc264373041"/>
      <w:bookmarkStart w:id="34" w:name="_Toc440969216"/>
      <w:bookmarkStart w:id="35"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3"/>
      <w:bookmarkEnd w:id="34"/>
      <w:r w:rsidRPr="00B62071">
        <w:rPr>
          <w:rFonts w:ascii="Arial" w:hAnsi="Arial" w:cs="Arial"/>
          <w:sz w:val="22"/>
          <w:szCs w:val="22"/>
          <w:u w:val="single"/>
        </w:rPr>
        <w:t>T</w:t>
      </w:r>
    </w:p>
    <w:p w14:paraId="12B7382E" w14:textId="0CC09B2E"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3B2A9C" w:rsidRPr="00B91DB6">
        <w:rPr>
          <w:rFonts w:ascii="Arial" w:hAnsi="Arial" w:cs="Arial"/>
          <w:b/>
          <w:color w:val="00B050"/>
        </w:rPr>
        <w:t>3.01</w:t>
      </w:r>
      <w:r w:rsidR="009278CA" w:rsidRPr="00B91DB6">
        <w:rPr>
          <w:rFonts w:ascii="Arial" w:hAnsi="Arial" w:cs="Arial"/>
          <w:b/>
          <w:color w:val="00B050"/>
        </w:rPr>
        <w:t>.</w:t>
      </w:r>
      <w:r w:rsidR="009E622A" w:rsidRPr="00B91DB6">
        <w:rPr>
          <w:rFonts w:ascii="Arial" w:hAnsi="Arial" w:cs="Arial"/>
          <w:b/>
          <w:color w:val="00B050"/>
        </w:rPr>
        <w:t>202</w:t>
      </w:r>
      <w:r w:rsidR="003B2A9C" w:rsidRPr="00B91DB6">
        <w:rPr>
          <w:rFonts w:ascii="Arial" w:hAnsi="Arial" w:cs="Arial"/>
          <w:b/>
          <w:color w:val="00B050"/>
        </w:rPr>
        <w:t xml:space="preserve">3 </w:t>
      </w:r>
      <w:r w:rsidR="009E622A" w:rsidRPr="00B91DB6">
        <w:rPr>
          <w:rFonts w:ascii="Arial" w:hAnsi="Arial" w:cs="Arial"/>
          <w:b/>
          <w:color w:val="00B050"/>
        </w:rPr>
        <w:t>r.</w:t>
      </w:r>
      <w:r w:rsidRPr="00B91DB6">
        <w:rPr>
          <w:rFonts w:ascii="Arial" w:hAnsi="Arial" w:cs="Arial"/>
          <w:b/>
          <w:color w:val="00B050"/>
        </w:rPr>
        <w:t xml:space="preserve"> do godziny</w:t>
      </w:r>
      <w:r w:rsidR="009E622A" w:rsidRPr="00B91DB6">
        <w:rPr>
          <w:rFonts w:ascii="Arial" w:hAnsi="Arial" w:cs="Arial"/>
          <w:b/>
          <w:color w:val="00B050"/>
        </w:rPr>
        <w:t xml:space="preserve"> 12</w:t>
      </w:r>
      <w:r w:rsidR="002E4AFC" w:rsidRPr="00B91DB6">
        <w:rPr>
          <w:rFonts w:ascii="Arial" w:hAnsi="Arial" w:cs="Arial"/>
          <w:b/>
          <w:color w:val="00B050"/>
        </w:rPr>
        <w:t>:</w:t>
      </w:r>
      <w:r w:rsidR="009E622A" w:rsidRPr="00B91DB6">
        <w:rPr>
          <w:rFonts w:ascii="Arial" w:hAnsi="Arial" w:cs="Arial"/>
          <w:b/>
          <w:color w:val="00B050"/>
        </w:rPr>
        <w:t>00</w:t>
      </w:r>
      <w:r w:rsidR="0001215A" w:rsidRPr="00B91DB6">
        <w:rPr>
          <w:rFonts w:ascii="Arial" w:hAnsi="Arial" w:cs="Arial"/>
          <w:b/>
          <w:color w:val="00B050"/>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15B32E03"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r w:rsidR="003B2A9C" w:rsidRPr="00B91DB6">
        <w:rPr>
          <w:rFonts w:ascii="Arial" w:hAnsi="Arial" w:cs="Arial"/>
          <w:b/>
          <w:color w:val="00B050"/>
        </w:rPr>
        <w:t>3.01</w:t>
      </w:r>
      <w:r w:rsidR="00A72B09" w:rsidRPr="00B91DB6">
        <w:rPr>
          <w:rFonts w:ascii="Arial" w:hAnsi="Arial" w:cs="Arial"/>
          <w:b/>
          <w:color w:val="00B050"/>
        </w:rPr>
        <w:t>.</w:t>
      </w:r>
      <w:r w:rsidR="003B2A9C" w:rsidRPr="00B91DB6">
        <w:rPr>
          <w:rFonts w:ascii="Arial" w:hAnsi="Arial" w:cs="Arial"/>
          <w:b/>
          <w:color w:val="00B050"/>
        </w:rPr>
        <w:t>2023</w:t>
      </w:r>
      <w:r w:rsidR="00BE4AEC" w:rsidRPr="00B91DB6">
        <w:rPr>
          <w:rFonts w:ascii="Arial" w:hAnsi="Arial" w:cs="Arial"/>
          <w:b/>
          <w:color w:val="00B050"/>
        </w:rPr>
        <w:t xml:space="preserve"> r.</w:t>
      </w:r>
      <w:r w:rsidR="006B29BE" w:rsidRPr="00B91DB6">
        <w:rPr>
          <w:rFonts w:ascii="Arial" w:hAnsi="Arial" w:cs="Arial"/>
          <w:b/>
          <w:bCs/>
          <w:color w:val="00B050"/>
        </w:rPr>
        <w:t xml:space="preserve"> o godz</w:t>
      </w:r>
      <w:r w:rsidR="002F4902" w:rsidRPr="00B91DB6">
        <w:rPr>
          <w:rFonts w:ascii="Arial" w:hAnsi="Arial" w:cs="Arial"/>
          <w:b/>
          <w:bCs/>
          <w:color w:val="00B050"/>
        </w:rPr>
        <w:t>inie</w:t>
      </w:r>
      <w:r w:rsidR="006B29BE" w:rsidRPr="00B91DB6">
        <w:rPr>
          <w:rFonts w:ascii="Arial" w:hAnsi="Arial" w:cs="Arial"/>
          <w:b/>
          <w:bCs/>
          <w:color w:val="00B050"/>
        </w:rPr>
        <w:t xml:space="preserve"> </w:t>
      </w:r>
      <w:r w:rsidR="009E622A" w:rsidRPr="00B91DB6">
        <w:rPr>
          <w:rFonts w:ascii="Arial" w:hAnsi="Arial" w:cs="Arial"/>
          <w:b/>
          <w:bCs/>
          <w:color w:val="00B050"/>
        </w:rPr>
        <w:t>12</w:t>
      </w:r>
      <w:r w:rsidR="002E4AFC" w:rsidRPr="00B91DB6">
        <w:rPr>
          <w:rFonts w:ascii="Arial" w:hAnsi="Arial" w:cs="Arial"/>
          <w:b/>
          <w:bCs/>
          <w:color w:val="00B050"/>
        </w:rPr>
        <w:t>:</w:t>
      </w:r>
      <w:r w:rsidR="009E622A" w:rsidRPr="00B91DB6">
        <w:rPr>
          <w:rFonts w:ascii="Arial" w:hAnsi="Arial" w:cs="Arial"/>
          <w:b/>
          <w:bCs/>
          <w:color w:val="00B050"/>
        </w:rPr>
        <w:t>30</w:t>
      </w:r>
      <w:r w:rsidR="006649A6" w:rsidRPr="00B91DB6">
        <w:rPr>
          <w:rFonts w:ascii="Arial" w:hAnsi="Arial" w:cs="Arial"/>
          <w:b/>
          <w:color w:val="00B050"/>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xml:space="preserve">, o której mowa w art. 222 ust. 5 ustawy </w:t>
      </w:r>
      <w:proofErr w:type="spellStart"/>
      <w:r w:rsidR="002F4902" w:rsidRPr="00B62071">
        <w:rPr>
          <w:rFonts w:ascii="Arial" w:eastAsiaTheme="minorHAnsi" w:hAnsi="Arial" w:cs="Arial"/>
          <w:lang w:eastAsia="en-US"/>
        </w:rPr>
        <w:t>Pzp</w:t>
      </w:r>
      <w:proofErr w:type="spellEnd"/>
      <w:r w:rsidR="002F4902" w:rsidRPr="00B62071">
        <w:rPr>
          <w:rFonts w:ascii="Arial" w:eastAsiaTheme="minorHAnsi" w:hAnsi="Arial" w:cs="Arial"/>
          <w:lang w:eastAsia="en-US"/>
        </w:rPr>
        <w:t>.</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5"/>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 xml:space="preserve">Dz. U. z 2021 r. poz. 685 z </w:t>
      </w:r>
      <w:proofErr w:type="spellStart"/>
      <w:r w:rsidR="008479AB" w:rsidRPr="00B62071">
        <w:rPr>
          <w:rFonts w:ascii="Arial" w:hAnsi="Arial" w:cs="Arial"/>
        </w:rPr>
        <w:t>późn</w:t>
      </w:r>
      <w:proofErr w:type="spellEnd"/>
      <w:r w:rsidR="008479AB" w:rsidRPr="00B62071">
        <w:rPr>
          <w:rFonts w:ascii="Arial" w:hAnsi="Arial" w:cs="Arial"/>
        </w:rPr>
        <w:t>.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lastRenderedPageBreak/>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w:t>
      </w:r>
      <w:proofErr w:type="spellStart"/>
      <w:r w:rsidR="008479AB" w:rsidRPr="00B62071">
        <w:rPr>
          <w:rFonts w:ascii="Arial" w:hAnsi="Arial" w:cs="Arial"/>
          <w:shd w:val="clear" w:color="auto" w:fill="FFFFFF"/>
        </w:rPr>
        <w:t>późn</w:t>
      </w:r>
      <w:proofErr w:type="spellEnd"/>
      <w:r w:rsidR="008479AB" w:rsidRPr="00B62071">
        <w:rPr>
          <w:rFonts w:ascii="Arial" w:hAnsi="Arial" w:cs="Arial"/>
          <w:shd w:val="clear" w:color="auto" w:fill="FFFFFF"/>
        </w:rPr>
        <w:t xml:space="preserve">.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 xml:space="preserve">zadania – Etap I </w:t>
      </w:r>
      <w:proofErr w:type="spellStart"/>
      <w:r w:rsidR="00330E52" w:rsidRPr="00B62071">
        <w:rPr>
          <w:rFonts w:ascii="Arial" w:hAnsi="Arial" w:cs="Arial"/>
          <w:b/>
          <w:color w:val="auto"/>
          <w:sz w:val="22"/>
          <w:szCs w:val="22"/>
        </w:rPr>
        <w:t>i</w:t>
      </w:r>
      <w:proofErr w:type="spellEnd"/>
      <w:r w:rsidR="00330E52" w:rsidRPr="00B62071">
        <w:rPr>
          <w:rFonts w:ascii="Arial" w:hAnsi="Arial" w:cs="Arial"/>
          <w:b/>
          <w:color w:val="auto"/>
          <w:sz w:val="22"/>
          <w:szCs w:val="22"/>
        </w:rPr>
        <w:t xml:space="preserve">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w:t>
      </w:r>
      <w:proofErr w:type="spellStart"/>
      <w:r w:rsidRPr="00B62071">
        <w:rPr>
          <w:rFonts w:ascii="Arial" w:hAnsi="Arial" w:cs="Arial"/>
          <w:bCs/>
          <w:sz w:val="22"/>
          <w:szCs w:val="22"/>
        </w:rPr>
        <w:t>Cmin</w:t>
      </w:r>
      <w:proofErr w:type="spellEnd"/>
      <w:r w:rsidRPr="00B62071">
        <w:rPr>
          <w:rFonts w:ascii="Arial" w:hAnsi="Arial" w:cs="Arial"/>
          <w:bCs/>
          <w:sz w:val="22"/>
          <w:szCs w:val="22"/>
        </w:rPr>
        <w:t>/</w:t>
      </w:r>
      <w:proofErr w:type="spellStart"/>
      <w:r w:rsidRPr="00B62071">
        <w:rPr>
          <w:rFonts w:ascii="Arial" w:hAnsi="Arial" w:cs="Arial"/>
          <w:bCs/>
          <w:sz w:val="22"/>
          <w:szCs w:val="22"/>
        </w:rPr>
        <w:t>Cob</w:t>
      </w:r>
      <w:proofErr w:type="spellEnd"/>
      <w:r w:rsidRPr="00B62071">
        <w:rPr>
          <w:rFonts w:ascii="Arial" w:hAnsi="Arial" w:cs="Arial"/>
          <w:bCs/>
          <w:sz w:val="22"/>
          <w:szCs w:val="22"/>
        </w:rPr>
        <w:t>)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lastRenderedPageBreak/>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w:t>
      </w:r>
      <w:proofErr w:type="spellStart"/>
      <w:r w:rsidRPr="00B62071">
        <w:rPr>
          <w:rFonts w:ascii="Arial" w:hAnsi="Arial" w:cs="Arial"/>
          <w:sz w:val="22"/>
          <w:szCs w:val="22"/>
        </w:rPr>
        <w:t>Pzp</w:t>
      </w:r>
      <w:proofErr w:type="spellEnd"/>
      <w:r w:rsidRPr="00B62071">
        <w:rPr>
          <w:rFonts w:ascii="Arial" w:hAnsi="Arial" w:cs="Arial"/>
          <w:sz w:val="22"/>
          <w:szCs w:val="22"/>
        </w:rPr>
        <w:t xml:space="preserve">,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Zamawiający wybierze ofertę najkorzystniejszą na podstawie kryterium(ów) oceny ofert określonym(</w:t>
      </w:r>
      <w:proofErr w:type="spellStart"/>
      <w:r w:rsidRPr="00B62071">
        <w:rPr>
          <w:rFonts w:ascii="Arial" w:hAnsi="Arial" w:cs="Arial"/>
          <w:sz w:val="22"/>
          <w:szCs w:val="22"/>
        </w:rPr>
        <w:t>ych</w:t>
      </w:r>
      <w:proofErr w:type="spellEnd"/>
      <w:r w:rsidRPr="00B62071">
        <w:rPr>
          <w:rFonts w:ascii="Arial" w:hAnsi="Arial" w:cs="Arial"/>
          <w:sz w:val="22"/>
          <w:szCs w:val="22"/>
        </w:rPr>
        <w:t xml:space="preserve">)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 xml:space="preserve">odpowiada wszystkim wymaganiom ustawy </w:t>
      </w:r>
      <w:proofErr w:type="spellStart"/>
      <w:r w:rsidRPr="00B62071">
        <w:rPr>
          <w:rFonts w:ascii="Arial" w:hAnsi="Arial" w:cs="Arial"/>
        </w:rPr>
        <w:t>Pzp</w:t>
      </w:r>
      <w:proofErr w:type="spellEnd"/>
      <w:r w:rsidRPr="00B62071">
        <w:rPr>
          <w:rFonts w:ascii="Arial" w:hAnsi="Arial" w:cs="Arial"/>
        </w:rPr>
        <w:t>;</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w:t>
      </w:r>
      <w:proofErr w:type="spellStart"/>
      <w:r w:rsidRPr="00B62071">
        <w:rPr>
          <w:rFonts w:ascii="Arial" w:hAnsi="Arial" w:cs="Arial"/>
          <w:bCs/>
        </w:rPr>
        <w:t>Pzp</w:t>
      </w:r>
      <w:proofErr w:type="spellEnd"/>
      <w:r w:rsidRPr="00B62071">
        <w:rPr>
          <w:rFonts w:ascii="Arial" w:hAnsi="Arial" w:cs="Arial"/>
          <w:bCs/>
        </w:rPr>
        <w:t>.</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proofErr w:type="spellStart"/>
      <w:r w:rsidRPr="00B62071">
        <w:rPr>
          <w:rFonts w:ascii="Arial" w:hAnsi="Arial" w:cs="Arial"/>
        </w:rPr>
        <w:t>Pzp</w:t>
      </w:r>
      <w:proofErr w:type="spellEnd"/>
      <w:r w:rsidRPr="00B62071">
        <w:rPr>
          <w:rFonts w:ascii="Arial" w:hAnsi="Arial" w:cs="Arial"/>
        </w:rPr>
        <w:t>.</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lastRenderedPageBreak/>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Wykonawcy, o których mowa w art. 58 ust. 1 ustawy </w:t>
      </w:r>
      <w:proofErr w:type="spellStart"/>
      <w:r w:rsidRPr="00B62071">
        <w:rPr>
          <w:rFonts w:ascii="Arial" w:hAnsi="Arial" w:cs="Arial"/>
        </w:rPr>
        <w:t>Pzp</w:t>
      </w:r>
      <w:proofErr w:type="spellEnd"/>
      <w:r w:rsidRPr="00B62071">
        <w:rPr>
          <w:rFonts w:ascii="Arial" w:hAnsi="Arial" w:cs="Arial"/>
        </w:rPr>
        <w:t>,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w:t>
      </w:r>
      <w:proofErr w:type="spellStart"/>
      <w:r w:rsidRPr="00B62071">
        <w:rPr>
          <w:rFonts w:ascii="Arial" w:hAnsi="Arial" w:cs="Arial"/>
        </w:rPr>
        <w:t>Pzp</w:t>
      </w:r>
      <w:proofErr w:type="spellEnd"/>
      <w:r w:rsidRPr="00B62071">
        <w:rPr>
          <w:rFonts w:ascii="Arial" w:hAnsi="Arial" w:cs="Arial"/>
        </w:rPr>
        <w:t>,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od dnia przesłania zawiadomienia o wyborze najkorzystniejszej oferty, jeżeli zawiadomienie to zostało 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lastRenderedPageBreak/>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w:t>
      </w:r>
      <w:proofErr w:type="spellStart"/>
      <w:r w:rsidRPr="00B62071">
        <w:rPr>
          <w:rFonts w:ascii="Arial" w:hAnsi="Arial" w:cs="Arial"/>
        </w:rPr>
        <w:t>Pzp</w:t>
      </w:r>
      <w:proofErr w:type="spellEnd"/>
      <w:r w:rsidRPr="00B62071">
        <w:rPr>
          <w:rFonts w:ascii="Arial" w:hAnsi="Arial" w:cs="Arial"/>
        </w:rPr>
        <w:t>.</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39BEA37E" w:rsidR="006B29BE" w:rsidRPr="001A7541" w:rsidRDefault="00763C0B" w:rsidP="00B65C36">
      <w:pPr>
        <w:pStyle w:val="Akapitzlist"/>
        <w:numPr>
          <w:ilvl w:val="0"/>
          <w:numId w:val="83"/>
        </w:numPr>
        <w:spacing w:after="120" w:line="240" w:lineRule="auto"/>
        <w:rPr>
          <w:rFonts w:ascii="Arial" w:hAnsi="Arial" w:cs="Arial"/>
          <w:color w:val="00B050"/>
        </w:rPr>
      </w:pPr>
      <w:r w:rsidRPr="001A7541">
        <w:rPr>
          <w:rFonts w:ascii="Arial" w:hAnsi="Arial" w:cs="Arial"/>
          <w:color w:val="00B050"/>
        </w:rPr>
        <w:t>G</w:t>
      </w:r>
      <w:r w:rsidR="006B29BE" w:rsidRPr="001A7541">
        <w:rPr>
          <w:rFonts w:ascii="Arial" w:hAnsi="Arial" w:cs="Arial"/>
          <w:color w:val="00B050"/>
        </w:rPr>
        <w:t xml:space="preserve">warant/poręczyciel </w:t>
      </w:r>
      <w:r w:rsidR="00B65C36" w:rsidRPr="001A7541">
        <w:rPr>
          <w:rFonts w:ascii="Arial" w:hAnsi="Arial" w:cs="Arial"/>
          <w:color w:val="00B050"/>
        </w:rPr>
        <w:t>zobowiązuje się dokonać wypłaty do wysokości sumy gwarancyjnej na pierwsze pisemne żądanie Zamawiającego – nieodwołalnie, bezwarunkowo i bezzwłocznie w terminie maksymalnie 30 dni, od dnia otrzymania pierwszego pisemnego wezwania do zapłaty wskazującego, iż Wykonawca nie wykonał albo nienależycie wykonał zobowiązanie wynikające z Umowy lub ponosi odpowiedzialność za niewykonanie albo nienależyte wykonanie zobowiązania wynikającego z Umowy</w:t>
      </w:r>
      <w:r w:rsidR="00A95644" w:rsidRPr="001A7541">
        <w:rPr>
          <w:rFonts w:ascii="Arial" w:hAnsi="Arial" w:cs="Arial"/>
          <w:color w:val="00B050"/>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przy czym podpisy 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 xml:space="preserve">ancja zostanie </w:t>
      </w:r>
      <w:proofErr w:type="spellStart"/>
      <w:r w:rsidR="00EF599B" w:rsidRPr="00B62071">
        <w:rPr>
          <w:rFonts w:ascii="Arial" w:hAnsi="Arial" w:cs="Arial"/>
        </w:rPr>
        <w:t>sp</w:t>
      </w:r>
      <w:r w:rsidR="00763C0B" w:rsidRPr="00B62071">
        <w:rPr>
          <w:rFonts w:ascii="Arial" w:hAnsi="Arial" w:cs="Arial"/>
        </w:rPr>
        <w:t>w</w:t>
      </w:r>
      <w:proofErr w:type="spellEnd"/>
      <w:r w:rsidR="00763C0B" w:rsidRPr="00B62071">
        <w:rPr>
          <w:rFonts w:ascii="Arial" w:hAnsi="Arial" w:cs="Arial"/>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lastRenderedPageBreak/>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 xml:space="preserve">w formie gwarancji lub poręczenia, o których mowa w art. 97 ust. 7 pkt 2-4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w:t>
      </w:r>
      <w:proofErr w:type="spellStart"/>
      <w:r w:rsidRPr="00B62071">
        <w:rPr>
          <w:rFonts w:ascii="Arial" w:hAnsi="Arial" w:cs="Arial"/>
        </w:rPr>
        <w:t>Pzp</w:t>
      </w:r>
      <w:proofErr w:type="spellEnd"/>
      <w:r w:rsidRPr="00B62071">
        <w:rPr>
          <w:rFonts w:ascii="Arial" w:hAnsi="Arial" w:cs="Arial"/>
        </w:rPr>
        <w:t xml:space="preserve">, z przyczyn leżących po jego stronie, nie złożył podmiotowych </w:t>
      </w:r>
      <w:r w:rsidRPr="00B62071">
        <w:rPr>
          <w:rFonts w:ascii="Arial" w:hAnsi="Arial" w:cs="Arial"/>
        </w:rPr>
        <w:lastRenderedPageBreak/>
        <w:t xml:space="preserve">środków dowodowych lub przedmiotowych środków dowodowych potwierdzających okoliczności, o których mowa w art. 57 lub art. 106 ust. 1 ustawy </w:t>
      </w:r>
      <w:proofErr w:type="spellStart"/>
      <w:r w:rsidRPr="00B62071">
        <w:rPr>
          <w:rFonts w:ascii="Arial" w:hAnsi="Arial" w:cs="Arial"/>
        </w:rPr>
        <w:t>Pzp</w:t>
      </w:r>
      <w:proofErr w:type="spellEnd"/>
      <w:r w:rsidRPr="00B62071">
        <w:rPr>
          <w:rFonts w:ascii="Arial" w:hAnsi="Arial" w:cs="Arial"/>
        </w:rPr>
        <w:t xml:space="preserve">, oświadczenia, o którym mowa </w:t>
      </w:r>
      <w:r w:rsidR="00967FA6" w:rsidRPr="00B62071">
        <w:rPr>
          <w:rFonts w:ascii="Arial" w:hAnsi="Arial" w:cs="Arial"/>
        </w:rPr>
        <w:br/>
      </w:r>
      <w:r w:rsidRPr="00B62071">
        <w:rPr>
          <w:rFonts w:ascii="Arial" w:hAnsi="Arial" w:cs="Arial"/>
        </w:rPr>
        <w:t xml:space="preserve">w art. 125 ust. 1 ustawy </w:t>
      </w:r>
      <w:proofErr w:type="spellStart"/>
      <w:r w:rsidRPr="00B62071">
        <w:rPr>
          <w:rFonts w:ascii="Arial" w:hAnsi="Arial" w:cs="Arial"/>
        </w:rPr>
        <w:t>Pzp</w:t>
      </w:r>
      <w:proofErr w:type="spellEnd"/>
      <w:r w:rsidRPr="00B62071">
        <w:rPr>
          <w:rFonts w:ascii="Arial" w:hAnsi="Arial" w:cs="Arial"/>
        </w:rPr>
        <w:t xml:space="preserve">, innych dokumentów lub oświadczeń lub nie wyraził zgody na poprawienie omyłki, o której mowa w art. 223 ust. 2 pkt 3 ustawy </w:t>
      </w:r>
      <w:proofErr w:type="spellStart"/>
      <w:r w:rsidRPr="00B62071">
        <w:rPr>
          <w:rFonts w:ascii="Arial" w:hAnsi="Arial" w:cs="Arial"/>
        </w:rPr>
        <w:t>Pzp</w:t>
      </w:r>
      <w:proofErr w:type="spellEnd"/>
      <w:r w:rsidRPr="00B62071">
        <w:rPr>
          <w:rFonts w:ascii="Arial" w:hAnsi="Arial" w:cs="Arial"/>
        </w:rPr>
        <w:t>,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B62071">
        <w:rPr>
          <w:rFonts w:ascii="Arial" w:hAnsi="Arial" w:cs="Arial"/>
          <w:bCs/>
        </w:rPr>
        <w:t>P</w:t>
      </w:r>
      <w:r w:rsidR="00A333CC" w:rsidRPr="00B62071">
        <w:rPr>
          <w:rFonts w:ascii="Arial" w:hAnsi="Arial" w:cs="Arial"/>
          <w:bCs/>
        </w:rPr>
        <w:t>zp</w:t>
      </w:r>
      <w:proofErr w:type="spellEnd"/>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 xml:space="preserve">5 ustawy </w:t>
      </w:r>
      <w:proofErr w:type="spellStart"/>
      <w:r w:rsidRPr="00B62071">
        <w:rPr>
          <w:rFonts w:ascii="Arial" w:hAnsi="Arial" w:cs="Arial"/>
        </w:rPr>
        <w:t>Pzp</w:t>
      </w:r>
      <w:proofErr w:type="spellEnd"/>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lastRenderedPageBreak/>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w:t>
      </w:r>
      <w:proofErr w:type="spellStart"/>
      <w:r w:rsidRPr="00B62071">
        <w:rPr>
          <w:rFonts w:ascii="Arial" w:hAnsi="Arial" w:cs="Arial"/>
        </w:rPr>
        <w:t>Pzp</w:t>
      </w:r>
      <w:proofErr w:type="spellEnd"/>
      <w:r w:rsidRPr="00B62071">
        <w:rPr>
          <w:rFonts w:ascii="Arial" w:hAnsi="Arial" w:cs="Arial"/>
        </w:rPr>
        <w:t xml:space="preserve">,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obowiązek podania przez Panią/Pana danych osobowych bezpośrednio Pani/Pana dotyczących jest wymogiem ustawowym określonym w przepisach ustawy </w:t>
      </w:r>
      <w:proofErr w:type="spellStart"/>
      <w:r w:rsidRPr="00B62071">
        <w:rPr>
          <w:rFonts w:ascii="Arial" w:hAnsi="Arial" w:cs="Arial"/>
        </w:rPr>
        <w:t>Pzp</w:t>
      </w:r>
      <w:proofErr w:type="spellEnd"/>
      <w:r w:rsidRPr="00B62071">
        <w:rPr>
          <w:rFonts w:ascii="Arial" w:hAnsi="Arial" w:cs="Arial"/>
        </w:rPr>
        <w:t xml:space="preserve">, związanym z udziałem w postępowaniu o udzielenie zamówienia publicznego; konsekwencje niepodania określonych danych wynikają z ustawy </w:t>
      </w:r>
      <w:proofErr w:type="spellStart"/>
      <w:r w:rsidRPr="00B62071">
        <w:rPr>
          <w:rFonts w:ascii="Arial" w:hAnsi="Arial" w:cs="Arial"/>
        </w:rPr>
        <w:t>Pzp</w:t>
      </w:r>
      <w:proofErr w:type="spellEnd"/>
      <w:r w:rsidRPr="00B62071">
        <w:rPr>
          <w:rFonts w:ascii="Arial" w:hAnsi="Arial" w:cs="Arial"/>
        </w:rPr>
        <w:t>;</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62071">
        <w:rPr>
          <w:rFonts w:ascii="Arial" w:hAnsi="Arial" w:cs="Arial"/>
        </w:rPr>
        <w:t>Pzp</w:t>
      </w:r>
      <w:proofErr w:type="spellEnd"/>
      <w:r w:rsidRPr="00B62071">
        <w:rPr>
          <w:rFonts w:ascii="Arial" w:hAnsi="Arial" w:cs="Arial"/>
        </w:rPr>
        <w:t xml:space="preserve">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lastRenderedPageBreak/>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w:t>
      </w:r>
      <w:proofErr w:type="spellStart"/>
      <w:r w:rsidR="007528E5" w:rsidRPr="00B62071">
        <w:rPr>
          <w:rFonts w:ascii="Arial" w:hAnsi="Arial" w:cs="Arial"/>
        </w:rPr>
        <w:t>Pzp</w:t>
      </w:r>
      <w:proofErr w:type="spellEnd"/>
      <w:r w:rsidR="007528E5" w:rsidRPr="00B62071">
        <w:rPr>
          <w:rFonts w:ascii="Arial" w:hAnsi="Arial" w:cs="Arial"/>
        </w:rPr>
        <w:t>.</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057B56">
        <w:rPr>
          <w:rFonts w:ascii="Arial" w:hAnsi="Arial" w:cs="Arial"/>
        </w:rPr>
        <w:t>Pzp</w:t>
      </w:r>
      <w:proofErr w:type="spellEnd"/>
      <w:r w:rsidRPr="00057B56">
        <w:rPr>
          <w:rFonts w:ascii="Arial" w:hAnsi="Arial" w:cs="Arial"/>
        </w:rPr>
        <w:t>;</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057B56">
        <w:rPr>
          <w:rFonts w:ascii="Arial" w:hAnsi="Arial" w:cs="Arial"/>
        </w:rPr>
        <w:t>Pzp</w:t>
      </w:r>
      <w:proofErr w:type="spellEnd"/>
      <w:r w:rsidRPr="00057B56">
        <w:rPr>
          <w:rFonts w:ascii="Arial" w:hAnsi="Arial" w:cs="Arial"/>
        </w:rPr>
        <w:t>;</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bezpieczeństwa narodowego (Dz. U. poz. 835); art. 5k ust. 1 rozporządzenia Rady (UE) nr 833/2014 z dnia 31 lipca 2014 r. dotyczącego środków ograniczających w związku z działaniami Rosji destabilizującymi sytuację na Ukrainie (</w:t>
      </w:r>
      <w:proofErr w:type="spellStart"/>
      <w:r w:rsidRPr="00057B56">
        <w:rPr>
          <w:rFonts w:ascii="Arial" w:hAnsi="Arial" w:cs="Arial"/>
        </w:rPr>
        <w:t>Dz.Urz</w:t>
      </w:r>
      <w:proofErr w:type="spellEnd"/>
      <w:r w:rsidRPr="00057B56">
        <w:rPr>
          <w:rFonts w:ascii="Arial" w:hAnsi="Arial" w:cs="Arial"/>
        </w:rPr>
        <w:t>.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4940EB" w:rsidRDefault="004940EB">
      <w:pPr>
        <w:spacing w:after="0" w:line="240" w:lineRule="auto"/>
      </w:pPr>
      <w:r>
        <w:separator/>
      </w:r>
    </w:p>
  </w:endnote>
  <w:endnote w:type="continuationSeparator" w:id="0">
    <w:p w14:paraId="0D113FE6" w14:textId="77777777" w:rsidR="004940EB" w:rsidRDefault="004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8D0A4A5" w:rsidR="004940EB" w:rsidRPr="00455475" w:rsidRDefault="004940EB">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0F5708">
      <w:rPr>
        <w:rFonts w:ascii="Times New Roman" w:hAnsi="Times New Roman"/>
        <w:b/>
        <w:noProof/>
        <w:sz w:val="18"/>
        <w:szCs w:val="18"/>
      </w:rPr>
      <w:t>18</w:t>
    </w:r>
    <w:r w:rsidRPr="00455475">
      <w:rPr>
        <w:rFonts w:ascii="Times New Roman" w:hAnsi="Times New Roman"/>
        <w:b/>
        <w:sz w:val="18"/>
        <w:szCs w:val="18"/>
      </w:rPr>
      <w:fldChar w:fldCharType="end"/>
    </w:r>
  </w:p>
  <w:p w14:paraId="52364D6D" w14:textId="3AB8E350" w:rsidR="004940EB" w:rsidRDefault="004940EB"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4940EB" w:rsidRPr="0091138B" w:rsidRDefault="004940EB"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4940EB" w:rsidRDefault="004940EB">
      <w:pPr>
        <w:spacing w:after="0" w:line="240" w:lineRule="auto"/>
      </w:pPr>
      <w:r>
        <w:separator/>
      </w:r>
    </w:p>
  </w:footnote>
  <w:footnote w:type="continuationSeparator" w:id="0">
    <w:p w14:paraId="0E827018" w14:textId="77777777" w:rsidR="004940EB" w:rsidRDefault="0049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4940EB" w:rsidRDefault="004940EB"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342782"/>
    <w:multiLevelType w:val="hybridMultilevel"/>
    <w:tmpl w:val="A3800406"/>
    <w:lvl w:ilvl="0" w:tplc="BD44512A">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1"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B42225"/>
    <w:multiLevelType w:val="hybridMultilevel"/>
    <w:tmpl w:val="AD5C58C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15C8DC32">
      <w:start w:val="2"/>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4"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E748AD"/>
    <w:multiLevelType w:val="hybridMultilevel"/>
    <w:tmpl w:val="6FCA27DC"/>
    <w:lvl w:ilvl="0" w:tplc="BFB888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0B09BE"/>
    <w:multiLevelType w:val="multilevel"/>
    <w:tmpl w:val="604A4D64"/>
    <w:numStyleLink w:val="Styl72"/>
  </w:abstractNum>
  <w:abstractNum w:abstractNumId="84"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6"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9"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1"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7"/>
  </w:num>
  <w:num w:numId="2">
    <w:abstractNumId w:val="89"/>
  </w:num>
  <w:num w:numId="3">
    <w:abstractNumId w:val="2"/>
  </w:num>
  <w:num w:numId="4">
    <w:abstractNumId w:val="96"/>
  </w:num>
  <w:num w:numId="5">
    <w:abstractNumId w:val="45"/>
  </w:num>
  <w:num w:numId="6">
    <w:abstractNumId w:val="108"/>
  </w:num>
  <w:num w:numId="7">
    <w:abstractNumId w:val="100"/>
  </w:num>
  <w:num w:numId="8">
    <w:abstractNumId w:val="55"/>
  </w:num>
  <w:num w:numId="9">
    <w:abstractNumId w:val="72"/>
  </w:num>
  <w:num w:numId="10">
    <w:abstractNumId w:val="46"/>
  </w:num>
  <w:num w:numId="11">
    <w:abstractNumId w:val="42"/>
  </w:num>
  <w:num w:numId="12">
    <w:abstractNumId w:val="18"/>
  </w:num>
  <w:num w:numId="13">
    <w:abstractNumId w:val="69"/>
  </w:num>
  <w:num w:numId="14">
    <w:abstractNumId w:val="102"/>
  </w:num>
  <w:num w:numId="15">
    <w:abstractNumId w:val="118"/>
  </w:num>
  <w:num w:numId="16">
    <w:abstractNumId w:val="98"/>
  </w:num>
  <w:num w:numId="17">
    <w:abstractNumId w:val="21"/>
  </w:num>
  <w:num w:numId="18">
    <w:abstractNumId w:val="73"/>
  </w:num>
  <w:num w:numId="19">
    <w:abstractNumId w:val="11"/>
  </w:num>
  <w:num w:numId="20">
    <w:abstractNumId w:val="23"/>
  </w:num>
  <w:num w:numId="21">
    <w:abstractNumId w:val="116"/>
  </w:num>
  <w:num w:numId="22">
    <w:abstractNumId w:val="117"/>
  </w:num>
  <w:num w:numId="23">
    <w:abstractNumId w:val="38"/>
  </w:num>
  <w:num w:numId="24">
    <w:abstractNumId w:val="27"/>
  </w:num>
  <w:num w:numId="25">
    <w:abstractNumId w:val="34"/>
  </w:num>
  <w:num w:numId="26">
    <w:abstractNumId w:val="47"/>
  </w:num>
  <w:num w:numId="27">
    <w:abstractNumId w:val="41"/>
  </w:num>
  <w:num w:numId="28">
    <w:abstractNumId w:val="6"/>
  </w:num>
  <w:num w:numId="29">
    <w:abstractNumId w:val="14"/>
  </w:num>
  <w:num w:numId="30">
    <w:abstractNumId w:val="8"/>
  </w:num>
  <w:num w:numId="31">
    <w:abstractNumId w:val="24"/>
  </w:num>
  <w:num w:numId="32">
    <w:abstractNumId w:val="48"/>
  </w:num>
  <w:num w:numId="33">
    <w:abstractNumId w:val="40"/>
  </w:num>
  <w:num w:numId="34">
    <w:abstractNumId w:val="85"/>
  </w:num>
  <w:num w:numId="35">
    <w:abstractNumId w:val="76"/>
  </w:num>
  <w:num w:numId="36">
    <w:abstractNumId w:val="59"/>
  </w:num>
  <w:num w:numId="37">
    <w:abstractNumId w:val="25"/>
  </w:num>
  <w:num w:numId="38">
    <w:abstractNumId w:val="39"/>
  </w:num>
  <w:num w:numId="39">
    <w:abstractNumId w:val="68"/>
  </w:num>
  <w:num w:numId="40">
    <w:abstractNumId w:val="57"/>
  </w:num>
  <w:num w:numId="41">
    <w:abstractNumId w:val="29"/>
  </w:num>
  <w:num w:numId="42">
    <w:abstractNumId w:val="90"/>
    <w:lvlOverride w:ilvl="0">
      <w:startOverride w:val="1"/>
    </w:lvlOverride>
  </w:num>
  <w:num w:numId="43">
    <w:abstractNumId w:val="63"/>
    <w:lvlOverride w:ilvl="0">
      <w:startOverride w:val="1"/>
    </w:lvlOverride>
  </w:num>
  <w:num w:numId="44">
    <w:abstractNumId w:val="32"/>
  </w:num>
  <w:num w:numId="45">
    <w:abstractNumId w:val="10"/>
  </w:num>
  <w:num w:numId="46">
    <w:abstractNumId w:val="115"/>
  </w:num>
  <w:num w:numId="47">
    <w:abstractNumId w:val="82"/>
  </w:num>
  <w:num w:numId="48">
    <w:abstractNumId w:val="13"/>
  </w:num>
  <w:num w:numId="49">
    <w:abstractNumId w:val="70"/>
  </w:num>
  <w:num w:numId="50">
    <w:abstractNumId w:val="83"/>
  </w:num>
  <w:num w:numId="51">
    <w:abstractNumId w:val="17"/>
  </w:num>
  <w:num w:numId="52">
    <w:abstractNumId w:val="95"/>
  </w:num>
  <w:num w:numId="53">
    <w:abstractNumId w:val="33"/>
  </w:num>
  <w:num w:numId="54">
    <w:abstractNumId w:val="109"/>
  </w:num>
  <w:num w:numId="55">
    <w:abstractNumId w:val="5"/>
  </w:num>
  <w:num w:numId="56">
    <w:abstractNumId w:val="112"/>
  </w:num>
  <w:num w:numId="57">
    <w:abstractNumId w:val="51"/>
  </w:num>
  <w:num w:numId="58">
    <w:abstractNumId w:val="26"/>
  </w:num>
  <w:num w:numId="59">
    <w:abstractNumId w:val="19"/>
  </w:num>
  <w:num w:numId="60">
    <w:abstractNumId w:val="22"/>
  </w:num>
  <w:num w:numId="61">
    <w:abstractNumId w:val="30"/>
  </w:num>
  <w:num w:numId="62">
    <w:abstractNumId w:val="81"/>
  </w:num>
  <w:num w:numId="63">
    <w:abstractNumId w:val="88"/>
  </w:num>
  <w:num w:numId="64">
    <w:abstractNumId w:val="79"/>
  </w:num>
  <w:num w:numId="65">
    <w:abstractNumId w:val="111"/>
  </w:num>
  <w:num w:numId="66">
    <w:abstractNumId w:val="58"/>
  </w:num>
  <w:num w:numId="67">
    <w:abstractNumId w:val="37"/>
  </w:num>
  <w:num w:numId="68">
    <w:abstractNumId w:val="16"/>
  </w:num>
  <w:num w:numId="69">
    <w:abstractNumId w:val="65"/>
  </w:num>
  <w:num w:numId="70">
    <w:abstractNumId w:val="101"/>
  </w:num>
  <w:num w:numId="71">
    <w:abstractNumId w:val="103"/>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num>
  <w:num w:numId="76">
    <w:abstractNumId w:val="75"/>
  </w:num>
  <w:num w:numId="77">
    <w:abstractNumId w:val="107"/>
  </w:num>
  <w:num w:numId="78">
    <w:abstractNumId w:val="80"/>
  </w:num>
  <w:num w:numId="79">
    <w:abstractNumId w:val="44"/>
  </w:num>
  <w:num w:numId="80">
    <w:abstractNumId w:val="92"/>
  </w:num>
  <w:num w:numId="81">
    <w:abstractNumId w:val="52"/>
  </w:num>
  <w:num w:numId="82">
    <w:abstractNumId w:val="106"/>
  </w:num>
  <w:num w:numId="83">
    <w:abstractNumId w:val="36"/>
  </w:num>
  <w:num w:numId="84">
    <w:abstractNumId w:val="91"/>
  </w:num>
  <w:num w:numId="85">
    <w:abstractNumId w:val="93"/>
  </w:num>
  <w:num w:numId="86">
    <w:abstractNumId w:val="15"/>
  </w:num>
  <w:num w:numId="87">
    <w:abstractNumId w:val="20"/>
  </w:num>
  <w:num w:numId="88">
    <w:abstractNumId w:val="12"/>
  </w:num>
  <w:num w:numId="89">
    <w:abstractNumId w:val="4"/>
  </w:num>
  <w:num w:numId="90">
    <w:abstractNumId w:val="31"/>
  </w:num>
  <w:num w:numId="91">
    <w:abstractNumId w:val="35"/>
  </w:num>
  <w:num w:numId="92">
    <w:abstractNumId w:val="74"/>
  </w:num>
  <w:num w:numId="93">
    <w:abstractNumId w:val="50"/>
  </w:num>
  <w:num w:numId="94">
    <w:abstractNumId w:val="62"/>
  </w:num>
  <w:num w:numId="95">
    <w:abstractNumId w:val="9"/>
  </w:num>
  <w:num w:numId="96">
    <w:abstractNumId w:val="61"/>
  </w:num>
  <w:num w:numId="97">
    <w:abstractNumId w:val="114"/>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num>
  <w:num w:numId="103">
    <w:abstractNumId w:val="71"/>
  </w:num>
  <w:num w:numId="104">
    <w:abstractNumId w:val="54"/>
  </w:num>
  <w:num w:numId="105">
    <w:abstractNumId w:val="86"/>
  </w:num>
  <w:num w:numId="106">
    <w:abstractNumId w:val="28"/>
  </w:num>
  <w:num w:numId="107">
    <w:abstractNumId w:val="113"/>
  </w:num>
  <w:num w:numId="108">
    <w:abstractNumId w:val="99"/>
  </w:num>
  <w:num w:numId="109">
    <w:abstractNumId w:val="1"/>
  </w:num>
  <w:num w:numId="110">
    <w:abstractNumId w:val="53"/>
  </w:num>
  <w:num w:numId="111">
    <w:abstractNumId w:val="110"/>
  </w:num>
  <w:num w:numId="112">
    <w:abstractNumId w:val="105"/>
  </w:num>
  <w:num w:numId="113">
    <w:abstractNumId w:val="56"/>
  </w:num>
  <w:num w:numId="114">
    <w:abstractNumId w:val="60"/>
  </w:num>
  <w:num w:numId="115">
    <w:abstractNumId w:val="87"/>
  </w:num>
  <w:num w:numId="116">
    <w:abstractNumId w:val="66"/>
  </w:num>
  <w:num w:numId="117">
    <w:abstractNumId w:val="7"/>
  </w:num>
  <w:num w:numId="118">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0F5708"/>
    <w:rsid w:val="0010204E"/>
    <w:rsid w:val="00102A50"/>
    <w:rsid w:val="0010343D"/>
    <w:rsid w:val="00106294"/>
    <w:rsid w:val="00106401"/>
    <w:rsid w:val="00112E43"/>
    <w:rsid w:val="0011382C"/>
    <w:rsid w:val="00114979"/>
    <w:rsid w:val="00114DFB"/>
    <w:rsid w:val="0011750C"/>
    <w:rsid w:val="00121E57"/>
    <w:rsid w:val="00122760"/>
    <w:rsid w:val="00123FF7"/>
    <w:rsid w:val="00124D40"/>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A754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535F"/>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2A9C"/>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7D0"/>
    <w:rsid w:val="00492FDC"/>
    <w:rsid w:val="004940EB"/>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6E51"/>
    <w:rsid w:val="005677CC"/>
    <w:rsid w:val="005709D1"/>
    <w:rsid w:val="005710B6"/>
    <w:rsid w:val="005716E3"/>
    <w:rsid w:val="00572108"/>
    <w:rsid w:val="00575B66"/>
    <w:rsid w:val="00580CAE"/>
    <w:rsid w:val="0058233C"/>
    <w:rsid w:val="00583707"/>
    <w:rsid w:val="00584177"/>
    <w:rsid w:val="00586E03"/>
    <w:rsid w:val="00587B56"/>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7A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598B"/>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78D"/>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5C36"/>
    <w:rsid w:val="00B6606F"/>
    <w:rsid w:val="00B7048A"/>
    <w:rsid w:val="00B7120C"/>
    <w:rsid w:val="00B73281"/>
    <w:rsid w:val="00B742A5"/>
    <w:rsid w:val="00B747D1"/>
    <w:rsid w:val="00B74828"/>
    <w:rsid w:val="00B74B9F"/>
    <w:rsid w:val="00B74E4B"/>
    <w:rsid w:val="00B750B1"/>
    <w:rsid w:val="00B750BA"/>
    <w:rsid w:val="00B75489"/>
    <w:rsid w:val="00B7579E"/>
    <w:rsid w:val="00B75F69"/>
    <w:rsid w:val="00B76854"/>
    <w:rsid w:val="00B76D23"/>
    <w:rsid w:val="00B808DC"/>
    <w:rsid w:val="00B861D3"/>
    <w:rsid w:val="00B91DB6"/>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4D5C-60AA-4E34-9344-D2D007C2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12109</Words>
  <Characters>72657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8</cp:revision>
  <cp:lastPrinted>2021-12-22T12:51:00Z</cp:lastPrinted>
  <dcterms:created xsi:type="dcterms:W3CDTF">2022-12-20T13:44:00Z</dcterms:created>
  <dcterms:modified xsi:type="dcterms:W3CDTF">2022-12-21T11:20:00Z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