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cs="Times New Roman" w:asciiTheme="majorHAnsi" w:hAnsiTheme="majorHAnsi"/>
          <w:kern w:val="2"/>
          <w:sz w:val="24"/>
          <w:szCs w:val="24"/>
        </w:rPr>
        <w:t>MOPS.271.9.2022.GN</w:t>
      </w:r>
      <w:r>
        <w:rPr>
          <w:rFonts w:cs="Arial"/>
          <w:kern w:val="2"/>
        </w:rPr>
        <w:t xml:space="preserve"> 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21.06.2022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right"/>
        <w:rPr>
          <w:rFonts w:ascii="Cambria" w:hAnsi="Cambria" w:eastAsia="NSimSun" w:cs="Arial Narrow"/>
          <w:b/>
          <w:b/>
          <w:bCs/>
          <w:i/>
          <w:i/>
          <w:i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 Narrow" w:ascii="Cambria" w:hAnsi="Cambria"/>
          <w:b/>
          <w:bCs/>
          <w:i/>
          <w:iCs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cs="Arial Narrow" w:ascii="Cambria" w:hAnsi="Cambria"/>
          <w:b/>
          <w:bCs/>
          <w:kern w:val="2"/>
          <w:sz w:val="26"/>
          <w:szCs w:val="26"/>
          <w:lang w:val="pl-PL"/>
        </w:rPr>
        <w:t>INFORMACJA O W</w:t>
      </w:r>
      <w:r>
        <w:rPr>
          <w:rFonts w:eastAsia="NSimSun" w:cs="Arial Narrow" w:ascii="Cambria" w:hAnsi="Cambria"/>
          <w:b/>
          <w:bCs/>
          <w:color w:val="auto"/>
          <w:kern w:val="2"/>
          <w:sz w:val="26"/>
          <w:szCs w:val="26"/>
          <w:lang w:val="pl-PL" w:eastAsia="zh-CN" w:bidi="hi-IN"/>
        </w:rPr>
        <w:t>YNIKACH POSTĘPOWANIA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 xml:space="preserve">Świadczenie usługi asystenta osobistego osoby niepełnosprawnej </w:t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0"/>
          <w:sz w:val="28"/>
          <w:szCs w:val="28"/>
          <w:lang w:val="pl-PL" w:eastAsia="pl-PL" w:bidi="ar-SA"/>
        </w:rPr>
        <w:t>na potrzeby mieszkańców gminy miejskiej Włodawa</w:t>
      </w: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”.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2021 r., poz. </w:t>
      </w:r>
      <w:r>
        <w:rPr>
          <w:rStyle w:val="Mocnowyrniony"/>
          <w:rFonts w:eastAsia="NSimSun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1129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 z późn. zm.) - dalej ustawa Pzp,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Miejski Ośrodek Pomocy Społecznej,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Wybrać do realizacji zamówienia w zakresie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>części I: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b/>
          <w:b/>
          <w:bCs/>
          <w:color w:val="000000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Panią Katarzynę Sieradzką.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1.1. Uzasadnienie wybor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u w zakresie części 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jest art. 242 ust 1 pkt. 1 ) ustawy Pzp oraz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1.2.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 w zakresie części 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Katarzynę Sieradzką, ul. Ceglana 5, 22-200 Włodawa</w:t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bookmarkStart w:id="11" w:name="__DdeLink__3471_620719433"/>
      <w:bookmarkEnd w:id="11"/>
      <w:r>
        <w:rPr>
          <w:rFonts w:eastAsia="Tahoma" w:cs="Times New Roman" w:ascii="Cambria" w:hAnsi="Cambria"/>
          <w:b/>
          <w:bCs/>
          <w:color w:val="000000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2) Termin płatności</w:t>
      </w:r>
      <w:r>
        <w:rPr>
          <w:rFonts w:eastAsia="Tahoma" w:cs="Arial Narrow" w:ascii="Cambria" w:hAnsi="Cambria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2.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Wybrać do realizacji zamówienia w zakresie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>części II: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Panią Sylwię Jańską.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2.1. 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jest art. 242 ust 1 pkt. 1 ) ustawy Pzp oraz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2" w:name="__DdeLink__1156_30809361001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2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 w zakresie części II: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Panią Sylwię Jańską, zam. Suszno, ul. Maciejki 9, 22-200 Włodawa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3" w:name="__DdeLink__3471_6207194331"/>
      <w:bookmarkEnd w:id="13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Termin płatności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3.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Wybrać do realizacji zamówienia w zakresie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>części III: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Cambria" w:hAnsi="Cambria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Lidię Łopąg.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3.1.</w:t>
      </w: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 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III: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jest art. 242 ust 1 pkt. 1 ) ustawy Pzp oraz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4" w:name="__DdeLink__1156_308093610011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4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3.2.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złożone w postępowaniu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III: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Panią Lidię Łopąg, ul. Tysiąclecia P.P. 16/21, 22-200 Włodawa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5" w:name="__DdeLink__3471_62071943311"/>
      <w:bookmarkEnd w:id="15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Termin płatności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4.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Wybrać do realizacji zamówienia w zakresie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>części IV: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Cambria" w:hAnsi="Cambria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Anitę Hawdejuk.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4.1.</w:t>
      </w: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 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III: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jest art. 242 ust 1 pkt. 1 ) ustawy Pzp oraz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6" w:name="__DdeLink__1156_3080936100111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6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4.2.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złożone w postępowaniu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III: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Panią Anitę Hawdejuk, ul. Chełmska 19/9, 22-200 Włodawa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7" w:name="__DdeLink__3471_620719433111"/>
      <w:bookmarkEnd w:id="17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FFFFFF" w:val="clear"/>
          <w:lang w:val="pl-PL" w:eastAsia="zxx" w:bidi="zxx"/>
        </w:rPr>
        <w:t>2) Termin płatności</w:t>
      </w:r>
      <w:r>
        <w:rPr>
          <w:rFonts w:eastAsia="Tahoma" w:cs="Arial Narrow" w:ascii="Cambria" w:hAnsi="Cambria"/>
          <w:b w:val="false"/>
          <w:bCs w:val="false"/>
          <w:i/>
          <w:iCs/>
          <w:color w:val="000000"/>
          <w:kern w:val="2"/>
          <w:sz w:val="24"/>
          <w:szCs w:val="24"/>
          <w:u w:val="none"/>
          <w:shd w:fill="FFFFFF" w:val="clear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FFFFFF" w:val="clear"/>
          <w:lang w:val="pl-PL" w:eastAsia="zxx" w:bidi="zxx"/>
        </w:rPr>
        <w:t xml:space="preserve"> 40 pkt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DDDDDD" w:val="clear"/>
          <w:lang w:val="pl-PL" w:eastAsia="zxx" w:bidi="zxx"/>
        </w:rPr>
        <w:t xml:space="preserve">5.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DDDDDD" w:val="clear"/>
          <w:lang w:val="pl-PL" w:eastAsia="zxx" w:bidi="zxx"/>
        </w:rPr>
        <w:t>Wybrać do realizacji zamówienia w zakresie części V: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Panią Ewa Skrypczuk-Gąszcz.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5.1.</w:t>
      </w: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 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V: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jest art. 242 ust 1 pkt. 1 ) ustawy Pzp oraz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8" w:name="__DdeLink__1156_3080936100112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8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5.2.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złożone w postępowaniu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V: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u w:val="none"/>
          <w:lang w:val="pl-PL" w:eastAsia="zxx" w:bidi="zxx"/>
        </w:rPr>
        <w:t>Ewa Skrypczuk-Gąszcz, ul. Chełmska 17/56, 22-200 Włodawa.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9" w:name="__DdeLink__3471_620719433112"/>
      <w:bookmarkEnd w:id="19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Termin płatności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tLeast" w:line="20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Dyrektor       </w:t>
      </w:r>
    </w:p>
    <w:p>
      <w:pPr>
        <w:pStyle w:val="Normal"/>
        <w:bidi w:val="0"/>
        <w:spacing w:lineRule="atLeast" w:line="20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>Miejskiego Ośrodka Pomocy Społecznej</w:t>
      </w:r>
    </w:p>
    <w:p>
      <w:pPr>
        <w:pStyle w:val="Normal"/>
        <w:bidi w:val="0"/>
        <w:spacing w:lineRule="atLeast" w:line="20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Anna Borkowska – Łuć    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Zawartotabeli"/>
        <w:bidi w:val="0"/>
        <w:spacing w:lineRule="atLeast" w:line="200" w:before="0" w:after="0"/>
        <w:jc w:val="both"/>
        <w:rPr>
          <w:rFonts w:ascii="Liberation Serif" w:hAnsi="Liberation Serif"/>
          <w:b/>
          <w:b/>
          <w:bCs/>
          <w:sz w:val="22"/>
          <w:szCs w:val="22"/>
          <w:u w:val="single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LibreOffice/7.0.0.3$Windows_X86_64 LibreOffice_project/8061b3e9204bef6b321a21033174034a5e2ea88e</Application>
  <Pages>3</Pages>
  <Words>839</Words>
  <Characters>4759</Characters>
  <CharactersWithSpaces>5642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2021-05-28T10:26:00Z</dcterms:created>
  <dc:creator/>
  <dc:description/>
  <dc:language>pl-PL</dc:language>
  <cp:lastModifiedBy/>
  <dcterms:modified xsi:type="dcterms:W3CDTF">2022-06-21T11:31:51Z</dcterms:modified>
  <cp:revision>30</cp:revision>
  <dc:subject/>
  <dc:title/>
</cp:coreProperties>
</file>