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EB" w:rsidRDefault="005948F8">
      <w:pPr>
        <w:jc w:val="center"/>
        <w:rPr>
          <w:b/>
          <w:sz w:val="24"/>
          <w:szCs w:val="24"/>
        </w:rPr>
      </w:pPr>
      <w:r>
        <w:rPr>
          <w:b/>
          <w:sz w:val="24"/>
          <w:szCs w:val="24"/>
        </w:rPr>
        <w:t>WYJAŚNIENIA TREŚCI SWZ</w:t>
      </w:r>
    </w:p>
    <w:p w:rsidR="00C323EB" w:rsidRDefault="00C323EB">
      <w:pPr>
        <w:jc w:val="both"/>
        <w:rPr>
          <w:sz w:val="24"/>
          <w:szCs w:val="24"/>
        </w:rPr>
      </w:pPr>
    </w:p>
    <w:tbl>
      <w:tblPr>
        <w:tblStyle w:val="a"/>
        <w:tblW w:w="928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315"/>
      </w:tblGrid>
      <w:tr w:rsidR="00C323EB">
        <w:trPr>
          <w:tblHeader/>
        </w:trPr>
        <w:tc>
          <w:tcPr>
            <w:tcW w:w="2970" w:type="dxa"/>
            <w:shd w:val="clear" w:color="auto" w:fill="auto"/>
            <w:tcMar>
              <w:top w:w="100" w:type="dxa"/>
              <w:left w:w="100" w:type="dxa"/>
              <w:bottom w:w="100" w:type="dxa"/>
              <w:right w:w="100" w:type="dxa"/>
            </w:tcMar>
          </w:tcPr>
          <w:p w:rsidR="00C323EB" w:rsidRDefault="005948F8">
            <w:pPr>
              <w:spacing w:line="240" w:lineRule="auto"/>
              <w:ind w:firstLine="141"/>
              <w:jc w:val="center"/>
              <w:rPr>
                <w:b/>
                <w:sz w:val="24"/>
                <w:szCs w:val="24"/>
              </w:rPr>
            </w:pPr>
            <w:r>
              <w:rPr>
                <w:b/>
                <w:sz w:val="24"/>
                <w:szCs w:val="24"/>
              </w:rPr>
              <w:t>Dane</w:t>
            </w:r>
          </w:p>
        </w:tc>
        <w:tc>
          <w:tcPr>
            <w:tcW w:w="6315" w:type="dxa"/>
            <w:shd w:val="clear" w:color="auto" w:fill="auto"/>
            <w:tcMar>
              <w:top w:w="100" w:type="dxa"/>
              <w:left w:w="100" w:type="dxa"/>
              <w:bottom w:w="100" w:type="dxa"/>
              <w:right w:w="100" w:type="dxa"/>
            </w:tcMar>
          </w:tcPr>
          <w:p w:rsidR="00C323EB" w:rsidRDefault="005948F8">
            <w:pPr>
              <w:widowControl w:val="0"/>
              <w:spacing w:line="240" w:lineRule="auto"/>
              <w:jc w:val="center"/>
              <w:rPr>
                <w:b/>
                <w:sz w:val="24"/>
                <w:szCs w:val="24"/>
              </w:rPr>
            </w:pPr>
            <w:r>
              <w:rPr>
                <w:b/>
                <w:sz w:val="24"/>
                <w:szCs w:val="24"/>
              </w:rPr>
              <w:t>Opis</w:t>
            </w:r>
          </w:p>
        </w:tc>
      </w:tr>
      <w:tr w:rsidR="00C323EB">
        <w:tc>
          <w:tcPr>
            <w:tcW w:w="2970" w:type="dxa"/>
            <w:shd w:val="clear" w:color="auto" w:fill="auto"/>
            <w:tcMar>
              <w:top w:w="100" w:type="dxa"/>
              <w:left w:w="100" w:type="dxa"/>
              <w:bottom w:w="100" w:type="dxa"/>
              <w:right w:w="100" w:type="dxa"/>
            </w:tcMar>
          </w:tcPr>
          <w:p w:rsidR="00C323EB" w:rsidRDefault="005948F8">
            <w:pPr>
              <w:spacing w:line="240" w:lineRule="auto"/>
              <w:ind w:firstLine="141"/>
              <w:rPr>
                <w:sz w:val="24"/>
                <w:szCs w:val="24"/>
              </w:rPr>
            </w:pPr>
            <w:r>
              <w:rPr>
                <w:sz w:val="24"/>
                <w:szCs w:val="24"/>
              </w:rPr>
              <w:t>Tryb postępowania</w:t>
            </w:r>
          </w:p>
        </w:tc>
        <w:tc>
          <w:tcPr>
            <w:tcW w:w="6315" w:type="dxa"/>
            <w:shd w:val="clear" w:color="auto" w:fill="auto"/>
            <w:tcMar>
              <w:top w:w="100" w:type="dxa"/>
              <w:left w:w="100" w:type="dxa"/>
              <w:bottom w:w="100" w:type="dxa"/>
              <w:right w:w="100" w:type="dxa"/>
            </w:tcMar>
          </w:tcPr>
          <w:p w:rsidR="00C323EB" w:rsidRDefault="006E2219">
            <w:pPr>
              <w:widowControl w:val="0"/>
              <w:spacing w:line="240" w:lineRule="auto"/>
              <w:rPr>
                <w:sz w:val="24"/>
                <w:szCs w:val="24"/>
              </w:rPr>
            </w:pPr>
            <w:r>
              <w:rPr>
                <w:sz w:val="24"/>
                <w:szCs w:val="24"/>
              </w:rPr>
              <w:t>Przetarg nieograniczony</w:t>
            </w:r>
          </w:p>
        </w:tc>
      </w:tr>
      <w:tr w:rsidR="00C323EB">
        <w:tc>
          <w:tcPr>
            <w:tcW w:w="2970" w:type="dxa"/>
            <w:shd w:val="clear" w:color="auto" w:fill="auto"/>
            <w:tcMar>
              <w:top w:w="100" w:type="dxa"/>
              <w:left w:w="100" w:type="dxa"/>
              <w:bottom w:w="100" w:type="dxa"/>
              <w:right w:w="100" w:type="dxa"/>
            </w:tcMar>
          </w:tcPr>
          <w:p w:rsidR="00C323EB" w:rsidRDefault="005948F8">
            <w:pPr>
              <w:spacing w:line="240" w:lineRule="auto"/>
              <w:ind w:firstLine="141"/>
              <w:rPr>
                <w:sz w:val="24"/>
                <w:szCs w:val="24"/>
              </w:rPr>
            </w:pPr>
            <w:r>
              <w:rPr>
                <w:sz w:val="24"/>
                <w:szCs w:val="24"/>
              </w:rPr>
              <w:t>Nazwa zamówienia</w:t>
            </w:r>
          </w:p>
        </w:tc>
        <w:tc>
          <w:tcPr>
            <w:tcW w:w="6315" w:type="dxa"/>
            <w:shd w:val="clear" w:color="auto" w:fill="auto"/>
            <w:tcMar>
              <w:top w:w="100" w:type="dxa"/>
              <w:left w:w="100" w:type="dxa"/>
              <w:bottom w:w="100" w:type="dxa"/>
              <w:right w:w="100" w:type="dxa"/>
            </w:tcMar>
          </w:tcPr>
          <w:p w:rsidR="00C323EB" w:rsidRDefault="006E2219">
            <w:pPr>
              <w:widowControl w:val="0"/>
              <w:spacing w:line="240" w:lineRule="auto"/>
              <w:rPr>
                <w:sz w:val="24"/>
                <w:szCs w:val="24"/>
              </w:rPr>
            </w:pPr>
            <w:r>
              <w:rPr>
                <w:sz w:val="24"/>
                <w:szCs w:val="24"/>
              </w:rPr>
              <w:t>Kompleksowa dostawa paliwa gazowego z sieci gazowej do obiektów OSRiR w Kaliszu</w:t>
            </w:r>
          </w:p>
        </w:tc>
      </w:tr>
      <w:tr w:rsidR="00C323EB">
        <w:tc>
          <w:tcPr>
            <w:tcW w:w="2970" w:type="dxa"/>
            <w:shd w:val="clear" w:color="auto" w:fill="auto"/>
            <w:tcMar>
              <w:top w:w="100" w:type="dxa"/>
              <w:left w:w="100" w:type="dxa"/>
              <w:bottom w:w="100" w:type="dxa"/>
              <w:right w:w="100" w:type="dxa"/>
            </w:tcMar>
          </w:tcPr>
          <w:p w:rsidR="00C323EB" w:rsidRDefault="005948F8">
            <w:pPr>
              <w:spacing w:line="240" w:lineRule="auto"/>
              <w:ind w:firstLine="141"/>
              <w:rPr>
                <w:sz w:val="24"/>
                <w:szCs w:val="24"/>
              </w:rPr>
            </w:pPr>
            <w:r>
              <w:rPr>
                <w:sz w:val="24"/>
                <w:szCs w:val="24"/>
              </w:rPr>
              <w:t>Znak sprawy</w:t>
            </w:r>
          </w:p>
        </w:tc>
        <w:tc>
          <w:tcPr>
            <w:tcW w:w="6315" w:type="dxa"/>
            <w:shd w:val="clear" w:color="auto" w:fill="auto"/>
            <w:tcMar>
              <w:top w:w="100" w:type="dxa"/>
              <w:left w:w="100" w:type="dxa"/>
              <w:bottom w:w="100" w:type="dxa"/>
              <w:right w:w="100" w:type="dxa"/>
            </w:tcMar>
          </w:tcPr>
          <w:p w:rsidR="00C323EB" w:rsidRDefault="006E2219">
            <w:pPr>
              <w:widowControl w:val="0"/>
              <w:spacing w:line="240" w:lineRule="auto"/>
              <w:rPr>
                <w:sz w:val="24"/>
                <w:szCs w:val="24"/>
              </w:rPr>
            </w:pPr>
            <w:r>
              <w:rPr>
                <w:sz w:val="24"/>
                <w:szCs w:val="24"/>
              </w:rPr>
              <w:t>OSRiR-DKP.221.7.2022</w:t>
            </w:r>
          </w:p>
        </w:tc>
      </w:tr>
      <w:tr w:rsidR="00C323EB">
        <w:tc>
          <w:tcPr>
            <w:tcW w:w="2970" w:type="dxa"/>
            <w:shd w:val="clear" w:color="auto" w:fill="auto"/>
            <w:tcMar>
              <w:top w:w="100" w:type="dxa"/>
              <w:left w:w="100" w:type="dxa"/>
              <w:bottom w:w="100" w:type="dxa"/>
              <w:right w:w="100" w:type="dxa"/>
            </w:tcMar>
          </w:tcPr>
          <w:p w:rsidR="00C323EB" w:rsidRDefault="005948F8">
            <w:pPr>
              <w:widowControl w:val="0"/>
              <w:spacing w:line="240" w:lineRule="auto"/>
              <w:ind w:firstLine="141"/>
              <w:rPr>
                <w:sz w:val="24"/>
                <w:szCs w:val="24"/>
              </w:rPr>
            </w:pPr>
            <w:r>
              <w:rPr>
                <w:sz w:val="24"/>
                <w:szCs w:val="24"/>
              </w:rPr>
              <w:t>Data pisma</w:t>
            </w:r>
          </w:p>
        </w:tc>
        <w:tc>
          <w:tcPr>
            <w:tcW w:w="6315" w:type="dxa"/>
            <w:shd w:val="clear" w:color="auto" w:fill="auto"/>
            <w:tcMar>
              <w:top w:w="100" w:type="dxa"/>
              <w:left w:w="100" w:type="dxa"/>
              <w:bottom w:w="100" w:type="dxa"/>
              <w:right w:w="100" w:type="dxa"/>
            </w:tcMar>
          </w:tcPr>
          <w:p w:rsidR="00C323EB" w:rsidRDefault="006E2219">
            <w:pPr>
              <w:widowControl w:val="0"/>
              <w:spacing w:line="240" w:lineRule="auto"/>
              <w:rPr>
                <w:sz w:val="24"/>
                <w:szCs w:val="24"/>
              </w:rPr>
            </w:pPr>
            <w:r>
              <w:rPr>
                <w:sz w:val="24"/>
                <w:szCs w:val="24"/>
              </w:rPr>
              <w:t>28.09.2022</w:t>
            </w:r>
          </w:p>
        </w:tc>
      </w:tr>
    </w:tbl>
    <w:p w:rsidR="00C323EB" w:rsidRDefault="00C323EB">
      <w:pPr>
        <w:ind w:hanging="425"/>
        <w:rPr>
          <w:sz w:val="24"/>
          <w:szCs w:val="24"/>
        </w:rPr>
      </w:pPr>
    </w:p>
    <w:p w:rsidR="00C323EB" w:rsidRDefault="005948F8">
      <w:pPr>
        <w:spacing w:after="200" w:line="360" w:lineRule="auto"/>
        <w:rPr>
          <w:sz w:val="24"/>
          <w:szCs w:val="24"/>
        </w:rPr>
      </w:pPr>
      <w:r>
        <w:rPr>
          <w:sz w:val="24"/>
          <w:szCs w:val="24"/>
        </w:rPr>
        <w:t>Działając na podstawie art. 135 ust. 6 ustawy z dnia 11 września 2019 r. – Prawo zamówień publicznych (dalej jako ustawa) Zamawiający informuje, że w wyżej wymienionym postępowaniu, w terminie, o którym mowa w art. 135 ust. 2 ustawy wpłynęły zapytania do treści SWZ. W związku z tym, poniżej Zamawiający przedstawia treść zapytań wraz z wyjaśnieniami.</w:t>
      </w:r>
    </w:p>
    <w:tbl>
      <w:tblPr>
        <w:tblStyle w:val="a0"/>
        <w:tblW w:w="927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3060"/>
        <w:gridCol w:w="3330"/>
        <w:gridCol w:w="1500"/>
      </w:tblGrid>
      <w:tr w:rsidR="00C323EB">
        <w:trPr>
          <w:tblHeader/>
        </w:trPr>
        <w:tc>
          <w:tcPr>
            <w:tcW w:w="1380" w:type="dxa"/>
            <w:shd w:val="clear" w:color="auto" w:fill="auto"/>
            <w:tcMar>
              <w:top w:w="100" w:type="dxa"/>
              <w:left w:w="100" w:type="dxa"/>
              <w:bottom w:w="100" w:type="dxa"/>
              <w:right w:w="100" w:type="dxa"/>
            </w:tcMar>
          </w:tcPr>
          <w:p w:rsidR="00C323EB" w:rsidRDefault="005948F8">
            <w:pPr>
              <w:widowControl w:val="0"/>
              <w:jc w:val="center"/>
              <w:rPr>
                <w:b/>
                <w:sz w:val="24"/>
                <w:szCs w:val="24"/>
              </w:rPr>
            </w:pPr>
            <w:r>
              <w:rPr>
                <w:b/>
                <w:sz w:val="24"/>
                <w:szCs w:val="24"/>
              </w:rPr>
              <w:t>Numer pytania</w:t>
            </w:r>
          </w:p>
        </w:tc>
        <w:tc>
          <w:tcPr>
            <w:tcW w:w="3060" w:type="dxa"/>
            <w:shd w:val="clear" w:color="auto" w:fill="auto"/>
            <w:tcMar>
              <w:top w:w="100" w:type="dxa"/>
              <w:left w:w="100" w:type="dxa"/>
              <w:bottom w:w="100" w:type="dxa"/>
              <w:right w:w="100" w:type="dxa"/>
            </w:tcMar>
          </w:tcPr>
          <w:p w:rsidR="00C323EB" w:rsidRDefault="005948F8">
            <w:pPr>
              <w:widowControl w:val="0"/>
              <w:jc w:val="center"/>
              <w:rPr>
                <w:b/>
                <w:sz w:val="24"/>
                <w:szCs w:val="24"/>
              </w:rPr>
            </w:pPr>
            <w:r>
              <w:rPr>
                <w:b/>
                <w:sz w:val="24"/>
                <w:szCs w:val="24"/>
              </w:rPr>
              <w:t>Pytanie wykonawcy</w:t>
            </w:r>
          </w:p>
        </w:tc>
        <w:tc>
          <w:tcPr>
            <w:tcW w:w="3330" w:type="dxa"/>
            <w:shd w:val="clear" w:color="auto" w:fill="auto"/>
            <w:tcMar>
              <w:top w:w="100" w:type="dxa"/>
              <w:left w:w="100" w:type="dxa"/>
              <w:bottom w:w="100" w:type="dxa"/>
              <w:right w:w="100" w:type="dxa"/>
            </w:tcMar>
          </w:tcPr>
          <w:p w:rsidR="00C323EB" w:rsidRDefault="005948F8">
            <w:pPr>
              <w:widowControl w:val="0"/>
              <w:jc w:val="center"/>
              <w:rPr>
                <w:b/>
                <w:sz w:val="24"/>
                <w:szCs w:val="24"/>
              </w:rPr>
            </w:pPr>
            <w:r>
              <w:rPr>
                <w:b/>
                <w:sz w:val="24"/>
                <w:szCs w:val="24"/>
              </w:rPr>
              <w:t>Odpowiedź Zamawiającego</w:t>
            </w:r>
          </w:p>
        </w:tc>
        <w:tc>
          <w:tcPr>
            <w:tcW w:w="1500" w:type="dxa"/>
            <w:shd w:val="clear" w:color="auto" w:fill="auto"/>
            <w:tcMar>
              <w:top w:w="100" w:type="dxa"/>
              <w:left w:w="100" w:type="dxa"/>
              <w:bottom w:w="100" w:type="dxa"/>
              <w:right w:w="100" w:type="dxa"/>
            </w:tcMar>
          </w:tcPr>
          <w:p w:rsidR="00C323EB" w:rsidRDefault="005948F8">
            <w:pPr>
              <w:widowControl w:val="0"/>
              <w:jc w:val="center"/>
              <w:rPr>
                <w:b/>
                <w:sz w:val="24"/>
                <w:szCs w:val="24"/>
              </w:rPr>
            </w:pPr>
            <w:r>
              <w:rPr>
                <w:b/>
                <w:sz w:val="24"/>
                <w:szCs w:val="24"/>
              </w:rPr>
              <w:t>Czy odpowiedź prowadzi do zmiany treści SWZ?</w:t>
            </w:r>
          </w:p>
        </w:tc>
      </w:tr>
      <w:tr w:rsidR="00C323EB">
        <w:tc>
          <w:tcPr>
            <w:tcW w:w="1380" w:type="dxa"/>
            <w:shd w:val="clear" w:color="auto" w:fill="auto"/>
            <w:tcMar>
              <w:top w:w="100" w:type="dxa"/>
              <w:left w:w="100" w:type="dxa"/>
              <w:bottom w:w="100" w:type="dxa"/>
              <w:right w:w="100" w:type="dxa"/>
            </w:tcMar>
          </w:tcPr>
          <w:p w:rsidR="00C323EB" w:rsidRDefault="005948F8">
            <w:pPr>
              <w:spacing w:after="200"/>
              <w:rPr>
                <w:sz w:val="24"/>
                <w:szCs w:val="24"/>
              </w:rPr>
            </w:pPr>
            <w:r>
              <w:rPr>
                <w:sz w:val="24"/>
                <w:szCs w:val="24"/>
              </w:rPr>
              <w:t xml:space="preserve">Pytanie 1 </w:t>
            </w:r>
          </w:p>
        </w:tc>
        <w:tc>
          <w:tcPr>
            <w:tcW w:w="3060" w:type="dxa"/>
            <w:shd w:val="clear" w:color="auto" w:fill="auto"/>
            <w:tcMar>
              <w:top w:w="100" w:type="dxa"/>
              <w:left w:w="100" w:type="dxa"/>
              <w:bottom w:w="100" w:type="dxa"/>
              <w:right w:w="100" w:type="dxa"/>
            </w:tcMar>
          </w:tcPr>
          <w:p w:rsidR="006E2219" w:rsidRPr="006E2219" w:rsidRDefault="006E2219" w:rsidP="006E2219">
            <w:pPr>
              <w:autoSpaceDE w:val="0"/>
              <w:autoSpaceDN w:val="0"/>
              <w:adjustRightInd w:val="0"/>
              <w:spacing w:line="240" w:lineRule="auto"/>
              <w:jc w:val="both"/>
              <w:rPr>
                <w:rFonts w:ascii="Times New Roman" w:eastAsia="Calibri" w:hAnsi="Times New Roman" w:cs="Times New Roman"/>
                <w:color w:val="000000"/>
                <w:sz w:val="16"/>
                <w:szCs w:val="16"/>
              </w:rPr>
            </w:pPr>
            <w:r w:rsidRPr="006E2219">
              <w:rPr>
                <w:rFonts w:ascii="Times New Roman" w:eastAsia="Calibri" w:hAnsi="Times New Roman" w:cs="Times New Roman"/>
                <w:color w:val="000000"/>
                <w:sz w:val="16"/>
                <w:szCs w:val="16"/>
              </w:rPr>
              <w:t>Czy w świetle obowiązującej od dnia 26 stycznia 2022 r. ustawy o szczególnych rozwiązaniach służących ochronie odbiorców paliw gazowych w związku z sytuacją na rynku gazu (Dz. U. z2022 r., poz. 202), Zamawiający oczekuje zastosowania ceny jednostkowej za dostarczone paliwo gazowe zgodnie z uregulowaniami zawartymi w cytowanej powyżej ustawie dla Punktów Poboru Gazu, objętych postępowaniem? Jeżeli tak, to Wykonawca informuje, iż zastosowanie ceny taryfowej możliwe jest pod warunkiem złożenia przez Zamawiającego oświadczenia, które powinno być dołączone do dokumentacji przetargowej na etapie ogłaszania przetargu.</w:t>
            </w:r>
          </w:p>
          <w:p w:rsidR="006E2219" w:rsidRPr="006E2219" w:rsidRDefault="006E2219" w:rsidP="006E2219">
            <w:pPr>
              <w:pStyle w:val="Default"/>
              <w:jc w:val="both"/>
              <w:rPr>
                <w:sz w:val="16"/>
                <w:szCs w:val="16"/>
              </w:rPr>
            </w:pPr>
            <w:r w:rsidRPr="006E2219">
              <w:rPr>
                <w:rFonts w:ascii="Times New Roman" w:hAnsi="Times New Roman" w:cs="Times New Roman"/>
                <w:sz w:val="16"/>
                <w:szCs w:val="16"/>
              </w:rPr>
              <w:t xml:space="preserve">Dodatkowo, Wykonawca prosi o wskazanie wartości procentowej dla wolumenu podlegającego ochronie. </w:t>
            </w:r>
          </w:p>
          <w:p w:rsidR="006E2219" w:rsidRPr="006E2219" w:rsidRDefault="006E2219" w:rsidP="006E2219">
            <w:pPr>
              <w:jc w:val="both"/>
              <w:rPr>
                <w:rFonts w:ascii="Times New Roman" w:hAnsi="Times New Roman" w:cs="Times New Roman"/>
                <w:sz w:val="16"/>
                <w:szCs w:val="16"/>
              </w:rPr>
            </w:pPr>
            <w:r w:rsidRPr="006E2219">
              <w:rPr>
                <w:rFonts w:ascii="Times New Roman" w:hAnsi="Times New Roman" w:cs="Times New Roman"/>
                <w:sz w:val="16"/>
                <w:szCs w:val="16"/>
              </w:rPr>
              <w:t>W przypadku, kiedy dany punkt poboru podlega częściowo ochronie taryfowej, konieczna jest modyfikacja formularza cenowego w taki sposób, aby Wykonawca mógł przedstawić odrębne stawki za paliwo gazowe dla wolumenu podlegającego ochronie oraz pozostałego, wyłączonego spod ochrony.</w:t>
            </w:r>
          </w:p>
          <w:p w:rsidR="00C323EB" w:rsidRPr="006E2219" w:rsidRDefault="00C323EB">
            <w:pPr>
              <w:widowControl w:val="0"/>
              <w:rPr>
                <w:sz w:val="16"/>
                <w:szCs w:val="16"/>
              </w:rPr>
            </w:pPr>
          </w:p>
        </w:tc>
        <w:tc>
          <w:tcPr>
            <w:tcW w:w="3330" w:type="dxa"/>
            <w:shd w:val="clear" w:color="auto" w:fill="auto"/>
            <w:tcMar>
              <w:top w:w="100" w:type="dxa"/>
              <w:left w:w="100" w:type="dxa"/>
              <w:bottom w:w="100" w:type="dxa"/>
              <w:right w:w="100" w:type="dxa"/>
            </w:tcMar>
          </w:tcPr>
          <w:p w:rsidR="00C323EB" w:rsidRPr="001004BD" w:rsidRDefault="001004BD">
            <w:pPr>
              <w:widowControl w:val="0"/>
              <w:rPr>
                <w:sz w:val="18"/>
                <w:szCs w:val="18"/>
              </w:rPr>
            </w:pPr>
            <w:r w:rsidRPr="001004BD">
              <w:rPr>
                <w:sz w:val="18"/>
                <w:szCs w:val="18"/>
              </w:rPr>
              <w:t>Na chwilę obecną Zamawiający nie ma podstaw prawnych aby skorzystać z ochrony zapewnionej przez ustawę. Według wiedzy Zamawiającego złożony został wniosek, o rozszerzenie grona instytucji uprawnionych do ochrony o ośrodki sportu.</w:t>
            </w:r>
          </w:p>
        </w:tc>
        <w:tc>
          <w:tcPr>
            <w:tcW w:w="1500" w:type="dxa"/>
            <w:shd w:val="clear" w:color="auto" w:fill="auto"/>
            <w:tcMar>
              <w:top w:w="100" w:type="dxa"/>
              <w:left w:w="100" w:type="dxa"/>
              <w:bottom w:w="100" w:type="dxa"/>
              <w:right w:w="100" w:type="dxa"/>
            </w:tcMar>
          </w:tcPr>
          <w:p w:rsidR="00C323EB" w:rsidRDefault="001004BD">
            <w:pPr>
              <w:widowControl w:val="0"/>
              <w:jc w:val="center"/>
              <w:rPr>
                <w:sz w:val="24"/>
                <w:szCs w:val="24"/>
              </w:rPr>
            </w:pPr>
            <w:r>
              <w:rPr>
                <w:sz w:val="24"/>
                <w:szCs w:val="24"/>
              </w:rPr>
              <w:t>NIE</w:t>
            </w:r>
          </w:p>
        </w:tc>
      </w:tr>
      <w:tr w:rsidR="006E2219">
        <w:tc>
          <w:tcPr>
            <w:tcW w:w="1380" w:type="dxa"/>
            <w:shd w:val="clear" w:color="auto" w:fill="auto"/>
            <w:tcMar>
              <w:top w:w="100" w:type="dxa"/>
              <w:left w:w="100" w:type="dxa"/>
              <w:bottom w:w="100" w:type="dxa"/>
              <w:right w:w="100" w:type="dxa"/>
            </w:tcMar>
          </w:tcPr>
          <w:p w:rsidR="006E2219" w:rsidRDefault="006E2219">
            <w:pPr>
              <w:spacing w:after="200"/>
              <w:rPr>
                <w:sz w:val="24"/>
                <w:szCs w:val="24"/>
              </w:rPr>
            </w:pPr>
            <w:r>
              <w:rPr>
                <w:sz w:val="24"/>
                <w:szCs w:val="24"/>
              </w:rPr>
              <w:lastRenderedPageBreak/>
              <w:t>Pytanie</w:t>
            </w:r>
            <w:r>
              <w:rPr>
                <w:sz w:val="24"/>
                <w:szCs w:val="24"/>
              </w:rPr>
              <w:t xml:space="preserve"> 2</w:t>
            </w:r>
          </w:p>
        </w:tc>
        <w:tc>
          <w:tcPr>
            <w:tcW w:w="3060" w:type="dxa"/>
            <w:shd w:val="clear" w:color="auto" w:fill="auto"/>
            <w:tcMar>
              <w:top w:w="100" w:type="dxa"/>
              <w:left w:w="100" w:type="dxa"/>
              <w:bottom w:w="100" w:type="dxa"/>
              <w:right w:w="100" w:type="dxa"/>
            </w:tcMar>
          </w:tcPr>
          <w:p w:rsidR="006E2219" w:rsidRPr="006E2219" w:rsidRDefault="006E2219" w:rsidP="006E2219">
            <w:pPr>
              <w:jc w:val="both"/>
              <w:rPr>
                <w:rFonts w:ascii="Times New Roman" w:hAnsi="Times New Roman" w:cs="Times New Roman"/>
                <w:sz w:val="16"/>
                <w:szCs w:val="16"/>
              </w:rPr>
            </w:pPr>
            <w:r w:rsidRPr="006E2219">
              <w:rPr>
                <w:rFonts w:ascii="Times New Roman" w:hAnsi="Times New Roman" w:cs="Times New Roman"/>
                <w:sz w:val="16"/>
                <w:szCs w:val="16"/>
              </w:rPr>
              <w:t xml:space="preserve">Czy Zamawiający wyraża zgodę na zawarcie umowy w formie korespondencyjnej? </w:t>
            </w:r>
          </w:p>
          <w:p w:rsidR="006E2219" w:rsidRPr="006E2219" w:rsidRDefault="006E2219">
            <w:pPr>
              <w:widowControl w:val="0"/>
              <w:rPr>
                <w:sz w:val="16"/>
                <w:szCs w:val="16"/>
              </w:rPr>
            </w:pPr>
          </w:p>
        </w:tc>
        <w:tc>
          <w:tcPr>
            <w:tcW w:w="3330" w:type="dxa"/>
            <w:shd w:val="clear" w:color="auto" w:fill="auto"/>
            <w:tcMar>
              <w:top w:w="100" w:type="dxa"/>
              <w:left w:w="100" w:type="dxa"/>
              <w:bottom w:w="100" w:type="dxa"/>
              <w:right w:w="100" w:type="dxa"/>
            </w:tcMar>
          </w:tcPr>
          <w:p w:rsidR="006E2219" w:rsidRPr="001004BD" w:rsidRDefault="001004BD">
            <w:pPr>
              <w:widowControl w:val="0"/>
              <w:rPr>
                <w:sz w:val="18"/>
                <w:szCs w:val="18"/>
              </w:rPr>
            </w:pPr>
            <w:r>
              <w:rPr>
                <w:sz w:val="18"/>
                <w:szCs w:val="18"/>
              </w:rPr>
              <w:t>Tak</w:t>
            </w:r>
          </w:p>
        </w:tc>
        <w:tc>
          <w:tcPr>
            <w:tcW w:w="1500" w:type="dxa"/>
            <w:shd w:val="clear" w:color="auto" w:fill="auto"/>
            <w:tcMar>
              <w:top w:w="100" w:type="dxa"/>
              <w:left w:w="100" w:type="dxa"/>
              <w:bottom w:w="100" w:type="dxa"/>
              <w:right w:w="100" w:type="dxa"/>
            </w:tcMar>
          </w:tcPr>
          <w:p w:rsidR="006E2219" w:rsidRDefault="001004BD">
            <w:pPr>
              <w:widowControl w:val="0"/>
              <w:rPr>
                <w:sz w:val="24"/>
                <w:szCs w:val="24"/>
              </w:rPr>
            </w:pPr>
            <w:r>
              <w:rPr>
                <w:sz w:val="24"/>
                <w:szCs w:val="24"/>
              </w:rPr>
              <w:t>NIE</w:t>
            </w:r>
          </w:p>
        </w:tc>
      </w:tr>
      <w:tr w:rsidR="006E2219">
        <w:tc>
          <w:tcPr>
            <w:tcW w:w="1380" w:type="dxa"/>
            <w:shd w:val="clear" w:color="auto" w:fill="auto"/>
            <w:tcMar>
              <w:top w:w="100" w:type="dxa"/>
              <w:left w:w="100" w:type="dxa"/>
              <w:bottom w:w="100" w:type="dxa"/>
              <w:right w:w="100" w:type="dxa"/>
            </w:tcMar>
          </w:tcPr>
          <w:p w:rsidR="006E2219" w:rsidRDefault="006E2219">
            <w:pPr>
              <w:spacing w:after="200"/>
              <w:rPr>
                <w:sz w:val="24"/>
                <w:szCs w:val="24"/>
              </w:rPr>
            </w:pPr>
            <w:r>
              <w:rPr>
                <w:sz w:val="24"/>
                <w:szCs w:val="24"/>
              </w:rPr>
              <w:t>Pytanie</w:t>
            </w:r>
            <w:r>
              <w:rPr>
                <w:sz w:val="24"/>
                <w:szCs w:val="24"/>
              </w:rPr>
              <w:t xml:space="preserve"> 3</w:t>
            </w:r>
          </w:p>
        </w:tc>
        <w:tc>
          <w:tcPr>
            <w:tcW w:w="3060" w:type="dxa"/>
            <w:shd w:val="clear" w:color="auto" w:fill="auto"/>
            <w:tcMar>
              <w:top w:w="100" w:type="dxa"/>
              <w:left w:w="100" w:type="dxa"/>
              <w:bottom w:w="100" w:type="dxa"/>
              <w:right w:w="100" w:type="dxa"/>
            </w:tcMar>
          </w:tcPr>
          <w:p w:rsidR="006E2219" w:rsidRPr="006E2219" w:rsidRDefault="006E2219" w:rsidP="006E2219">
            <w:pPr>
              <w:jc w:val="both"/>
              <w:rPr>
                <w:rFonts w:ascii="Times New Roman" w:hAnsi="Times New Roman" w:cs="Times New Roman"/>
                <w:sz w:val="16"/>
                <w:szCs w:val="16"/>
              </w:rPr>
            </w:pPr>
            <w:r w:rsidRPr="006E2219">
              <w:rPr>
                <w:rFonts w:ascii="Times New Roman" w:hAnsi="Times New Roman" w:cs="Times New Roman"/>
                <w:sz w:val="16"/>
                <w:szCs w:val="16"/>
              </w:rPr>
              <w:t xml:space="preserve">Czy Zamawiający wyraża zgodę na zawarcie umowy w formie elektronicznej z zastosowaniem kwalifikowanego podpisu elektronicznego? </w:t>
            </w:r>
          </w:p>
          <w:p w:rsidR="006E2219" w:rsidRPr="006E2219" w:rsidRDefault="006E2219">
            <w:pPr>
              <w:widowControl w:val="0"/>
              <w:rPr>
                <w:sz w:val="16"/>
                <w:szCs w:val="16"/>
              </w:rPr>
            </w:pPr>
          </w:p>
        </w:tc>
        <w:tc>
          <w:tcPr>
            <w:tcW w:w="3330" w:type="dxa"/>
            <w:shd w:val="clear" w:color="auto" w:fill="auto"/>
            <w:tcMar>
              <w:top w:w="100" w:type="dxa"/>
              <w:left w:w="100" w:type="dxa"/>
              <w:bottom w:w="100" w:type="dxa"/>
              <w:right w:w="100" w:type="dxa"/>
            </w:tcMar>
          </w:tcPr>
          <w:p w:rsidR="006E2219" w:rsidRPr="001004BD" w:rsidRDefault="001004BD">
            <w:pPr>
              <w:widowControl w:val="0"/>
              <w:rPr>
                <w:sz w:val="18"/>
                <w:szCs w:val="18"/>
              </w:rPr>
            </w:pPr>
            <w:r>
              <w:rPr>
                <w:sz w:val="18"/>
                <w:szCs w:val="18"/>
              </w:rPr>
              <w:t>Nie, umowa powinna mieć tradycyjną formę papierową</w:t>
            </w:r>
          </w:p>
        </w:tc>
        <w:tc>
          <w:tcPr>
            <w:tcW w:w="1500" w:type="dxa"/>
            <w:shd w:val="clear" w:color="auto" w:fill="auto"/>
            <w:tcMar>
              <w:top w:w="100" w:type="dxa"/>
              <w:left w:w="100" w:type="dxa"/>
              <w:bottom w:w="100" w:type="dxa"/>
              <w:right w:w="100" w:type="dxa"/>
            </w:tcMar>
          </w:tcPr>
          <w:p w:rsidR="006E2219" w:rsidRDefault="001004BD">
            <w:pPr>
              <w:widowControl w:val="0"/>
              <w:rPr>
                <w:sz w:val="24"/>
                <w:szCs w:val="24"/>
              </w:rPr>
            </w:pPr>
            <w:r>
              <w:rPr>
                <w:sz w:val="24"/>
                <w:szCs w:val="24"/>
              </w:rPr>
              <w:t>NIE</w:t>
            </w:r>
          </w:p>
        </w:tc>
      </w:tr>
      <w:tr w:rsidR="006E2219">
        <w:tc>
          <w:tcPr>
            <w:tcW w:w="1380" w:type="dxa"/>
            <w:shd w:val="clear" w:color="auto" w:fill="auto"/>
            <w:tcMar>
              <w:top w:w="100" w:type="dxa"/>
              <w:left w:w="100" w:type="dxa"/>
              <w:bottom w:w="100" w:type="dxa"/>
              <w:right w:w="100" w:type="dxa"/>
            </w:tcMar>
          </w:tcPr>
          <w:p w:rsidR="006E2219" w:rsidRDefault="006E2219">
            <w:pPr>
              <w:spacing w:after="200"/>
              <w:rPr>
                <w:sz w:val="24"/>
                <w:szCs w:val="24"/>
              </w:rPr>
            </w:pPr>
            <w:r>
              <w:rPr>
                <w:sz w:val="24"/>
                <w:szCs w:val="24"/>
              </w:rPr>
              <w:t>Pytanie</w:t>
            </w:r>
            <w:r>
              <w:rPr>
                <w:sz w:val="24"/>
                <w:szCs w:val="24"/>
              </w:rPr>
              <w:t xml:space="preserve"> 4</w:t>
            </w:r>
          </w:p>
        </w:tc>
        <w:tc>
          <w:tcPr>
            <w:tcW w:w="3060" w:type="dxa"/>
            <w:shd w:val="clear" w:color="auto" w:fill="auto"/>
            <w:tcMar>
              <w:top w:w="100" w:type="dxa"/>
              <w:left w:w="100" w:type="dxa"/>
              <w:bottom w:w="100" w:type="dxa"/>
              <w:right w:w="100" w:type="dxa"/>
            </w:tcMar>
          </w:tcPr>
          <w:p w:rsidR="006E2219" w:rsidRPr="006E2219" w:rsidRDefault="006E2219" w:rsidP="006E2219">
            <w:pPr>
              <w:jc w:val="both"/>
              <w:rPr>
                <w:rFonts w:ascii="Times New Roman" w:hAnsi="Times New Roman" w:cs="Times New Roman"/>
                <w:sz w:val="16"/>
                <w:szCs w:val="16"/>
              </w:rPr>
            </w:pPr>
            <w:r w:rsidRPr="006E2219">
              <w:rPr>
                <w:rFonts w:ascii="Times New Roman" w:hAnsi="Times New Roman" w:cs="Times New Roman"/>
                <w:sz w:val="16"/>
                <w:szCs w:val="16"/>
              </w:rPr>
              <w:t xml:space="preserve">Czy Zamawiający będzie sam kontrolował wartość umowy? Czy w przypadku jej przekroczenia, Zamawiający zapłaci za rzeczywiste zużycie paliwa gazowego? </w:t>
            </w:r>
          </w:p>
          <w:p w:rsidR="006E2219" w:rsidRPr="006E2219" w:rsidRDefault="006E2219">
            <w:pPr>
              <w:widowControl w:val="0"/>
              <w:rPr>
                <w:sz w:val="16"/>
                <w:szCs w:val="16"/>
              </w:rPr>
            </w:pPr>
          </w:p>
        </w:tc>
        <w:tc>
          <w:tcPr>
            <w:tcW w:w="3330" w:type="dxa"/>
            <w:shd w:val="clear" w:color="auto" w:fill="auto"/>
            <w:tcMar>
              <w:top w:w="100" w:type="dxa"/>
              <w:left w:w="100" w:type="dxa"/>
              <w:bottom w:w="100" w:type="dxa"/>
              <w:right w:w="100" w:type="dxa"/>
            </w:tcMar>
          </w:tcPr>
          <w:p w:rsidR="001004BD" w:rsidRDefault="001004BD">
            <w:pPr>
              <w:widowControl w:val="0"/>
              <w:rPr>
                <w:sz w:val="18"/>
                <w:szCs w:val="18"/>
              </w:rPr>
            </w:pPr>
            <w:r>
              <w:rPr>
                <w:sz w:val="18"/>
                <w:szCs w:val="18"/>
              </w:rPr>
              <w:t xml:space="preserve">Tak. </w:t>
            </w:r>
          </w:p>
          <w:p w:rsidR="006E2219" w:rsidRPr="001004BD" w:rsidRDefault="001004BD">
            <w:pPr>
              <w:widowControl w:val="0"/>
              <w:rPr>
                <w:sz w:val="18"/>
                <w:szCs w:val="18"/>
              </w:rPr>
            </w:pPr>
            <w:r>
              <w:rPr>
                <w:sz w:val="18"/>
                <w:szCs w:val="18"/>
              </w:rPr>
              <w:t xml:space="preserve">Jeśli wartość umowy przekroczy 120% </w:t>
            </w:r>
            <w:r w:rsidR="00A52AF0">
              <w:rPr>
                <w:sz w:val="18"/>
                <w:szCs w:val="18"/>
              </w:rPr>
              <w:t xml:space="preserve">ceny ofertowej ( zgodnie z punktem 6 „Projektowanych postanowień umowy w sprawie zamówienia publicznego”) </w:t>
            </w:r>
            <w:r>
              <w:rPr>
                <w:sz w:val="18"/>
                <w:szCs w:val="18"/>
              </w:rPr>
              <w:t xml:space="preserve">konieczne będzie zawarcie stosownego aneksu do umowy, </w:t>
            </w:r>
            <w:r w:rsidR="00A52AF0">
              <w:rPr>
                <w:sz w:val="18"/>
                <w:szCs w:val="18"/>
              </w:rPr>
              <w:t xml:space="preserve">a </w:t>
            </w:r>
            <w:r>
              <w:rPr>
                <w:sz w:val="18"/>
                <w:szCs w:val="18"/>
              </w:rPr>
              <w:t xml:space="preserve">w przypadku braku takiej możliwości </w:t>
            </w:r>
            <w:r w:rsidR="00A52AF0">
              <w:rPr>
                <w:sz w:val="18"/>
                <w:szCs w:val="18"/>
              </w:rPr>
              <w:t>rozwiązanie umowy.</w:t>
            </w:r>
          </w:p>
        </w:tc>
        <w:tc>
          <w:tcPr>
            <w:tcW w:w="1500" w:type="dxa"/>
            <w:shd w:val="clear" w:color="auto" w:fill="auto"/>
            <w:tcMar>
              <w:top w:w="100" w:type="dxa"/>
              <w:left w:w="100" w:type="dxa"/>
              <w:bottom w:w="100" w:type="dxa"/>
              <w:right w:w="100" w:type="dxa"/>
            </w:tcMar>
          </w:tcPr>
          <w:p w:rsidR="006E2219" w:rsidRDefault="00A52AF0">
            <w:pPr>
              <w:widowControl w:val="0"/>
              <w:rPr>
                <w:sz w:val="24"/>
                <w:szCs w:val="24"/>
              </w:rPr>
            </w:pPr>
            <w:r>
              <w:rPr>
                <w:sz w:val="24"/>
                <w:szCs w:val="24"/>
              </w:rPr>
              <w:t>NIE</w:t>
            </w:r>
          </w:p>
        </w:tc>
      </w:tr>
      <w:tr w:rsidR="006E2219">
        <w:tc>
          <w:tcPr>
            <w:tcW w:w="1380" w:type="dxa"/>
            <w:shd w:val="clear" w:color="auto" w:fill="auto"/>
            <w:tcMar>
              <w:top w:w="100" w:type="dxa"/>
              <w:left w:w="100" w:type="dxa"/>
              <w:bottom w:w="100" w:type="dxa"/>
              <w:right w:w="100" w:type="dxa"/>
            </w:tcMar>
          </w:tcPr>
          <w:p w:rsidR="006E2219" w:rsidRDefault="006E2219">
            <w:pPr>
              <w:spacing w:after="200"/>
              <w:rPr>
                <w:sz w:val="24"/>
                <w:szCs w:val="24"/>
              </w:rPr>
            </w:pPr>
            <w:r>
              <w:rPr>
                <w:sz w:val="24"/>
                <w:szCs w:val="24"/>
              </w:rPr>
              <w:t>Pytanie</w:t>
            </w:r>
            <w:r>
              <w:rPr>
                <w:sz w:val="24"/>
                <w:szCs w:val="24"/>
              </w:rPr>
              <w:t xml:space="preserve"> 5</w:t>
            </w:r>
          </w:p>
        </w:tc>
        <w:tc>
          <w:tcPr>
            <w:tcW w:w="3060" w:type="dxa"/>
            <w:shd w:val="clear" w:color="auto" w:fill="auto"/>
            <w:tcMar>
              <w:top w:w="100" w:type="dxa"/>
              <w:left w:w="100" w:type="dxa"/>
              <w:bottom w:w="100" w:type="dxa"/>
              <w:right w:w="100" w:type="dxa"/>
            </w:tcMar>
          </w:tcPr>
          <w:p w:rsidR="006E2219" w:rsidRPr="006E2219" w:rsidRDefault="006E2219" w:rsidP="006E2219">
            <w:pPr>
              <w:jc w:val="both"/>
              <w:rPr>
                <w:rFonts w:ascii="Times New Roman" w:hAnsi="Times New Roman" w:cs="Times New Roman"/>
                <w:sz w:val="16"/>
                <w:szCs w:val="16"/>
              </w:rPr>
            </w:pPr>
            <w:r w:rsidRPr="006E2219">
              <w:rPr>
                <w:rFonts w:ascii="Times New Roman" w:hAnsi="Times New Roman" w:cs="Times New Roman"/>
                <w:sz w:val="16"/>
                <w:szCs w:val="16"/>
              </w:rPr>
              <w:t xml:space="preserve">Czy Zamawiający wyraża zgodę na otrzymywanie faktur wstępnych w grupie taryfowej W-5.1 na podstawie prognozowanego zużycia paliwa gazowego oraz fakturę rozliczeniową za pobrane paliwo gazowe wystawioną na koniec okresu rozliczeniowego, której kwota zostanie pomniejszona o kwotę wynikającą w faktur wstępnych? </w:t>
            </w:r>
          </w:p>
          <w:p w:rsidR="006E2219" w:rsidRPr="006E2219" w:rsidRDefault="006E2219">
            <w:pPr>
              <w:widowControl w:val="0"/>
              <w:rPr>
                <w:sz w:val="16"/>
                <w:szCs w:val="16"/>
              </w:rPr>
            </w:pPr>
          </w:p>
        </w:tc>
        <w:tc>
          <w:tcPr>
            <w:tcW w:w="3330" w:type="dxa"/>
            <w:shd w:val="clear" w:color="auto" w:fill="auto"/>
            <w:tcMar>
              <w:top w:w="100" w:type="dxa"/>
              <w:left w:w="100" w:type="dxa"/>
              <w:bottom w:w="100" w:type="dxa"/>
              <w:right w:w="100" w:type="dxa"/>
            </w:tcMar>
          </w:tcPr>
          <w:p w:rsidR="006E2219" w:rsidRPr="001004BD" w:rsidRDefault="00A52AF0">
            <w:pPr>
              <w:widowControl w:val="0"/>
              <w:rPr>
                <w:sz w:val="18"/>
                <w:szCs w:val="18"/>
              </w:rPr>
            </w:pPr>
            <w:r>
              <w:rPr>
                <w:sz w:val="18"/>
                <w:szCs w:val="18"/>
              </w:rPr>
              <w:t>Tak</w:t>
            </w:r>
          </w:p>
        </w:tc>
        <w:tc>
          <w:tcPr>
            <w:tcW w:w="1500" w:type="dxa"/>
            <w:shd w:val="clear" w:color="auto" w:fill="auto"/>
            <w:tcMar>
              <w:top w:w="100" w:type="dxa"/>
              <w:left w:w="100" w:type="dxa"/>
              <w:bottom w:w="100" w:type="dxa"/>
              <w:right w:w="100" w:type="dxa"/>
            </w:tcMar>
          </w:tcPr>
          <w:p w:rsidR="006E2219" w:rsidRDefault="00A52AF0">
            <w:pPr>
              <w:widowControl w:val="0"/>
              <w:rPr>
                <w:sz w:val="24"/>
                <w:szCs w:val="24"/>
              </w:rPr>
            </w:pPr>
            <w:r>
              <w:rPr>
                <w:sz w:val="24"/>
                <w:szCs w:val="24"/>
              </w:rPr>
              <w:t>NIE</w:t>
            </w:r>
          </w:p>
        </w:tc>
      </w:tr>
      <w:tr w:rsidR="00C323EB">
        <w:tc>
          <w:tcPr>
            <w:tcW w:w="1380" w:type="dxa"/>
            <w:shd w:val="clear" w:color="auto" w:fill="auto"/>
            <w:tcMar>
              <w:top w:w="100" w:type="dxa"/>
              <w:left w:w="100" w:type="dxa"/>
              <w:bottom w:w="100" w:type="dxa"/>
              <w:right w:w="100" w:type="dxa"/>
            </w:tcMar>
          </w:tcPr>
          <w:p w:rsidR="00C323EB" w:rsidRDefault="006E2219">
            <w:pPr>
              <w:spacing w:after="200"/>
              <w:rPr>
                <w:sz w:val="24"/>
                <w:szCs w:val="24"/>
              </w:rPr>
            </w:pPr>
            <w:r>
              <w:rPr>
                <w:sz w:val="24"/>
                <w:szCs w:val="24"/>
              </w:rPr>
              <w:t>Pytanie 6</w:t>
            </w:r>
          </w:p>
        </w:tc>
        <w:tc>
          <w:tcPr>
            <w:tcW w:w="3060" w:type="dxa"/>
            <w:shd w:val="clear" w:color="auto" w:fill="auto"/>
            <w:tcMar>
              <w:top w:w="100" w:type="dxa"/>
              <w:left w:w="100" w:type="dxa"/>
              <w:bottom w:w="100" w:type="dxa"/>
              <w:right w:w="100" w:type="dxa"/>
            </w:tcMar>
          </w:tcPr>
          <w:p w:rsidR="006E2219" w:rsidRPr="006E2219" w:rsidRDefault="006E2219" w:rsidP="006E2219">
            <w:pPr>
              <w:jc w:val="both"/>
              <w:rPr>
                <w:rFonts w:ascii="Times New Roman" w:hAnsi="Times New Roman" w:cs="Times New Roman"/>
                <w:sz w:val="16"/>
                <w:szCs w:val="16"/>
              </w:rPr>
            </w:pPr>
            <w:r w:rsidRPr="006E2219">
              <w:rPr>
                <w:rFonts w:ascii="Times New Roman" w:hAnsi="Times New Roman" w:cs="Times New Roman"/>
                <w:sz w:val="16"/>
                <w:szCs w:val="16"/>
              </w:rPr>
              <w:t xml:space="preserve">Czy Zamawiający dopuszcza zmianę cen jednostkowych w razie niezależnych od Wykonawcy zmian przepisów prawa? W szczególności mowa o zmianie wysokości: podatku akcyzowego, podatku VAT, </w:t>
            </w:r>
            <w:r w:rsidRPr="006E2219">
              <w:rPr>
                <w:rFonts w:ascii="Times New Roman" w:hAnsi="Times New Roman" w:cs="Times New Roman"/>
                <w:b/>
                <w:bCs/>
                <w:sz w:val="16"/>
                <w:szCs w:val="16"/>
              </w:rPr>
              <w:t>stawek sieciowych (opłata sieciowa stała i zmienna) taryfy Operatora Systemu Dystrybucyjnego (OSD</w:t>
            </w:r>
            <w:r w:rsidRPr="006E2219">
              <w:rPr>
                <w:rFonts w:ascii="Times New Roman" w:hAnsi="Times New Roman" w:cs="Times New Roman"/>
                <w:sz w:val="16"/>
                <w:szCs w:val="16"/>
              </w:rPr>
              <w:t xml:space="preserve">)? </w:t>
            </w:r>
          </w:p>
          <w:p w:rsidR="00C323EB" w:rsidRPr="006E2219" w:rsidRDefault="00C323EB">
            <w:pPr>
              <w:widowControl w:val="0"/>
              <w:rPr>
                <w:sz w:val="16"/>
                <w:szCs w:val="16"/>
              </w:rPr>
            </w:pPr>
          </w:p>
        </w:tc>
        <w:tc>
          <w:tcPr>
            <w:tcW w:w="3330" w:type="dxa"/>
            <w:shd w:val="clear" w:color="auto" w:fill="auto"/>
            <w:tcMar>
              <w:top w:w="100" w:type="dxa"/>
              <w:left w:w="100" w:type="dxa"/>
              <w:bottom w:w="100" w:type="dxa"/>
              <w:right w:w="100" w:type="dxa"/>
            </w:tcMar>
          </w:tcPr>
          <w:p w:rsidR="00C323EB" w:rsidRDefault="00A52AF0">
            <w:pPr>
              <w:widowControl w:val="0"/>
              <w:rPr>
                <w:sz w:val="18"/>
                <w:szCs w:val="18"/>
              </w:rPr>
            </w:pPr>
            <w:r>
              <w:rPr>
                <w:sz w:val="18"/>
                <w:szCs w:val="18"/>
              </w:rPr>
              <w:t xml:space="preserve">Tak, o ile zamieszczą Państwo postanowienia o zasadach wprowadzenia takich zmian w umowie. </w:t>
            </w:r>
          </w:p>
          <w:p w:rsidR="00A52AF0" w:rsidRPr="001004BD" w:rsidRDefault="00A52AF0">
            <w:pPr>
              <w:widowControl w:val="0"/>
              <w:rPr>
                <w:sz w:val="18"/>
                <w:szCs w:val="18"/>
              </w:rPr>
            </w:pPr>
            <w:r>
              <w:rPr>
                <w:sz w:val="18"/>
                <w:szCs w:val="18"/>
              </w:rPr>
              <w:t xml:space="preserve">Jeśli chodzi o zmianę stawki podatku VAT Zamawiający opisał zasady w pkt. 21.6 </w:t>
            </w:r>
            <w:proofErr w:type="spellStart"/>
            <w:r>
              <w:rPr>
                <w:sz w:val="18"/>
                <w:szCs w:val="18"/>
              </w:rPr>
              <w:t>ppkt</w:t>
            </w:r>
            <w:proofErr w:type="spellEnd"/>
            <w:r>
              <w:rPr>
                <w:sz w:val="18"/>
                <w:szCs w:val="18"/>
              </w:rPr>
              <w:t xml:space="preserve"> d) SWZ oraz w pkt. 21.3. SWZ dopuszcza zmiany cen związane ze zmianami taryfy dla dystrybucji gazu.</w:t>
            </w:r>
          </w:p>
        </w:tc>
        <w:tc>
          <w:tcPr>
            <w:tcW w:w="1500" w:type="dxa"/>
            <w:shd w:val="clear" w:color="auto" w:fill="auto"/>
            <w:tcMar>
              <w:top w:w="100" w:type="dxa"/>
              <w:left w:w="100" w:type="dxa"/>
              <w:bottom w:w="100" w:type="dxa"/>
              <w:right w:w="100" w:type="dxa"/>
            </w:tcMar>
          </w:tcPr>
          <w:p w:rsidR="00C323EB" w:rsidRDefault="00A52AF0">
            <w:pPr>
              <w:widowControl w:val="0"/>
              <w:rPr>
                <w:sz w:val="24"/>
                <w:szCs w:val="24"/>
              </w:rPr>
            </w:pPr>
            <w:r>
              <w:rPr>
                <w:sz w:val="24"/>
                <w:szCs w:val="24"/>
              </w:rPr>
              <w:t>NIE</w:t>
            </w:r>
            <w:bookmarkStart w:id="0" w:name="_GoBack"/>
            <w:bookmarkEnd w:id="0"/>
          </w:p>
        </w:tc>
      </w:tr>
    </w:tbl>
    <w:p w:rsidR="00C323EB" w:rsidRDefault="00C323EB">
      <w:pPr>
        <w:spacing w:after="200"/>
        <w:rPr>
          <w:sz w:val="24"/>
          <w:szCs w:val="24"/>
        </w:rPr>
      </w:pPr>
    </w:p>
    <w:p w:rsidR="00C323EB" w:rsidRDefault="005948F8">
      <w:pPr>
        <w:spacing w:after="200" w:line="360" w:lineRule="auto"/>
        <w:rPr>
          <w:sz w:val="24"/>
          <w:szCs w:val="24"/>
        </w:rPr>
      </w:pPr>
      <w:r>
        <w:rPr>
          <w:sz w:val="24"/>
          <w:szCs w:val="24"/>
          <w:highlight w:val="white"/>
        </w:rPr>
        <w:t>Z uwagi na fakt, że Zamawiający udzielił wyjaśnień niezwłocznie, jednak nie później niż na 6 dni przed upływem terminu składania, wskazany w SWZ termin składania i otwarcia ofert nie ulega zmianie.</w:t>
      </w:r>
    </w:p>
    <w:p w:rsidR="00C323EB" w:rsidRDefault="005948F8">
      <w:pPr>
        <w:spacing w:after="200"/>
        <w:jc w:val="both"/>
        <w:rPr>
          <w:sz w:val="24"/>
          <w:szCs w:val="24"/>
        </w:rPr>
      </w:pPr>
      <w:r>
        <w:rPr>
          <w:b/>
          <w:sz w:val="24"/>
          <w:szCs w:val="24"/>
        </w:rPr>
        <w:t>Zamieszczono na stronie internetowej prowadzonego postępowania</w:t>
      </w:r>
    </w:p>
    <w:sectPr w:rsidR="00C323E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C323EB"/>
    <w:rsid w:val="001004BD"/>
    <w:rsid w:val="005948F8"/>
    <w:rsid w:val="006E2219"/>
    <w:rsid w:val="00947C68"/>
    <w:rsid w:val="00A52AF0"/>
    <w:rsid w:val="00C32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6E2219"/>
    <w:pPr>
      <w:autoSpaceDE w:val="0"/>
      <w:autoSpaceDN w:val="0"/>
      <w:adjustRightInd w:val="0"/>
      <w:spacing w:line="240" w:lineRule="auto"/>
    </w:pPr>
    <w:rPr>
      <w:rFonts w:eastAsiaTheme="minorHAnsi"/>
      <w:color w:val="000000"/>
      <w:sz w:val="24"/>
      <w:szCs w:val="24"/>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6E2219"/>
    <w:pPr>
      <w:autoSpaceDE w:val="0"/>
      <w:autoSpaceDN w:val="0"/>
      <w:adjustRightInd w:val="0"/>
      <w:spacing w:line="240" w:lineRule="auto"/>
    </w:pPr>
    <w:rPr>
      <w:rFonts w:eastAsiaTheme="minorHAnsi"/>
      <w:color w:val="000000"/>
      <w:sz w:val="24"/>
      <w:szCs w:val="24"/>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545</Words>
  <Characters>3273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Marzena</cp:lastModifiedBy>
  <cp:revision>3</cp:revision>
  <cp:lastPrinted>2022-09-27T11:41:00Z</cp:lastPrinted>
  <dcterms:created xsi:type="dcterms:W3CDTF">2022-09-27T11:10:00Z</dcterms:created>
  <dcterms:modified xsi:type="dcterms:W3CDTF">2022-09-27T12:43:00Z</dcterms:modified>
</cp:coreProperties>
</file>