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2DEF684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6661150" cy="492981"/>
                <wp:effectExtent l="0" t="0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3795420B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zamówienia, ambulans typ „C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93EF291" w14:textId="77777777" w:rsidR="007A3A40" w:rsidRDefault="007A3A40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7A3A40" w:rsidRPr="00CC3909" w:rsidRDefault="007A3A40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6pt;width:524.5pt;height:38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">
                <v:textbox>
                  <w:txbxContent>
                    <w:p w14:paraId="79D9E92B" w14:textId="3795420B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zamówienia, ambulans typ „C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93EF291" w14:textId="77777777" w:rsidR="007A3A40" w:rsidRDefault="007A3A40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7A3A40" w:rsidRPr="00CC3909" w:rsidRDefault="007A3A40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263439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263439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5A375437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563EA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chroniące miednicę i tułów oraz –</w:t>
            </w:r>
            <w:r w:rsidR="00D46293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kurtyny</w:t>
            </w:r>
            <w:r w:rsidR="00563EA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boczne chroniące głowę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CD996D" w14:textId="77777777" w:rsidR="00913E15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  <w:p w14:paraId="692C01B0" w14:textId="6A35D49A" w:rsidR="00966D7F" w:rsidRPr="005C3CB2" w:rsidRDefault="00966D7F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913E15" w:rsidRPr="00263439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263439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4C5C4F73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CF49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263439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263439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263439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263439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0A512A1F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kryterium -  do oferty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263439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05E5A0B6" w:rsidR="00857781" w:rsidRDefault="00966D7F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-  do oferty</w:t>
            </w: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263439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60F0D399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do oferty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263439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741FB1">
              <w:rPr>
                <w:rFonts w:ascii="Times New Roman" w:hAnsi="Times New Roman" w:cs="Times New Roman"/>
                <w:snapToGrid w:val="0"/>
                <w:sz w:val="20"/>
                <w:szCs w:val="20"/>
                <w:highlight w:val="green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390DA85D" w:rsidR="00857781" w:rsidRPr="00263544" w:rsidRDefault="00857781" w:rsidP="00D4629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="00D462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automatyczna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257F83EC" w:rsidR="00857781" w:rsidRPr="005C3CB2" w:rsidRDefault="00857781" w:rsidP="00D4629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</w:t>
            </w:r>
            <w:r w:rsidR="00D4629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/typ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skrzyni biegów 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47BD1F7A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+ dokument potwierdzający kryterium – do oferty</w:t>
            </w:r>
          </w:p>
        </w:tc>
      </w:tr>
      <w:tr w:rsidR="00857781" w:rsidRPr="00263439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3CC9C16F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263439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23899FBA" w:rsidR="00857781" w:rsidRPr="00A0561B" w:rsidRDefault="00857781" w:rsidP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9A254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263439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4DB41209" w:rsidR="007A3A40" w:rsidRPr="009D3A5E" w:rsidRDefault="007A3A40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2 zamówienia, ambulans typ „C”</w:t>
                                  </w:r>
                                </w:p>
                                <w:p w14:paraId="1D23629A" w14:textId="77777777" w:rsidR="007A3A40" w:rsidRPr="003815B8" w:rsidRDefault="007A3A40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7A3A40" w:rsidRDefault="007A3A40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">
                      <v:textbox>
                        <w:txbxContent>
                          <w:p w14:paraId="07CB4BB0" w14:textId="4DB41209" w:rsidR="007A3A40" w:rsidRPr="009D3A5E" w:rsidRDefault="007A3A40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2 zamówienia, ambulans typ „C”</w:t>
                            </w:r>
                          </w:p>
                          <w:p w14:paraId="1D23629A" w14:textId="77777777" w:rsidR="007A3A40" w:rsidRPr="003815B8" w:rsidRDefault="007A3A40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7A3A40" w:rsidRDefault="007A3A4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263439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263439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263439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5F1268C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  <w:r w:rsidR="00B756A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B756A7" w:rsidRPr="00B756A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755F0C4E" w14:textId="77777777" w:rsidTr="005B5C0A">
        <w:trPr>
          <w:gridAfter w:val="1"/>
          <w:wAfter w:w="1382" w:type="pct"/>
          <w:cantSplit/>
          <w:trHeight w:val="108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F935F0C" w:rsidR="00B756A7" w:rsidRPr="00B756A7" w:rsidRDefault="00857781" w:rsidP="005B5C0A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na drzwiach tylnych </w:t>
            </w:r>
            <w:r w:rsidR="00B756A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+</w:t>
            </w:r>
            <w:r w:rsidR="005B5C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B756A7" w:rsidRPr="00B756A7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>kryptonim ZRM zgodnie z Rozporządzeniem</w:t>
            </w:r>
            <w:r w:rsidR="005B5C0A">
              <w:rPr>
                <w:rFonts w:ascii="Times New Roman" w:hAnsi="Times New Roman"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263439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476260E8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263439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263439" w14:paraId="6D9F26A0" w14:textId="77777777" w:rsidTr="009A2540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443A2E" w14:textId="77777777" w:rsidR="00857781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9A254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  <w:p w14:paraId="03EA26A4" w14:textId="6047F72D" w:rsidR="00741FB1" w:rsidRPr="0082358E" w:rsidRDefault="00741FB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Mocowanie drukarki: bez możliwości jej przesuwania się, podskakiwania itp. umożliwiające jednoczenie łatwy demontaż w razie konieczności wymiany tuszu , naprawy lub wymiany drukarki.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55773F41" w:rsidR="00857781" w:rsidRDefault="009A254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263439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50B6E9AD" w:rsidR="00857781" w:rsidRPr="005D03FF" w:rsidRDefault="00857781" w:rsidP="00F14444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kabiny kierowcy i przedziału  pacjenta w trakcie jazdy ambulansu </w:t>
            </w:r>
            <w:r w:rsidR="00F14444" w:rsidRPr="00741FB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741FB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  <w:r w:rsidR="00263439">
              <w:rPr>
                <w:lang w:val="pl-PL"/>
              </w:rPr>
              <w:t xml:space="preserve"> </w:t>
            </w:r>
            <w:r w:rsidR="00263439" w:rsidRPr="00263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dopuszczone </w:t>
            </w:r>
            <w:r w:rsidR="000F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postoju </w:t>
            </w:r>
            <w:r w:rsidR="00263439" w:rsidRPr="00263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ogrzewanie</w:t>
            </w:r>
            <w:r w:rsidR="000F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3439" w:rsidRPr="002634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kabiny kierowcy  z przedziału pacjenta przez otwarte</w:t>
            </w:r>
            <w:r w:rsidR="000F62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drzwi pomiędzy kabiną kierowcy a przedziałem pacjenta.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5C0B2F" w14:textId="77777777" w:rsidR="00857781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  <w:p w14:paraId="7CB82320" w14:textId="51023247" w:rsidR="003C1139" w:rsidRPr="00B72669" w:rsidRDefault="003C1139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rozwiązanie.</w:t>
            </w:r>
          </w:p>
        </w:tc>
      </w:tr>
      <w:tr w:rsidR="00857781" w:rsidRPr="00263439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9729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EF107" w14:textId="1C2A1DFA" w:rsidR="00857781" w:rsidRDefault="00397292" w:rsidP="0039729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70CBD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yellow"/>
                <w:lang w:val="pl-PL"/>
              </w:rPr>
              <w:t>*Opisać oferowane rozwiązanie</w:t>
            </w:r>
          </w:p>
        </w:tc>
      </w:tr>
      <w:tr w:rsidR="00857781" w:rsidRPr="00263439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263439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263439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026A0E2F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  <w:r w:rsidR="00966D7F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263439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4EE6AE65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  </w:t>
            </w:r>
            <w:r w:rsidR="00966D7F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857781" w:rsidRPr="00263439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263439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26343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konieczność sygnalizacji niezapiętych pasów bezpieczeństwa w przedziale medycznym – alarm pasów bezpieczeństwa  powinien wizualnie lub akustycznie ostrzegać kierowcę – o </w:t>
            </w:r>
            <w:proofErr w:type="spellStart"/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niezpiętym</w:t>
            </w:r>
            <w:proofErr w:type="spellEnd"/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pasie na którymkolwiek </w:t>
            </w:r>
            <w:r w:rsidR="00D5584F"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zajętym </w:t>
            </w: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siedzeniu w przedziale medycznym</w:t>
            </w:r>
            <w:r w:rsidR="00FD06A5"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 czasie jazdy pojazdu</w:t>
            </w:r>
            <w:r w:rsidRPr="00284E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263439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263439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DABBE" w14:textId="77777777" w:rsidR="00857781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  <w:r w:rsidR="00966D7F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        </w:t>
            </w:r>
          </w:p>
          <w:p w14:paraId="471772D4" w14:textId="5682A1F7" w:rsidR="00966D7F" w:rsidRPr="007E2B43" w:rsidRDefault="00966D7F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+ dokument potwierdzający kryterium – do oferty</w:t>
            </w:r>
          </w:p>
        </w:tc>
      </w:tr>
      <w:tr w:rsidR="00B22F72" w:rsidRPr="00263439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263439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6FC5ACEB" w:rsidR="00857781" w:rsidRPr="00692F7A" w:rsidRDefault="00857781" w:rsidP="004301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4301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20-3</w:t>
            </w:r>
            <w:r w:rsidR="00796DD3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</w:t>
            </w:r>
            <w:r w:rsidR="00073425"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C, </w:t>
            </w:r>
            <w:r w:rsidR="00796DD3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dopuszczalny zakres regulacji od 25 – 37 st. C</w:t>
            </w:r>
            <w:r w:rsidR="00796D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1C55BC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1C55BC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 łatwo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6288A841" w:rsidR="00857781" w:rsidRPr="00D948EE" w:rsidRDefault="00D948EE" w:rsidP="00C172C5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C172C5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1C55BC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1C55B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0319ED">
        <w:trPr>
          <w:gridAfter w:val="1"/>
          <w:wAfter w:w="1382" w:type="pct"/>
          <w:cantSplit/>
          <w:trHeight w:val="134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263439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RPr="00263439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263439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526E4961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</w:t>
            </w:r>
            <w:r w:rsidR="000319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</w:t>
            </w:r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</w:t>
            </w:r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sterowanie dotykowe oraz na </w:t>
            </w:r>
            <w:proofErr w:type="spellStart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mikrowyłącznikach</w:t>
            </w:r>
            <w:proofErr w:type="spellEnd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 (</w:t>
            </w:r>
            <w:proofErr w:type="spellStart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mikrostycznikach</w:t>
            </w:r>
            <w:proofErr w:type="spellEnd"/>
            <w:r w:rsidR="00E317FB" w:rsidRPr="00A705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263439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263439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126F26D1" w:rsidR="00857781" w:rsidRPr="00606B2A" w:rsidRDefault="007A3A40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przedziału pacjenta - 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powinno być zgodne z zapisami aktualnej normy PN-EN 1789, pkt. 4.4.8 – tablica 8.  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ciepła-neutralna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Pr="00966D7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3500-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43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263439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263439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31F39F73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  <w:r w:rsidR="00BB59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263439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2E35F299" w:rsidR="00857781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na dach pojazdu – 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kabel anteny wyprowadzony w kabinie kierowcy –</w:t>
            </w:r>
            <w:r w:rsidR="00CF7EDD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w miejscu montażu GPS</w:t>
            </w:r>
            <w:r w:rsidR="00BB598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i miejscu montażu Tabletu – (stacji dokującej)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263439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606341BA" w:rsidR="00857781" w:rsidRPr="00014467" w:rsidRDefault="00857781" w:rsidP="00BB598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kabel wyprowadzony w kabinie kierowcy</w:t>
            </w:r>
            <w:r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="00C1227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1227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w miejscu montażu modułu GPS i miejscu montażu Tabletu</w:t>
            </w:r>
            <w:r w:rsidR="00BB598B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– (stacji dokującej)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263439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263439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263439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263439" w14:paraId="74C867F7" w14:textId="77777777" w:rsidTr="001C55BC">
        <w:trPr>
          <w:gridAfter w:val="1"/>
          <w:wAfter w:w="1382" w:type="pct"/>
          <w:cantSplit/>
          <w:trHeight w:val="1515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E97E7" w14:textId="77777777" w:rsidR="00A7056C" w:rsidRPr="00A7056C" w:rsidRDefault="00857781" w:rsidP="00A7056C">
            <w:pPr>
              <w:pStyle w:val="Tekstpodstawowywcity31"/>
              <w:tabs>
                <w:tab w:val="left" w:pos="34"/>
              </w:tabs>
              <w:suppressAutoHyphens/>
              <w:spacing w:after="0" w:line="27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A7056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złączyć Certyfikat zgodności z dyrektywą 93/42/EWG</w:t>
            </w:r>
            <w:r w:rsidR="00A7056C" w:rsidRPr="00A7056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/ </w:t>
            </w:r>
            <w:r w:rsidR="00A7056C" w:rsidRPr="00A7056C">
              <w:rPr>
                <w:rFonts w:ascii="Times New Roman" w:hAnsi="Times New Roman"/>
                <w:sz w:val="20"/>
                <w:szCs w:val="20"/>
                <w:lang w:val="pl-PL"/>
              </w:rPr>
              <w:t>Rozporządzeniem UE 17/745 lub równoważnym dokumentem dotyczącym wyrobów medycznych.</w:t>
            </w:r>
          </w:p>
          <w:p w14:paraId="1ED183A0" w14:textId="29764BA4" w:rsidR="00B43644" w:rsidRPr="001F5E0C" w:rsidRDefault="00B43644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263439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263439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250FED54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  <w:r w:rsid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</w:t>
            </w:r>
            <w:r w:rsidR="00A7056C" w:rsidRP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nosze monoblokowe nie dopuszczone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263439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263439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263439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1DDE72" w14:textId="213F1C36" w:rsidR="00966D7F" w:rsidRPr="00966D7F" w:rsidRDefault="00857781" w:rsidP="00966D7F">
            <w:pPr>
              <w:pStyle w:val="Tekstpodstawowywcity31"/>
              <w:tabs>
                <w:tab w:val="left" w:pos="176"/>
              </w:tabs>
              <w:suppressAutoHyphens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PN-EN 1865, lub równoważną</w:t>
            </w:r>
            <w:r w:rsidR="00966D7F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</w:t>
            </w:r>
            <w:r w:rsidR="00956824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966D7F" w:rsidRPr="00966D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</w:t>
            </w:r>
            <w:r w:rsidR="00966D7F" w:rsidRPr="00966D7F">
              <w:rPr>
                <w:rFonts w:ascii="Times New Roman" w:hAnsi="Times New Roman"/>
                <w:sz w:val="20"/>
                <w:szCs w:val="20"/>
                <w:lang w:val="pl-PL"/>
              </w:rPr>
              <w:t>Rozporządzeniem UE 17/745 lub równoważnym dokumentem dotyczącym wyrobów medycznych.</w:t>
            </w:r>
          </w:p>
          <w:p w14:paraId="347FE2A5" w14:textId="73EBADE7" w:rsidR="00857781" w:rsidRPr="00424A73" w:rsidRDefault="00B43644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0B335FFC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966D7F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/ Rozporządzeniem UE17/745 lub równoważnym dokumentem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263439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46D4C973" w:rsidR="008A17F2" w:rsidRDefault="008A17F2" w:rsidP="00A705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</w:t>
            </w:r>
            <w:r w:rsidR="003067E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A7056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A7056C" w:rsidRPr="00A7056C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263439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263439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263439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263439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dop.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054CE229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="000562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mechaniczna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b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263439" w14:paraId="105AEBEA" w14:textId="77777777" w:rsidTr="00290927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22F5F770" w:rsidR="00290927" w:rsidRPr="00290927" w:rsidRDefault="00E84DB8" w:rsidP="0029092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BC53F" w14:textId="0C0A692D" w:rsidR="00857781" w:rsidRPr="009912C0" w:rsidRDefault="00290927" w:rsidP="009B714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9B7149" w:rsidRPr="009B714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B13B0E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514ED052" w:rsidR="00857781" w:rsidRDefault="00E84DB8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4628392" w:rsidR="00857781" w:rsidRPr="00B22F72" w:rsidRDefault="00E84DB8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11F18D4B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142F48" w:rsidRPr="00263439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58028DD3" w:rsidR="00142F48" w:rsidRPr="002F1FC1" w:rsidRDefault="00142F48" w:rsidP="00290927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. zestawu noszy 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mocowani</w:t>
            </w:r>
            <w:r w:rsidR="0029092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 - lawety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263439" w14:paraId="1D32EC6F" w14:textId="77777777" w:rsidTr="00EA7137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max. 72 godz.)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263439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1C55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263439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263439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263439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w tym </w:t>
            </w:r>
            <w:proofErr w:type="spellStart"/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kpl</w:t>
            </w:r>
            <w:proofErr w:type="spellEnd"/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,. noszy z lawetą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u w:val="single"/>
                <w:lang w:val="pl-PL" w:eastAsia="pl-PL"/>
              </w:rPr>
              <w:t>naprawy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w siedzibie Zamawiającego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1C55BC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9BB9E27" w:rsidR="00142F48" w:rsidRDefault="00142F48" w:rsidP="00EA713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powyżej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4,2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  Ambulans będzie wykorzystywany do przewozu 2-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3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osobowego zespołu ratunkowego + jeden pacjent</w:t>
            </w:r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może być </w:t>
            </w:r>
            <w:proofErr w:type="spellStart"/>
            <w:r w:rsidR="000562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bariatryczny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 Kierowca z kategorią prawa jazdy „</w:t>
            </w:r>
            <w:r w:rsid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2854006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dmc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263439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263439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263439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966D7F" w14:paraId="2A4D911A" w14:textId="77777777" w:rsidTr="000562AF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B4F8A" w14:textId="2DAF396D" w:rsidR="00142F48" w:rsidRPr="00C10F3D" w:rsidRDefault="00142F48" w:rsidP="00142F48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musi,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dla potwierdzenia spełnienia warunku kryterium oceny ofert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EA713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>przesłać razem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dokumenty potwierdzające te parametry. </w:t>
            </w:r>
            <w:r w:rsidRPr="00EA71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braku ich złożenia wraz z ofertą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263439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7983E9ED" w14:textId="4857537C" w:rsidR="00BB598B" w:rsidRPr="00A7056C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tablet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ze stacją dokującą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drukarka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bez podstawy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GPS</w:t>
            </w:r>
            <w:r w:rsidR="00BB598B"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>, radiotelefony stacjonarne i przenośne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</w:t>
            </w:r>
          </w:p>
          <w:p w14:paraId="2A353BDC" w14:textId="5DC3C246" w:rsidR="00142F48" w:rsidRDefault="00142F48" w:rsidP="00BB598B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/>
              </w:rPr>
              <w:t xml:space="preserve"> </w:t>
            </w:r>
            <w:r w:rsidRPr="00A7056C">
              <w:rPr>
                <w:rFonts w:ascii="Times New Roman" w:hAnsi="Times New Roman"/>
                <w:b/>
                <w:sz w:val="20"/>
                <w:szCs w:val="20"/>
                <w:highlight w:val="green"/>
                <w:u w:val="single"/>
                <w:lang w:val="pl-PL"/>
              </w:rPr>
              <w:t>realizuje Zamawiający we własnym zakresie</w:t>
            </w:r>
            <w:r w:rsidR="003067EB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733E4CD2" w14:textId="3009BD00" w:rsid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562A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ablet : </w:t>
            </w:r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ZEBRA L10 lub GETAC G6</w:t>
            </w:r>
          </w:p>
          <w:p w14:paraId="5F76308E" w14:textId="6F424F89" w:rsid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radiotelefon ręczny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3067EB"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iCOM</w:t>
            </w:r>
            <w:proofErr w:type="spellEnd"/>
            <w:r w:rsidR="003067EB"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 xml:space="preserve"> IC-F 3262 DT</w:t>
            </w:r>
          </w:p>
          <w:p w14:paraId="3F370691" w14:textId="04339264" w:rsidR="003067EB" w:rsidRPr="000562AF" w:rsidRDefault="003067EB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067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67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radiotelefon przewoźny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>iCOM</w:t>
            </w:r>
            <w:proofErr w:type="spellEnd"/>
            <w:r w:rsidRPr="00A7056C">
              <w:rPr>
                <w:rFonts w:ascii="Times New Roman" w:hAnsi="Times New Roman"/>
                <w:bCs/>
                <w:sz w:val="20"/>
                <w:szCs w:val="20"/>
                <w:highlight w:val="green"/>
                <w:lang w:val="pl-PL"/>
              </w:rPr>
              <w:t xml:space="preserve"> IC-F 5062 D</w:t>
            </w:r>
          </w:p>
          <w:p w14:paraId="4F9C92DD" w14:textId="77777777" w:rsidR="000562AF" w:rsidRPr="000562AF" w:rsidRDefault="000562AF" w:rsidP="00BB598B">
            <w:pPr>
              <w:pStyle w:val="Akapitzlist"/>
              <w:ind w:left="537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C54D457" w14:textId="77777777" w:rsidR="00142F48" w:rsidRPr="000562AF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562A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263439" w14:paraId="45769F7F" w14:textId="77777777" w:rsidTr="00EA7137">
              <w:trPr>
                <w:trHeight w:val="675"/>
              </w:trPr>
              <w:tc>
                <w:tcPr>
                  <w:tcW w:w="426" w:type="dxa"/>
                </w:tcPr>
                <w:p w14:paraId="1D62ED4B" w14:textId="77777777" w:rsidR="00142F48" w:rsidRPr="000562AF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proofErr w:type="spellStart"/>
                  <w:r w:rsidRPr="000562AF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„Tak”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„Nie”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263439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263439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263439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263439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lastRenderedPageBreak/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EA8E3" w14:textId="77777777" w:rsidR="007A3A40" w:rsidRDefault="007A3A40">
      <w:r>
        <w:separator/>
      </w:r>
    </w:p>
  </w:endnote>
  <w:endnote w:type="continuationSeparator" w:id="0">
    <w:p w14:paraId="68ABBA14" w14:textId="77777777" w:rsidR="007A3A40" w:rsidRDefault="007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78F54" w14:textId="77777777" w:rsidR="007A3A40" w:rsidRDefault="007A3A40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B598B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37276E8" w14:textId="77777777" w:rsidR="007A3A40" w:rsidRDefault="007A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559A7" w14:textId="77777777" w:rsidR="007A3A40" w:rsidRDefault="007A3A40">
      <w:r>
        <w:separator/>
      </w:r>
    </w:p>
  </w:footnote>
  <w:footnote w:type="continuationSeparator" w:id="0">
    <w:p w14:paraId="0368159B" w14:textId="77777777" w:rsidR="007A3A40" w:rsidRDefault="007A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12A9" w14:textId="77777777" w:rsidR="007A3A40" w:rsidRDefault="007A3A40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7A3A40" w:rsidRDefault="007A3A40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60DB0254" w:rsidR="007A3A40" w:rsidRDefault="007A3A40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 xml:space="preserve">Postępowanie nr : </w:t>
    </w:r>
    <w:r w:rsidR="00563EA8">
      <w:rPr>
        <w:rFonts w:ascii="Times New Roman" w:hAnsi="Times New Roman"/>
        <w:i/>
        <w:sz w:val="20"/>
        <w:lang w:val="pl-PL"/>
      </w:rPr>
      <w:t>22</w:t>
    </w:r>
    <w:r>
      <w:rPr>
        <w:rFonts w:ascii="Times New Roman" w:hAnsi="Times New Roman"/>
        <w:i/>
        <w:sz w:val="20"/>
        <w:lang w:val="pl-PL"/>
      </w:rPr>
      <w:t>/AMB/2024</w:t>
    </w:r>
    <w:r>
      <w:rPr>
        <w:rFonts w:ascii="Times New Roman" w:hAnsi="Times New Roman"/>
        <w:i/>
        <w:sz w:val="20"/>
        <w:lang w:val="pl-PL"/>
      </w:rPr>
      <w:tab/>
      <w:t xml:space="preserve">  </w:t>
    </w:r>
    <w:r w:rsidR="00284EB6">
      <w:rPr>
        <w:rFonts w:ascii="Times New Roman" w:hAnsi="Times New Roman"/>
        <w:i/>
        <w:sz w:val="20"/>
        <w:lang w:val="pl-PL"/>
      </w:rPr>
      <w:tab/>
    </w:r>
    <w:r>
      <w:rPr>
        <w:rFonts w:ascii="Times New Roman" w:hAnsi="Times New Roman"/>
        <w:i/>
        <w:sz w:val="20"/>
        <w:lang w:val="pl-PL"/>
      </w:rPr>
      <w:t xml:space="preserve">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 w:rsidR="00284EB6">
      <w:rPr>
        <w:rFonts w:ascii="Times New Roman" w:hAnsi="Times New Roman"/>
        <w:i/>
        <w:sz w:val="20"/>
        <w:lang w:val="pl-PL"/>
      </w:rPr>
      <w:t>b</w:t>
    </w:r>
    <w:r>
      <w:rPr>
        <w:rFonts w:ascii="Times New Roman" w:hAnsi="Times New Roman"/>
        <w:i/>
        <w:sz w:val="20"/>
        <w:lang w:val="pl-PL"/>
      </w:rPr>
      <w:t xml:space="preserve">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</w:t>
    </w:r>
    <w:r w:rsidR="00284EB6">
      <w:rPr>
        <w:rFonts w:ascii="Times New Roman" w:hAnsi="Times New Roman"/>
        <w:i/>
        <w:sz w:val="20"/>
        <w:szCs w:val="20"/>
        <w:lang w:val="pl-PL"/>
      </w:rPr>
      <w:t>b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8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76899">
    <w:abstractNumId w:val="4"/>
  </w:num>
  <w:num w:numId="2" w16cid:durableId="1400791719">
    <w:abstractNumId w:val="9"/>
  </w:num>
  <w:num w:numId="3" w16cid:durableId="1597514122">
    <w:abstractNumId w:val="5"/>
  </w:num>
  <w:num w:numId="4" w16cid:durableId="898052723">
    <w:abstractNumId w:val="0"/>
  </w:num>
  <w:num w:numId="5" w16cid:durableId="1828014638">
    <w:abstractNumId w:val="2"/>
  </w:num>
  <w:num w:numId="6" w16cid:durableId="1012221671">
    <w:abstractNumId w:val="8"/>
  </w:num>
  <w:num w:numId="7" w16cid:durableId="1887137343">
    <w:abstractNumId w:val="7"/>
  </w:num>
  <w:num w:numId="8" w16cid:durableId="392778696">
    <w:abstractNumId w:val="1"/>
  </w:num>
  <w:num w:numId="9" w16cid:durableId="1229807169">
    <w:abstractNumId w:val="6"/>
  </w:num>
  <w:num w:numId="10" w16cid:durableId="1670869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19ED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62AF"/>
    <w:rsid w:val="0005719E"/>
    <w:rsid w:val="00061BC8"/>
    <w:rsid w:val="00067E7D"/>
    <w:rsid w:val="00072134"/>
    <w:rsid w:val="00073425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0F6276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55BC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0CEE"/>
    <w:rsid w:val="002311F7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3B75"/>
    <w:rsid w:val="00254273"/>
    <w:rsid w:val="00254372"/>
    <w:rsid w:val="00261BAC"/>
    <w:rsid w:val="00263439"/>
    <w:rsid w:val="00263544"/>
    <w:rsid w:val="00265B8D"/>
    <w:rsid w:val="00273190"/>
    <w:rsid w:val="002764B6"/>
    <w:rsid w:val="00284EB6"/>
    <w:rsid w:val="00290927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067EB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213A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97292"/>
    <w:rsid w:val="003B007C"/>
    <w:rsid w:val="003B02C3"/>
    <w:rsid w:val="003B0F80"/>
    <w:rsid w:val="003B132F"/>
    <w:rsid w:val="003B19ED"/>
    <w:rsid w:val="003B2B43"/>
    <w:rsid w:val="003B47B1"/>
    <w:rsid w:val="003B7B00"/>
    <w:rsid w:val="003C1139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01C9"/>
    <w:rsid w:val="00434B34"/>
    <w:rsid w:val="00435246"/>
    <w:rsid w:val="00444B9D"/>
    <w:rsid w:val="00444E03"/>
    <w:rsid w:val="00450209"/>
    <w:rsid w:val="004508E2"/>
    <w:rsid w:val="0045280C"/>
    <w:rsid w:val="004569D7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3EA8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34F1"/>
    <w:rsid w:val="005A441B"/>
    <w:rsid w:val="005A490D"/>
    <w:rsid w:val="005A72CD"/>
    <w:rsid w:val="005B0F74"/>
    <w:rsid w:val="005B5C0A"/>
    <w:rsid w:val="005C23B3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1FB1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96DD3"/>
    <w:rsid w:val="007A1E55"/>
    <w:rsid w:val="007A241F"/>
    <w:rsid w:val="007A3A40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16D96"/>
    <w:rsid w:val="00822E14"/>
    <w:rsid w:val="0082358E"/>
    <w:rsid w:val="00823764"/>
    <w:rsid w:val="00823FAA"/>
    <w:rsid w:val="0082769D"/>
    <w:rsid w:val="00830096"/>
    <w:rsid w:val="0083243B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14E9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66D7F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A2540"/>
    <w:rsid w:val="009B080A"/>
    <w:rsid w:val="009B3637"/>
    <w:rsid w:val="009B7149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056C"/>
    <w:rsid w:val="00A715EE"/>
    <w:rsid w:val="00A73297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0F57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756A7"/>
    <w:rsid w:val="00B86247"/>
    <w:rsid w:val="00B87552"/>
    <w:rsid w:val="00B90ED3"/>
    <w:rsid w:val="00BA20D4"/>
    <w:rsid w:val="00BA2E2E"/>
    <w:rsid w:val="00BA558C"/>
    <w:rsid w:val="00BB06CB"/>
    <w:rsid w:val="00BB598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0F3D"/>
    <w:rsid w:val="00C1227B"/>
    <w:rsid w:val="00C13F18"/>
    <w:rsid w:val="00C14890"/>
    <w:rsid w:val="00C16212"/>
    <w:rsid w:val="00C172C5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0CBD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96A"/>
    <w:rsid w:val="00CF4FE9"/>
    <w:rsid w:val="00CF623D"/>
    <w:rsid w:val="00CF6410"/>
    <w:rsid w:val="00CF689F"/>
    <w:rsid w:val="00CF7EDD"/>
    <w:rsid w:val="00D00567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293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86D0D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84DB8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A7137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14444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456B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Tekstpodstawowywcity31">
    <w:name w:val="Tekst podstawowy wcięty 31"/>
    <w:basedOn w:val="Normalny"/>
    <w:rsid w:val="00966D7F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EA52-CBC3-4E6A-94FC-80C9B063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5148</Words>
  <Characters>33367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5</cp:revision>
  <cp:lastPrinted>2023-09-05T11:57:00Z</cp:lastPrinted>
  <dcterms:created xsi:type="dcterms:W3CDTF">2024-07-26T05:53:00Z</dcterms:created>
  <dcterms:modified xsi:type="dcterms:W3CDTF">2024-08-01T11:31:00Z</dcterms:modified>
</cp:coreProperties>
</file>