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AC" w:rsidRPr="00DD5AB8" w:rsidRDefault="00DD5AB8" w:rsidP="00DD5AB8">
      <w:pPr>
        <w:spacing w:after="0"/>
        <w:jc w:val="right"/>
        <w:rPr>
          <w:rFonts w:cs="Calibri"/>
          <w:b/>
        </w:rPr>
      </w:pPr>
      <w:r w:rsidRPr="00DD5AB8">
        <w:rPr>
          <w:rFonts w:cs="Calibri"/>
          <w:b/>
        </w:rPr>
        <w:t xml:space="preserve">Załącznik nr 1 </w:t>
      </w:r>
    </w:p>
    <w:p w:rsidR="00DD5AB8" w:rsidRPr="00DD5AB8" w:rsidRDefault="00DD5AB8" w:rsidP="00DD5AB8">
      <w:pPr>
        <w:spacing w:after="0"/>
        <w:jc w:val="right"/>
        <w:rPr>
          <w:rFonts w:cs="Calibri"/>
          <w:b/>
        </w:rPr>
      </w:pPr>
      <w:r w:rsidRPr="00DD5AB8">
        <w:rPr>
          <w:rFonts w:cs="Calibri"/>
          <w:b/>
        </w:rPr>
        <w:t>Postępowanie nr 306/WEI/BSU/2024</w:t>
      </w:r>
    </w:p>
    <w:p w:rsidR="00DD5AB8" w:rsidRPr="00DD5AB8" w:rsidRDefault="00DD5AB8" w:rsidP="00DD5AB8">
      <w:pPr>
        <w:spacing w:after="0"/>
        <w:jc w:val="right"/>
        <w:rPr>
          <w:rFonts w:cs="Calibri"/>
          <w:b/>
        </w:rPr>
      </w:pPr>
      <w:r w:rsidRPr="00DD5AB8">
        <w:rPr>
          <w:rFonts w:cs="Calibri"/>
          <w:b/>
        </w:rPr>
        <w:t xml:space="preserve">Przeglądy agregatów wody lodowej i </w:t>
      </w:r>
      <w:proofErr w:type="spellStart"/>
      <w:r w:rsidRPr="00DD5AB8">
        <w:rPr>
          <w:rFonts w:cs="Calibri"/>
          <w:b/>
        </w:rPr>
        <w:t>klimakonwektorów</w:t>
      </w:r>
      <w:proofErr w:type="spellEnd"/>
      <w:r w:rsidRPr="00DD5AB8">
        <w:rPr>
          <w:rFonts w:cs="Calibri"/>
          <w:b/>
        </w:rPr>
        <w:t xml:space="preserve"> </w:t>
      </w:r>
      <w:proofErr w:type="spellStart"/>
      <w:r w:rsidRPr="00DD5AB8">
        <w:rPr>
          <w:rFonts w:cs="Calibri"/>
          <w:b/>
        </w:rPr>
        <w:t>Aermec</w:t>
      </w:r>
      <w:proofErr w:type="spellEnd"/>
      <w:r w:rsidRPr="00DD5AB8">
        <w:rPr>
          <w:rFonts w:cs="Calibri"/>
          <w:b/>
        </w:rPr>
        <w:t xml:space="preserve"> 2024-2025r.</w:t>
      </w:r>
    </w:p>
    <w:p w:rsidR="009577B2" w:rsidRPr="00DD5AB8" w:rsidRDefault="009577B2" w:rsidP="00DD5AB8">
      <w:pPr>
        <w:jc w:val="right"/>
        <w:rPr>
          <w:b/>
        </w:rPr>
      </w:pPr>
    </w:p>
    <w:p w:rsidR="00C24BAC" w:rsidRDefault="00DD5AB8">
      <w:r>
        <w:t xml:space="preserve">I </w:t>
      </w:r>
      <w:r w:rsidR="00752906">
        <w:t>Zakres</w:t>
      </w:r>
      <w:r w:rsidR="00C37F18">
        <w:t xml:space="preserve"> czynności serwisowych dla agregatów wody lodowej: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Sprawdzenie ogólnego stanu urządzenia,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Sprawdzenie stanu zabrudzenia skraplacza, i jego ewentualnych uszkodzeń,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 xml:space="preserve">Sprawdzenie historii alarmów i pracy urządzenia, 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Sprawdzenie układu sterowania i ewentualna konfiguracja systemu,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Sprawdzenie połączeń elektrycznych w obwodzie zasilania, sterownia i kontroli,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Sprawdzenie szczelności instalacji chłodniczej metodą pośrednią,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Sprawdzenie zawilgocenia czynnika,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Pomiar parametrów pracy instalacji chłodniczej (temperatury, ciśnienia), i ewentualna regulacja,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Sprawdzenie poziomu oleju w sprężarkach (wyposażonych we wzierniki),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Sprawdzenie poprawności działania grzałek karterów sprężarek,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Pomiar natężenia prądu sprężarek, wentylatorów, pomp obiegowych (jeżeli wyposażono),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Sprawdzenie pracy agregatu przy pełnym obciążeniu sprężarek (jeżeli możliwe),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Sprawdzenie poprawności działania czujnika przepływu,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Sprawdzenie poprawności działania regulatora prędkości obrotowej wentylatorów (jeżeli wyposażono).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 xml:space="preserve">Wykonanie innych czynności zawartych w dokumentacji </w:t>
      </w:r>
      <w:proofErr w:type="spellStart"/>
      <w:r w:rsidRPr="00752906">
        <w:t>techniczno</w:t>
      </w:r>
      <w:proofErr w:type="spellEnd"/>
      <w:r w:rsidRPr="00752906">
        <w:t xml:space="preserve"> – ruchowej urządzenia</w:t>
      </w:r>
    </w:p>
    <w:p w:rsidR="00752906" w:rsidRPr="00752906" w:rsidRDefault="00752906" w:rsidP="00752906">
      <w:pPr>
        <w:numPr>
          <w:ilvl w:val="0"/>
          <w:numId w:val="2"/>
        </w:numPr>
        <w:spacing w:after="0" w:line="276" w:lineRule="auto"/>
      </w:pPr>
      <w:r w:rsidRPr="00752906">
        <w:t>Dokonanie wpisu w kartę urządzenia zgodnie z ustawą z dn. 15.05.2015 o substancjach zubożających warstwę ozonową oraz o niektórych fluorowanych gazach cieplarnianych</w:t>
      </w:r>
    </w:p>
    <w:p w:rsidR="00752906" w:rsidRPr="00752906" w:rsidRDefault="00752906" w:rsidP="00752906">
      <w:pPr>
        <w:spacing w:after="0"/>
        <w:ind w:left="644"/>
      </w:pPr>
    </w:p>
    <w:p w:rsidR="00752906" w:rsidRPr="00752906" w:rsidRDefault="00752906" w:rsidP="00752906">
      <w:pPr>
        <w:spacing w:after="0"/>
        <w:ind w:left="720"/>
        <w:jc w:val="both"/>
      </w:pPr>
    </w:p>
    <w:p w:rsidR="00752906" w:rsidRPr="00752906" w:rsidRDefault="00DD5AB8" w:rsidP="00752906">
      <w:r>
        <w:t xml:space="preserve">II </w:t>
      </w:r>
      <w:r w:rsidR="00752906" w:rsidRPr="00752906">
        <w:t xml:space="preserve">Zakres wykonywanych czynności serwisowych dla </w:t>
      </w:r>
      <w:proofErr w:type="spellStart"/>
      <w:r w:rsidR="00752906" w:rsidRPr="00752906">
        <w:t>klimakonwektora</w:t>
      </w:r>
      <w:proofErr w:type="spellEnd"/>
    </w:p>
    <w:p w:rsidR="00752906" w:rsidRPr="00752906" w:rsidRDefault="00752906" w:rsidP="00752906">
      <w:pPr>
        <w:numPr>
          <w:ilvl w:val="0"/>
          <w:numId w:val="3"/>
        </w:numPr>
        <w:spacing w:after="0" w:line="276" w:lineRule="auto"/>
      </w:pPr>
      <w:r w:rsidRPr="00752906">
        <w:t>Sprawdzenie ogólnego stanu urządzenia,</w:t>
      </w:r>
    </w:p>
    <w:p w:rsidR="00752906" w:rsidRPr="00752906" w:rsidRDefault="00752906" w:rsidP="00752906">
      <w:pPr>
        <w:numPr>
          <w:ilvl w:val="0"/>
          <w:numId w:val="3"/>
        </w:numPr>
        <w:spacing w:after="0" w:line="276" w:lineRule="auto"/>
      </w:pPr>
      <w:r w:rsidRPr="00752906">
        <w:t>Sprawdzenie połączeń elektrycznych w obwodzie zasilania, sterownia i kontroli,</w:t>
      </w:r>
    </w:p>
    <w:p w:rsidR="00752906" w:rsidRPr="00752906" w:rsidRDefault="00752906" w:rsidP="00752906">
      <w:pPr>
        <w:numPr>
          <w:ilvl w:val="0"/>
          <w:numId w:val="3"/>
        </w:numPr>
        <w:spacing w:after="0" w:line="276" w:lineRule="auto"/>
      </w:pPr>
      <w:r w:rsidRPr="00752906">
        <w:t>Sprawdzenie działania układu automatyki</w:t>
      </w:r>
    </w:p>
    <w:p w:rsidR="00752906" w:rsidRPr="00752906" w:rsidRDefault="00752906" w:rsidP="00752906">
      <w:pPr>
        <w:numPr>
          <w:ilvl w:val="0"/>
          <w:numId w:val="3"/>
        </w:numPr>
        <w:spacing w:after="0" w:line="276" w:lineRule="auto"/>
      </w:pPr>
      <w:r w:rsidRPr="00752906">
        <w:t>Sprawdzenie stanu filtra powietrza i ewentualne czyszczenie (jeżeli możliwe),</w:t>
      </w:r>
    </w:p>
    <w:p w:rsidR="00752906" w:rsidRPr="00752906" w:rsidRDefault="00752906" w:rsidP="00752906">
      <w:pPr>
        <w:numPr>
          <w:ilvl w:val="0"/>
          <w:numId w:val="3"/>
        </w:numPr>
        <w:spacing w:after="0" w:line="276" w:lineRule="auto"/>
      </w:pPr>
      <w:r w:rsidRPr="00752906">
        <w:t>Sprawdzenie drożności odpływu kondensatu,</w:t>
      </w:r>
    </w:p>
    <w:p w:rsidR="00752906" w:rsidRPr="00752906" w:rsidRDefault="00752906" w:rsidP="00752906">
      <w:pPr>
        <w:numPr>
          <w:ilvl w:val="0"/>
          <w:numId w:val="3"/>
        </w:numPr>
        <w:spacing w:after="0" w:line="276" w:lineRule="auto"/>
      </w:pPr>
      <w:r w:rsidRPr="00752906">
        <w:t>Dezynfekcja parownika.</w:t>
      </w:r>
    </w:p>
    <w:p w:rsidR="00DD5AB8" w:rsidRDefault="00DD5AB8" w:rsidP="00DD5AB8">
      <w:pPr>
        <w:rPr>
          <w:rFonts w:ascii="Calibri" w:hAnsi="Calibri" w:cs="Calibri"/>
        </w:rPr>
      </w:pPr>
    </w:p>
    <w:p w:rsidR="00DD5AB8" w:rsidRPr="00DD5AB8" w:rsidRDefault="00DD5AB8" w:rsidP="00DD5AB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III </w:t>
      </w:r>
      <w:r w:rsidRPr="00DD5AB8">
        <w:rPr>
          <w:rFonts w:ascii="Calibri" w:hAnsi="Calibri" w:cs="Calibri"/>
        </w:rPr>
        <w:t xml:space="preserve">Harmonogram przeglądów serwisowych dla przeglądów agregatów wody lodowej i </w:t>
      </w:r>
      <w:r>
        <w:rPr>
          <w:rFonts w:ascii="Calibri" w:hAnsi="Calibri" w:cs="Calibri"/>
        </w:rPr>
        <w:t xml:space="preserve">  </w:t>
      </w:r>
      <w:proofErr w:type="spellStart"/>
      <w:r w:rsidRPr="00DD5AB8">
        <w:rPr>
          <w:rFonts w:ascii="Calibri" w:hAnsi="Calibri" w:cs="Calibri"/>
        </w:rPr>
        <w:t>klimakonwektorów</w:t>
      </w:r>
      <w:proofErr w:type="spellEnd"/>
      <w:r w:rsidRPr="00DD5AB8">
        <w:rPr>
          <w:rFonts w:ascii="Calibri" w:hAnsi="Calibri" w:cs="Calibri"/>
        </w:rPr>
        <w:t xml:space="preserve"> </w:t>
      </w:r>
      <w:proofErr w:type="spellStart"/>
      <w:r w:rsidRPr="00DD5AB8">
        <w:rPr>
          <w:rFonts w:ascii="Calibri" w:hAnsi="Calibri" w:cs="Calibri"/>
        </w:rPr>
        <w:t>Aermec</w:t>
      </w:r>
      <w:proofErr w:type="spellEnd"/>
      <w:r w:rsidRPr="00DD5AB8">
        <w:rPr>
          <w:rFonts w:ascii="Calibri" w:hAnsi="Calibri" w:cs="Calibri"/>
        </w:rPr>
        <w:t xml:space="preserve"> 2024-2025r</w:t>
      </w:r>
      <w:r>
        <w:rPr>
          <w:rFonts w:ascii="Calibri" w:hAnsi="Calibri" w:cs="Calibri"/>
          <w:b/>
        </w:rPr>
        <w:t>.</w:t>
      </w:r>
    </w:p>
    <w:tbl>
      <w:tblPr>
        <w:tblStyle w:val="Tabela-Siatka"/>
        <w:tblW w:w="5669" w:type="dxa"/>
        <w:tblInd w:w="3" w:type="dxa"/>
        <w:tblLook w:val="04A0" w:firstRow="1" w:lastRow="0" w:firstColumn="1" w:lastColumn="0" w:noHBand="0" w:noVBand="1"/>
      </w:tblPr>
      <w:tblGrid>
        <w:gridCol w:w="3366"/>
        <w:gridCol w:w="2303"/>
      </w:tblGrid>
      <w:tr w:rsidR="00DD5AB8" w:rsidRPr="00907BA6" w:rsidTr="00982870">
        <w:tc>
          <w:tcPr>
            <w:tcW w:w="3366" w:type="dxa"/>
          </w:tcPr>
          <w:p w:rsidR="00DD5AB8" w:rsidRPr="00907BA6" w:rsidRDefault="00DD5AB8" w:rsidP="00982870">
            <w:pPr>
              <w:rPr>
                <w:rFonts w:ascii="Calibri" w:hAnsi="Calibri" w:cs="Calibri"/>
                <w:sz w:val="22"/>
                <w:szCs w:val="22"/>
              </w:rPr>
            </w:pPr>
            <w:r w:rsidRPr="00907BA6">
              <w:rPr>
                <w:rFonts w:ascii="Calibri" w:hAnsi="Calibri" w:cs="Calibri"/>
                <w:sz w:val="22"/>
                <w:szCs w:val="22"/>
              </w:rPr>
              <w:t xml:space="preserve">1 przegląd </w:t>
            </w:r>
          </w:p>
        </w:tc>
        <w:tc>
          <w:tcPr>
            <w:tcW w:w="2303" w:type="dxa"/>
          </w:tcPr>
          <w:p w:rsidR="00DD5AB8" w:rsidRPr="00907BA6" w:rsidRDefault="00DD5AB8" w:rsidP="00982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01.05-30.05.2024</w:t>
            </w:r>
          </w:p>
        </w:tc>
      </w:tr>
      <w:tr w:rsidR="00DD5AB8" w:rsidRPr="00907BA6" w:rsidTr="00982870">
        <w:tc>
          <w:tcPr>
            <w:tcW w:w="3366" w:type="dxa"/>
          </w:tcPr>
          <w:p w:rsidR="00DD5AB8" w:rsidRPr="00907BA6" w:rsidRDefault="00DD5AB8" w:rsidP="00982870">
            <w:pPr>
              <w:rPr>
                <w:rFonts w:ascii="Calibri" w:hAnsi="Calibri" w:cs="Calibri"/>
                <w:sz w:val="22"/>
                <w:szCs w:val="22"/>
              </w:rPr>
            </w:pPr>
            <w:r w:rsidRPr="00907BA6">
              <w:rPr>
                <w:rFonts w:ascii="Calibri" w:hAnsi="Calibri" w:cs="Calibri"/>
                <w:sz w:val="22"/>
                <w:szCs w:val="22"/>
              </w:rPr>
              <w:t xml:space="preserve">2 przegląd </w:t>
            </w:r>
          </w:p>
        </w:tc>
        <w:tc>
          <w:tcPr>
            <w:tcW w:w="2303" w:type="dxa"/>
          </w:tcPr>
          <w:p w:rsidR="00DD5AB8" w:rsidRPr="00907BA6" w:rsidRDefault="00DD5AB8" w:rsidP="00982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01.10-30.10.2024</w:t>
            </w:r>
          </w:p>
        </w:tc>
        <w:bookmarkStart w:id="0" w:name="_GoBack"/>
        <w:bookmarkEnd w:id="0"/>
      </w:tr>
      <w:tr w:rsidR="00DD5AB8" w:rsidRPr="00907BA6" w:rsidTr="00982870">
        <w:tc>
          <w:tcPr>
            <w:tcW w:w="3366" w:type="dxa"/>
          </w:tcPr>
          <w:p w:rsidR="00DD5AB8" w:rsidRPr="00907BA6" w:rsidRDefault="00DD5AB8" w:rsidP="00982870">
            <w:pPr>
              <w:rPr>
                <w:rFonts w:ascii="Calibri" w:hAnsi="Calibri" w:cs="Calibri"/>
                <w:sz w:val="22"/>
                <w:szCs w:val="22"/>
              </w:rPr>
            </w:pPr>
            <w:r w:rsidRPr="00907BA6">
              <w:rPr>
                <w:rFonts w:ascii="Calibri" w:hAnsi="Calibri" w:cs="Calibri"/>
                <w:sz w:val="22"/>
                <w:szCs w:val="22"/>
              </w:rPr>
              <w:t xml:space="preserve">3 przegląd </w:t>
            </w:r>
          </w:p>
        </w:tc>
        <w:tc>
          <w:tcPr>
            <w:tcW w:w="2303" w:type="dxa"/>
          </w:tcPr>
          <w:p w:rsidR="00DD5AB8" w:rsidRPr="00907BA6" w:rsidRDefault="00DD5AB8" w:rsidP="00982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01.04-30.04.2025</w:t>
            </w:r>
          </w:p>
        </w:tc>
      </w:tr>
      <w:tr w:rsidR="00DD5AB8" w:rsidRPr="00907BA6" w:rsidTr="00982870">
        <w:tc>
          <w:tcPr>
            <w:tcW w:w="3366" w:type="dxa"/>
          </w:tcPr>
          <w:p w:rsidR="00DD5AB8" w:rsidRPr="00907BA6" w:rsidRDefault="00DD5AB8" w:rsidP="00982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907BA6">
              <w:rPr>
                <w:rFonts w:ascii="Calibri" w:hAnsi="Calibri" w:cs="Calibri"/>
                <w:sz w:val="22"/>
                <w:szCs w:val="22"/>
              </w:rPr>
              <w:t xml:space="preserve"> przegląd </w:t>
            </w:r>
          </w:p>
        </w:tc>
        <w:tc>
          <w:tcPr>
            <w:tcW w:w="2303" w:type="dxa"/>
          </w:tcPr>
          <w:p w:rsidR="00DD5AB8" w:rsidRPr="00907BA6" w:rsidRDefault="00DD5AB8" w:rsidP="00982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01.10-30.10.2025</w:t>
            </w:r>
          </w:p>
        </w:tc>
      </w:tr>
    </w:tbl>
    <w:p w:rsidR="00DD5AB8" w:rsidRPr="00907BA6" w:rsidRDefault="00DD5AB8" w:rsidP="00DD5AB8">
      <w:pPr>
        <w:ind w:left="4248" w:firstLine="708"/>
      </w:pPr>
    </w:p>
    <w:p w:rsidR="00C37F18" w:rsidRDefault="00C37F18" w:rsidP="00752906">
      <w:pPr>
        <w:pStyle w:val="Akapitzlist"/>
        <w:spacing w:after="210" w:line="210" w:lineRule="atLeast"/>
        <w:ind w:left="0"/>
        <w:jc w:val="both"/>
      </w:pPr>
    </w:p>
    <w:sectPr w:rsidR="00C37F18" w:rsidSect="00C24BA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9A" w:rsidRDefault="00C1769A" w:rsidP="00696E00">
      <w:pPr>
        <w:spacing w:after="0" w:line="240" w:lineRule="auto"/>
      </w:pPr>
      <w:r>
        <w:separator/>
      </w:r>
    </w:p>
  </w:endnote>
  <w:endnote w:type="continuationSeparator" w:id="0">
    <w:p w:rsidR="00C1769A" w:rsidRDefault="00C1769A" w:rsidP="0069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00" w:rsidRDefault="00696E00">
    <w:pPr>
      <w:pStyle w:val="Stopka"/>
    </w:pPr>
    <w:r w:rsidRPr="008D2CAF">
      <w:rPr>
        <w:noProof/>
        <w:lang w:eastAsia="pl-PL"/>
      </w:rPr>
      <w:drawing>
        <wp:inline distT="0" distB="0" distL="0" distR="0" wp14:anchorId="635B9A70" wp14:editId="4C40ACA7">
          <wp:extent cx="540004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9A" w:rsidRDefault="00C1769A" w:rsidP="00696E00">
      <w:pPr>
        <w:spacing w:after="0" w:line="240" w:lineRule="auto"/>
      </w:pPr>
      <w:r>
        <w:separator/>
      </w:r>
    </w:p>
  </w:footnote>
  <w:footnote w:type="continuationSeparator" w:id="0">
    <w:p w:rsidR="00C1769A" w:rsidRDefault="00C1769A" w:rsidP="0069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6834"/>
    <w:multiLevelType w:val="hybridMultilevel"/>
    <w:tmpl w:val="4B9E74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1E345CD"/>
    <w:multiLevelType w:val="hybridMultilevel"/>
    <w:tmpl w:val="F950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77244"/>
    <w:multiLevelType w:val="hybridMultilevel"/>
    <w:tmpl w:val="4B9E74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AC"/>
    <w:rsid w:val="00475E1F"/>
    <w:rsid w:val="00696E00"/>
    <w:rsid w:val="00752906"/>
    <w:rsid w:val="00942A9A"/>
    <w:rsid w:val="009577B2"/>
    <w:rsid w:val="00AB1A41"/>
    <w:rsid w:val="00C1769A"/>
    <w:rsid w:val="00C24BAC"/>
    <w:rsid w:val="00C37184"/>
    <w:rsid w:val="00C37F18"/>
    <w:rsid w:val="00DD5AB8"/>
    <w:rsid w:val="00E1615C"/>
    <w:rsid w:val="00E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B3E1"/>
  <w15:docId w15:val="{8B4D8CE4-0FB4-489D-87C4-1576CEF3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B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F18"/>
    <w:pPr>
      <w:spacing w:after="200" w:line="27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rsid w:val="00DD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E00"/>
  </w:style>
  <w:style w:type="paragraph" w:styleId="Stopka">
    <w:name w:val="footer"/>
    <w:basedOn w:val="Normalny"/>
    <w:link w:val="StopkaZnak"/>
    <w:uiPriority w:val="99"/>
    <w:unhideWhenUsed/>
    <w:rsid w:val="0069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Drożdżowski</dc:creator>
  <cp:lastModifiedBy>Justyna Tomaszewska</cp:lastModifiedBy>
  <cp:revision>3</cp:revision>
  <dcterms:created xsi:type="dcterms:W3CDTF">2024-04-30T08:23:00Z</dcterms:created>
  <dcterms:modified xsi:type="dcterms:W3CDTF">2024-04-30T08:23:00Z</dcterms:modified>
</cp:coreProperties>
</file>