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6A" w:rsidRPr="00794E31" w:rsidRDefault="00944C6A" w:rsidP="00944C6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</w:pP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Numer sprawy: 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06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/P/20</w:t>
      </w:r>
      <w:r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>20</w:t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 </w:t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</w:r>
      <w:r w:rsidR="001A0A5A" w:rsidRPr="00794E31">
        <w:rPr>
          <w:rFonts w:ascii="Times New Roman" w:eastAsia="Times New Roman" w:hAnsi="Times New Roman" w:cs="Times New Roman"/>
          <w:b/>
          <w:sz w:val="24"/>
          <w:szCs w:val="24"/>
          <w:lang w:val="pl-PL" w:eastAsia="x-none"/>
        </w:rPr>
        <w:tab/>
        <w:t xml:space="preserve">Załącznik B </w:t>
      </w:r>
    </w:p>
    <w:p w:rsidR="000D79A1" w:rsidRPr="00794E31" w:rsidRDefault="000D79A1" w:rsidP="000D79A1">
      <w:pPr>
        <w:widowControl w:val="0"/>
        <w:suppressAutoHyphens/>
        <w:autoSpaceDN w:val="0"/>
        <w:spacing w:line="254" w:lineRule="exact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</w:pPr>
      <w:r w:rsidRPr="00794E31">
        <w:rPr>
          <w:rFonts w:ascii="Times New Roman" w:eastAsia="Arial" w:hAnsi="Times New Roman" w:cs="Times New Roman"/>
          <w:b/>
          <w:kern w:val="3"/>
          <w:sz w:val="24"/>
          <w:szCs w:val="24"/>
          <w:u w:val="single"/>
          <w:lang w:val="pl-PL"/>
        </w:rPr>
        <w:t>FORMULARZ CENOWY</w:t>
      </w:r>
    </w:p>
    <w:p w:rsidR="00944C6A" w:rsidRPr="00794E31" w:rsidRDefault="00944C6A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  <w:lang w:val="pl-PL"/>
        </w:rPr>
      </w:pPr>
    </w:p>
    <w:p w:rsidR="00836C92" w:rsidRPr="00794E31" w:rsidRDefault="007D69E5" w:rsidP="00836C92">
      <w:pPr>
        <w:pStyle w:val="Style"/>
        <w:spacing w:line="254" w:lineRule="exact"/>
        <w:textAlignment w:val="baseline"/>
        <w:rPr>
          <w:rFonts w:eastAsia="Arial"/>
          <w:b/>
        </w:rPr>
      </w:pPr>
      <w:r w:rsidRPr="00794E31">
        <w:rPr>
          <w:rFonts w:eastAsia="Arial"/>
          <w:b/>
        </w:rPr>
        <w:t>Harmonogram d</w:t>
      </w:r>
      <w:r w:rsidR="00836C92" w:rsidRPr="00794E31">
        <w:rPr>
          <w:rFonts w:eastAsia="Arial"/>
          <w:b/>
        </w:rPr>
        <w:t>ziałań i obowiązków Wykonawcy ( CRO )</w:t>
      </w:r>
    </w:p>
    <w:p w:rsidR="00D9001F" w:rsidRPr="00794E31" w:rsidRDefault="00D9001F" w:rsidP="0018366D">
      <w:pPr>
        <w:pStyle w:val="Style"/>
        <w:spacing w:line="254" w:lineRule="exact"/>
        <w:textAlignment w:val="baseline"/>
        <w:rPr>
          <w:rFonts w:eastAsia="Arial"/>
          <w:b/>
          <w:u w:val="single"/>
        </w:rPr>
      </w:pPr>
    </w:p>
    <w:tbl>
      <w:tblPr>
        <w:tblStyle w:val="Tabela-Siatka"/>
        <w:tblW w:w="15609" w:type="dxa"/>
        <w:tblLook w:val="04A0" w:firstRow="1" w:lastRow="0" w:firstColumn="1" w:lastColumn="0" w:noHBand="0" w:noVBand="1"/>
      </w:tblPr>
      <w:tblGrid>
        <w:gridCol w:w="2829"/>
        <w:gridCol w:w="7812"/>
        <w:gridCol w:w="1830"/>
        <w:gridCol w:w="1558"/>
        <w:gridCol w:w="1580"/>
      </w:tblGrid>
      <w:tr w:rsidR="00794E31" w:rsidRPr="00794E31" w:rsidTr="00FB17E3">
        <w:tc>
          <w:tcPr>
            <w:tcW w:w="2829" w:type="dxa"/>
          </w:tcPr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bookmarkStart w:id="0" w:name="_Hlk35436903"/>
            <w:r w:rsidRPr="00794E31">
              <w:rPr>
                <w:rFonts w:eastAsia="Arial"/>
                <w:b/>
                <w:u w:val="single"/>
              </w:rPr>
              <w:t>Etap</w:t>
            </w:r>
          </w:p>
        </w:tc>
        <w:tc>
          <w:tcPr>
            <w:tcW w:w="7812" w:type="dxa"/>
          </w:tcPr>
          <w:p w:rsidR="000944C6" w:rsidRPr="00794E31" w:rsidRDefault="000944C6" w:rsidP="00FB17E3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Obowiązki w ramach etapu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Wynagrodzenie netto [PLN]</w:t>
            </w:r>
          </w:p>
        </w:tc>
        <w:tc>
          <w:tcPr>
            <w:tcW w:w="1558" w:type="dxa"/>
          </w:tcPr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Termin rozpoczęcia zadania</w:t>
            </w:r>
          </w:p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</w:rPr>
              <w:t>(okres od podpisania umowy)</w:t>
            </w:r>
          </w:p>
        </w:tc>
        <w:tc>
          <w:tcPr>
            <w:tcW w:w="1580" w:type="dxa"/>
          </w:tcPr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  <w:b/>
                <w:u w:val="single"/>
              </w:rPr>
              <w:t>Termin realizacji zadania</w:t>
            </w:r>
          </w:p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</w:rPr>
              <w:t>(w dniach/</w:t>
            </w:r>
          </w:p>
          <w:p w:rsidR="000944C6" w:rsidRPr="00794E31" w:rsidRDefault="000944C6" w:rsidP="00FB17E3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</w:rPr>
              <w:t>tygodniach)</w:t>
            </w:r>
          </w:p>
        </w:tc>
      </w:tr>
      <w:tr w:rsidR="00794E31" w:rsidRPr="00794E31" w:rsidTr="000944C6">
        <w:tc>
          <w:tcPr>
            <w:tcW w:w="2829" w:type="dxa"/>
          </w:tcPr>
          <w:p w:rsidR="00A740F1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1</w:t>
            </w:r>
          </w:p>
        </w:tc>
        <w:tc>
          <w:tcPr>
            <w:tcW w:w="7812" w:type="dxa"/>
          </w:tcPr>
          <w:p w:rsidR="00A740F1" w:rsidRPr="00794E31" w:rsidRDefault="000944C6" w:rsidP="000944C6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740F1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3</w:t>
            </w:r>
          </w:p>
        </w:tc>
        <w:tc>
          <w:tcPr>
            <w:tcW w:w="1558" w:type="dxa"/>
          </w:tcPr>
          <w:p w:rsidR="000944C6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4</w:t>
            </w:r>
          </w:p>
        </w:tc>
        <w:tc>
          <w:tcPr>
            <w:tcW w:w="1580" w:type="dxa"/>
          </w:tcPr>
          <w:p w:rsidR="000944C6" w:rsidRPr="00794E31" w:rsidRDefault="000944C6" w:rsidP="000944C6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5</w:t>
            </w:r>
          </w:p>
        </w:tc>
      </w:tr>
      <w:bookmarkEnd w:id="0"/>
      <w:tr w:rsidR="00794E31" w:rsidRPr="00794E31" w:rsidTr="000944C6">
        <w:trPr>
          <w:trHeight w:val="816"/>
        </w:trPr>
        <w:tc>
          <w:tcPr>
            <w:tcW w:w="2829" w:type="dxa"/>
            <w:vMerge w:val="restart"/>
          </w:tcPr>
          <w:p w:rsidR="00A740F1" w:rsidRPr="00794E31" w:rsidRDefault="00A740F1" w:rsidP="00573E5B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  <w:rPr>
                <w:rFonts w:eastAsia="Arial"/>
                <w:b/>
                <w:w w:val="72"/>
              </w:rPr>
            </w:pPr>
            <w:r w:rsidRPr="00794E31">
              <w:rPr>
                <w:rFonts w:eastAsia="Arial"/>
                <w:b/>
              </w:rPr>
              <w:t>Etap I - Opracowanie protokołu badania klinicznego z udziałem pacjentów ze zdiagnozowanym rakiem stercza w ramach badania klinicznego fazy I/II dotyczącej bezpieczeństwa i wstępnej oceny skuteczności innowacyjnej diagnostyki.</w:t>
            </w:r>
          </w:p>
          <w:p w:rsidR="00A740F1" w:rsidRPr="00794E31" w:rsidRDefault="00A740F1" w:rsidP="00573E5B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  <w:rPr>
                <w:rFonts w:eastAsia="Arial"/>
              </w:rPr>
            </w:pPr>
          </w:p>
          <w:p w:rsidR="00A740F1" w:rsidRPr="00794E31" w:rsidRDefault="00A740F1" w:rsidP="00573E5B">
            <w:pPr>
              <w:pStyle w:val="Style"/>
              <w:tabs>
                <w:tab w:val="left" w:pos="1"/>
                <w:tab w:val="left" w:pos="1094"/>
              </w:tabs>
              <w:spacing w:line="269" w:lineRule="exact"/>
              <w:textAlignment w:val="baseline"/>
            </w:pPr>
            <w:r w:rsidRPr="00794E31">
              <w:rPr>
                <w:rFonts w:eastAsia="Arial"/>
              </w:rPr>
              <w:t>Zakres zadań w ramach Etapu I będzie obejmował przygotowanie protokołu badania oraz dokumentów opisujących procedury protokołu, tj.:</w:t>
            </w:r>
          </w:p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before="9" w:line="269" w:lineRule="exact"/>
              <w:ind w:right="283"/>
              <w:textAlignment w:val="baseline"/>
            </w:pPr>
            <w:r w:rsidRPr="00794E31">
              <w:rPr>
                <w:rFonts w:eastAsia="Arial"/>
              </w:rPr>
              <w:t xml:space="preserve">Przygotowanie finalnej wersji protokołu badania i jego walidację na podstawie wzoru dostarczonego przez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oraz kolejnych jego wersji związanych z poprawkami podczas trwania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dokumentu streszczenia protokołu w języku polskim i angielskim;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planu analizy statystycznej;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procedury centralnej oceny badań radiologicznych w badaniu klinicznym;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before="13" w:line="269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planu zapewnienia bezpieczeństwa i monitoringu medycznego obejmujący dokonywanie bieżącej oceny bezpieczeństwa i skuteczności stosowania produktu badanego realizowany przez wykwalifikowany personel medyczny;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Akapitzlist"/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Współpraca ze Sponsorem (POLATOM) w celu przygotowania niezbędnej dokumentacji produktu leczniczego m.in. IMPD/charakterystyki produktu leczniczego, finalnej wersji broszury badacza, wzoru etykiety, dokumentacji zarządzania lekiem) polegająca na konsultacjach, opiniowaniu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3"/>
              </w:numPr>
              <w:spacing w:before="13" w:line="269" w:lineRule="exact"/>
              <w:textAlignment w:val="baseline"/>
            </w:pPr>
            <w:r w:rsidRPr="00794E31">
              <w:rPr>
                <w:rFonts w:eastAsia="Arial"/>
              </w:rPr>
              <w:t xml:space="preserve">Przygotowanie planu zapewniania jakości badania określającego systematyczną, niezależną kontrolę procedur i dokumentacji badania prowadzoną przez CRO i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lub osoby przez nie wskazane na każdym etapie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D637F6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Przygotowanie wystąpienia o </w:t>
            </w:r>
            <w:proofErr w:type="spellStart"/>
            <w:r w:rsidRPr="00794E31">
              <w:rPr>
                <w:rFonts w:eastAsia="Arial"/>
              </w:rPr>
              <w:t>Scientic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Advice</w:t>
            </w:r>
            <w:proofErr w:type="spellEnd"/>
            <w:r w:rsidRPr="00794E31">
              <w:rPr>
                <w:rFonts w:eastAsia="Arial"/>
              </w:rPr>
              <w:t xml:space="preserve"> do </w:t>
            </w:r>
            <w:proofErr w:type="spellStart"/>
            <w:r w:rsidRPr="00794E31">
              <w:rPr>
                <w:rFonts w:eastAsia="Arial"/>
              </w:rPr>
              <w:t>Europejskej</w:t>
            </w:r>
            <w:proofErr w:type="spellEnd"/>
            <w:r w:rsidRPr="00794E31">
              <w:rPr>
                <w:rFonts w:eastAsia="Arial"/>
              </w:rPr>
              <w:t xml:space="preserve"> Agencji Leków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D637F6" w:rsidP="007D69E5">
            <w:pPr>
              <w:pStyle w:val="Style"/>
              <w:numPr>
                <w:ilvl w:val="0"/>
                <w:numId w:val="3"/>
              </w:numPr>
              <w:spacing w:line="278" w:lineRule="exact"/>
              <w:textAlignment w:val="baseline"/>
            </w:pPr>
            <w:r w:rsidRPr="00794E31">
              <w:rPr>
                <w:rFonts w:eastAsia="Arial"/>
              </w:rPr>
              <w:t xml:space="preserve">niezależny audyt GMP/GLP u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przed zwolnieniem serii badanego produktu leczniczego do badania klinicznego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rPr>
          <w:trHeight w:val="820"/>
        </w:trPr>
        <w:tc>
          <w:tcPr>
            <w:tcW w:w="2829" w:type="dxa"/>
            <w:vMerge w:val="restart"/>
          </w:tcPr>
          <w:p w:rsidR="00A740F1" w:rsidRPr="00794E31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  <w:b/>
              </w:rPr>
            </w:pPr>
            <w:bookmarkStart w:id="1" w:name="_Hlk35436691"/>
            <w:r w:rsidRPr="00794E31">
              <w:rPr>
                <w:rFonts w:eastAsia="Arial"/>
                <w:b/>
              </w:rPr>
              <w:t xml:space="preserve">Etap </w:t>
            </w:r>
            <w:proofErr w:type="spellStart"/>
            <w:r w:rsidRPr="00794E31">
              <w:rPr>
                <w:rFonts w:eastAsia="Arial"/>
                <w:b/>
              </w:rPr>
              <w:t>IIa</w:t>
            </w:r>
            <w:proofErr w:type="spellEnd"/>
            <w:r w:rsidRPr="00794E31">
              <w:rPr>
                <w:rFonts w:eastAsia="Arial"/>
                <w:b/>
              </w:rPr>
              <w:t xml:space="preserve"> </w:t>
            </w:r>
            <w:r w:rsidRPr="00794E31">
              <w:rPr>
                <w:rFonts w:eastAsia="Arial"/>
              </w:rPr>
              <w:t xml:space="preserve">- </w:t>
            </w:r>
            <w:r w:rsidRPr="00794E31">
              <w:rPr>
                <w:rFonts w:eastAsia="Arial"/>
                <w:b/>
              </w:rPr>
              <w:t>Inicjowanie badań fazy klinicznej I/II nad skutecznością i bezpieczeństwem stosowania substancji farmaceutycznej PSMA-T4 po wyznakowaniu tej substancji technetem-99m w diagnostyce u chorych z potwierdzonym rakiem stercza.</w:t>
            </w:r>
          </w:p>
          <w:p w:rsidR="00A740F1" w:rsidRPr="00794E31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</w:rPr>
            </w:pPr>
          </w:p>
          <w:p w:rsidR="00A740F1" w:rsidRPr="00794E31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</w:pPr>
            <w:r w:rsidRPr="00794E31">
              <w:rPr>
                <w:rFonts w:eastAsia="Arial"/>
              </w:rPr>
              <w:t xml:space="preserve">Zakres zadań w ramach Etapu </w:t>
            </w:r>
            <w:proofErr w:type="spellStart"/>
            <w:r w:rsidRPr="00794E31">
              <w:rPr>
                <w:rFonts w:eastAsia="Arial"/>
              </w:rPr>
              <w:t>IIa</w:t>
            </w:r>
            <w:proofErr w:type="spellEnd"/>
            <w:r w:rsidRPr="00794E31">
              <w:rPr>
                <w:rFonts w:eastAsia="Arial"/>
              </w:rPr>
              <w:t xml:space="preserve"> będzie obejmował przeprowadzenie procedur niezbędnych do rozpoczęcia badania klinicznego, tj.:</w:t>
            </w:r>
          </w:p>
          <w:p w:rsidR="00A740F1" w:rsidRPr="00794E31" w:rsidRDefault="00A740F1" w:rsidP="00573E5B">
            <w:pPr>
              <w:pStyle w:val="Style"/>
              <w:tabs>
                <w:tab w:val="left" w:pos="0"/>
              </w:tabs>
              <w:spacing w:line="269" w:lineRule="exact"/>
              <w:textAlignment w:val="baseline"/>
              <w:rPr>
                <w:rFonts w:eastAsia="Arial"/>
                <w:b/>
              </w:rPr>
            </w:pPr>
          </w:p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13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Rejestracja i administrowanie badaniem w centralnej bazie badań klinicznych dla państw członkowskich UE - </w:t>
            </w:r>
            <w:proofErr w:type="spellStart"/>
            <w:r w:rsidRPr="00794E31">
              <w:rPr>
                <w:rFonts w:eastAsia="Arial"/>
              </w:rPr>
              <w:t>European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Drug</w:t>
            </w:r>
            <w:proofErr w:type="spellEnd"/>
            <w:r w:rsidRPr="00794E31">
              <w:rPr>
                <w:rFonts w:eastAsia="Arial"/>
              </w:rPr>
              <w:t xml:space="preserve"> Regulatory </w:t>
            </w:r>
            <w:proofErr w:type="spellStart"/>
            <w:r w:rsidRPr="00794E31">
              <w:rPr>
                <w:rFonts w:eastAsia="Arial"/>
              </w:rPr>
              <w:t>Authorities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Clinical</w:t>
            </w:r>
            <w:proofErr w:type="spellEnd"/>
            <w:r w:rsidRPr="00794E31">
              <w:rPr>
                <w:rFonts w:eastAsia="Arial"/>
              </w:rPr>
              <w:t xml:space="preserve"> </w:t>
            </w:r>
            <w:proofErr w:type="spellStart"/>
            <w:r w:rsidRPr="00794E31">
              <w:rPr>
                <w:rFonts w:eastAsia="Arial"/>
              </w:rPr>
              <w:t>Trials</w:t>
            </w:r>
            <w:proofErr w:type="spellEnd"/>
            <w:r w:rsidRPr="00794E31">
              <w:rPr>
                <w:rFonts w:eastAsia="Arial"/>
              </w:rPr>
              <w:t xml:space="preserve">. Uzyskanie numeru </w:t>
            </w:r>
            <w:proofErr w:type="spellStart"/>
            <w:r w:rsidRPr="00794E31">
              <w:rPr>
                <w:rFonts w:eastAsia="Arial"/>
              </w:rPr>
              <w:t>EudraCT</w:t>
            </w:r>
            <w:proofErr w:type="spellEnd"/>
            <w:r w:rsidRPr="00794E31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78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b)</w:t>
            </w:r>
            <w:r w:rsidRPr="00794E31">
              <w:rPr>
                <w:rFonts w:eastAsia="Arial"/>
              </w:rPr>
              <w:tab/>
              <w:t xml:space="preserve">Zapewnienie systemu monitorowania działań niepożądanych - przygotowanie niezbędnych procedur/instrukcji także tych, które powinny być wdrożone u </w:t>
            </w:r>
            <w:r w:rsidR="000D79A1" w:rsidRPr="00794E31">
              <w:rPr>
                <w:rFonts w:eastAsia="Arial"/>
              </w:rPr>
              <w:t>Sponsora (POLATOM)</w:t>
            </w:r>
            <w:r w:rsidRPr="00794E31">
              <w:rPr>
                <w:rFonts w:eastAsia="Arial"/>
              </w:rPr>
              <w:t xml:space="preserve">, rejestracja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w bazie </w:t>
            </w:r>
            <w:proofErr w:type="spellStart"/>
            <w:r w:rsidRPr="00794E31">
              <w:rPr>
                <w:rFonts w:eastAsia="Arial"/>
              </w:rPr>
              <w:t>Pharamacovigilance</w:t>
            </w:r>
            <w:proofErr w:type="spellEnd"/>
            <w:r w:rsidRPr="00794E31">
              <w:rPr>
                <w:rFonts w:eastAsia="Arial"/>
              </w:rPr>
              <w:t xml:space="preserve">, przeprowadzenie szkoleń dla pracowników </w:t>
            </w:r>
            <w:r w:rsidR="000D79A1" w:rsidRPr="00794E31">
              <w:rPr>
                <w:rFonts w:eastAsia="Arial"/>
              </w:rPr>
              <w:t>Sponsora (POLATOM)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13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wzoru formularza zgody na udział pacjenta w badaniu, formularza zgody na przetwarzanie danych osobowych uczestnika badania klinicznego, zgody na przekazanie i przechowywanie (bankowanie) próbek biologicznych pacjenta związanych z jego udziałem w badaniu oraz wzorów wszystkich innych dokumentów przekazywanych pacjentowi (dzienniczki, inne dokumenty informacyjne);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wzoru karty obserwacji klinicznej oraz instrukcji dotyczących jej wypełniania na podstawie protokołu łącznie ze strukturą danych (zaprogramowanie </w:t>
            </w:r>
            <w:proofErr w:type="spellStart"/>
            <w:r w:rsidRPr="00794E31">
              <w:rPr>
                <w:rFonts w:eastAsia="Arial"/>
              </w:rPr>
              <w:t>eCRF</w:t>
            </w:r>
            <w:proofErr w:type="spellEnd"/>
            <w:r w:rsidRPr="00794E31">
              <w:rPr>
                <w:rFonts w:eastAsia="Arial"/>
              </w:rPr>
              <w:t xml:space="preserve">, przygotowanie instrukcji dla użytkowników </w:t>
            </w:r>
            <w:proofErr w:type="spellStart"/>
            <w:r w:rsidRPr="00794E31">
              <w:rPr>
                <w:rFonts w:eastAsia="Arial"/>
              </w:rPr>
              <w:t>eCRF</w:t>
            </w:r>
            <w:proofErr w:type="spellEnd"/>
            <w:r w:rsidRPr="00794E31">
              <w:rPr>
                <w:rFonts w:eastAsia="Arial"/>
              </w:rPr>
              <w:t xml:space="preserve">).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Zakontraktowanie systemu IWRS/IVRS dla nadawania kodu identyfikacyjnego pacjenta oraz gospodarki lekiem badanym, raportowania i monitorowania poważnych zdarzeń niepożądanych,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Przygotowanie/skompletowanie wszystkich wymaganych dokumentów do zgłoszenia do Komisji Bioetycznej (KE) oraz złożenie tych  dokumentów do właściwej KE w imieniu </w:t>
            </w:r>
            <w:r w:rsidR="000D79A1"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Sponsora (POLATOM)</w:t>
            </w: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Przygotowanie/skompletowanie wszystkich wymaganych dokumentów do rejestracji badania w Urzędzie Rejestracji Produktów Leczniczych, Wyrobów Medycznych i Produktów Biobójczych (URPL) oraz złożenie tych dokumentów do URPL w imieniu </w:t>
            </w:r>
            <w:r w:rsidR="000D79A1"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Sponsora (POLATOM)</w:t>
            </w: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Wskazanie i rekomendacja, koordynatora badania, ośrodka badawczego, głównych badaczy oraz badaczy radiologów, którzy będą odpowiedzialni </w:t>
            </w:r>
            <w:r w:rsidRPr="00794E31">
              <w:rPr>
                <w:rFonts w:eastAsia="Arial"/>
              </w:rPr>
              <w:lastRenderedPageBreak/>
              <w:t xml:space="preserve">za ocenę zdjęć radiologicznych według protokołu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line="264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Przygotowanie projektów umów, pomoc przy negocjacjach i zawieraniu umów z ośrodkami, badaczami, lokalnymi laboratoriami i innymi jednostkami/organizacjami niezbędnymi do realizacji badania. Wymagana jest finalizacja przynajmniej 1 Umowy z ośrodkiem i 1 z badaczem - w tym krajowym koordynatorem badania, która umożliwi złożenie dokumentacji badania do URPL i KE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projektów umów, negocjacje i pomoc przy zawieraniu umów z badaczami i/lub ośrodkami odpowiedzialnymi za ocenę badań radiologicznych;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FB79FA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Bieżące administrowanie realizacją Projektu obejmujące wszystkie działania niezbędne do utrzymania Projektu w określonych terminach, jakości i budżecie;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Przygotowanie i przesyłanie miesięcznego sprawozdania do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z przebiegu realizowanych procesów w </w:t>
            </w:r>
            <w:r w:rsidR="008D4356" w:rsidRPr="00794E31">
              <w:rPr>
                <w:rFonts w:eastAsia="Arial"/>
              </w:rPr>
              <w:t>Badaniach</w:t>
            </w:r>
            <w:r w:rsidRPr="00794E31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Bieżąca komunikacja z URPL oraz Komisjami Bioetycznymi;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numPr>
                <w:ilvl w:val="0"/>
                <w:numId w:val="4"/>
              </w:numPr>
              <w:tabs>
                <w:tab w:val="left" w:pos="851"/>
              </w:tabs>
              <w:spacing w:before="4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Opracowanie niezbędnych dokumentów do prowadzenia Projektu oraz planów Projektu obejmujących m.in.: </w:t>
            </w:r>
          </w:p>
          <w:p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Projektu; </w:t>
            </w:r>
          </w:p>
          <w:p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monitoringu; </w:t>
            </w:r>
          </w:p>
          <w:p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bookmarkStart w:id="2" w:name="_GoBack"/>
            <w:bookmarkEnd w:id="2"/>
            <w:r w:rsidRPr="00794E31">
              <w:rPr>
                <w:rFonts w:eastAsia="Arial"/>
              </w:rPr>
              <w:t xml:space="preserve">plan komunikacji w Projekcie; </w:t>
            </w:r>
          </w:p>
          <w:p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utrzymywania i bieżącej archiwizacji dokumentacji Projektu; </w:t>
            </w:r>
          </w:p>
          <w:p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line="283" w:lineRule="exact"/>
              <w:textAlignment w:val="baseline"/>
            </w:pPr>
            <w:r w:rsidRPr="00794E31">
              <w:rPr>
                <w:rFonts w:eastAsia="Arial"/>
              </w:rPr>
              <w:t xml:space="preserve">plan rekrutacji pacjentów (obejmujący 50 pacjentów włączonych do badania </w:t>
            </w:r>
            <w:r w:rsidRPr="00794E31">
              <w:t xml:space="preserve">i </w:t>
            </w:r>
            <w:r w:rsidRPr="00794E31">
              <w:rPr>
                <w:rFonts w:eastAsia="Arial"/>
              </w:rPr>
              <w:t xml:space="preserve">podlegających analizie danych oraz przewidywany odsetek niepowodzenia włączenia pacjentów do badania na etapie wizyty przesiewowej); </w:t>
            </w:r>
          </w:p>
          <w:p w:rsidR="00FB79FA" w:rsidRPr="00794E31" w:rsidRDefault="00FB79FA" w:rsidP="00FB79FA">
            <w:pPr>
              <w:pStyle w:val="Style"/>
              <w:numPr>
                <w:ilvl w:val="0"/>
                <w:numId w:val="5"/>
              </w:numPr>
              <w:spacing w:before="13" w:line="269" w:lineRule="exact"/>
              <w:textAlignment w:val="baseline"/>
            </w:pPr>
            <w:r w:rsidRPr="00794E31">
              <w:rPr>
                <w:rFonts w:eastAsia="Arial"/>
              </w:rPr>
              <w:t xml:space="preserve">plan monitoringu danych badania obejmujący przygotowanie oraz administrowanie bazą danych (dokument powinien obejmować konfigurację systemu, instalację i użytkowanie, powinien opisywać walidację systemu i testowanie funkcjonalności, zbieranie i postępowanie z danymi, utrzymanie systemu, środki bezpieczeństwa systemu, kontrolę zmian, tworzenie kopii zapasowych danych, odzyskiwanie danych, planowanie awaryjne i likwidację).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rPr>
          <w:trHeight w:val="1074"/>
        </w:trPr>
        <w:tc>
          <w:tcPr>
            <w:tcW w:w="2829" w:type="dxa"/>
            <w:vMerge w:val="restart"/>
          </w:tcPr>
          <w:p w:rsidR="00FB79FA" w:rsidRPr="00794E31" w:rsidRDefault="00FB79FA" w:rsidP="00FB79FA">
            <w:pPr>
              <w:pStyle w:val="Style"/>
              <w:spacing w:before="273" w:line="269" w:lineRule="exact"/>
              <w:textAlignment w:val="baseline"/>
            </w:pPr>
            <w:r w:rsidRPr="00794E31">
              <w:rPr>
                <w:rFonts w:eastAsia="Arial"/>
                <w:b/>
              </w:rPr>
              <w:lastRenderedPageBreak/>
              <w:t xml:space="preserve">Etap </w:t>
            </w:r>
            <w:proofErr w:type="spellStart"/>
            <w:r w:rsidRPr="00794E31">
              <w:rPr>
                <w:rFonts w:eastAsia="Arial"/>
                <w:b/>
              </w:rPr>
              <w:t>IIb</w:t>
            </w:r>
            <w:proofErr w:type="spellEnd"/>
            <w:r w:rsidRPr="00794E31">
              <w:rPr>
                <w:rFonts w:eastAsia="Arial"/>
                <w:b/>
              </w:rPr>
              <w:t xml:space="preserve"> - Inicjowanie badań fazy klinicznej I/II nad skutecznością i bezpieczeństwem stosowania substancji farmaceutycznej PSMA-T4 po wyznakowaniu tej substancji technetem-99m w diagnostyce u chorych z potwierdzonym rakiem stercza.</w:t>
            </w:r>
          </w:p>
          <w:p w:rsidR="00FB79FA" w:rsidRPr="00794E31" w:rsidRDefault="00FB79FA" w:rsidP="00FB79FA">
            <w:pPr>
              <w:pStyle w:val="Style"/>
              <w:spacing w:before="273" w:line="269" w:lineRule="exact"/>
              <w:textAlignment w:val="baseline"/>
            </w:pPr>
            <w:r w:rsidRPr="00794E31">
              <w:rPr>
                <w:rFonts w:eastAsia="Arial"/>
              </w:rPr>
              <w:t xml:space="preserve">Zakres zadań w ramach Etapu </w:t>
            </w:r>
            <w:proofErr w:type="spellStart"/>
            <w:r w:rsidRPr="00794E31">
              <w:rPr>
                <w:w w:val="76"/>
              </w:rPr>
              <w:t>II</w:t>
            </w:r>
            <w:r w:rsidRPr="00794E31">
              <w:rPr>
                <w:rFonts w:eastAsia="Arial"/>
              </w:rPr>
              <w:t>b</w:t>
            </w:r>
            <w:proofErr w:type="spellEnd"/>
            <w:r w:rsidRPr="00794E31">
              <w:rPr>
                <w:rFonts w:eastAsia="Arial"/>
              </w:rPr>
              <w:t xml:space="preserve"> będzie obejmował przeprowadzenie procedur niezbędnych do rozpoczęcia badania klinicznego po złożeniu niezbędnej dokumentacji do URPL i KE, tj.: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numPr>
                <w:ilvl w:val="0"/>
                <w:numId w:val="6"/>
              </w:numPr>
              <w:spacing w:before="13"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Organizacja spotkania badaczy </w:t>
            </w:r>
            <w:r w:rsidRPr="00794E31">
              <w:rPr>
                <w:rFonts w:eastAsia="Arial"/>
                <w:b/>
              </w:rPr>
              <w:t>(instruktaż merytoryczny tj. przekazanie instrukcji dotyczących badania monitorom badań klinicznych, badaczom i innym niezbędnym do realizacji badania osobom)</w:t>
            </w:r>
            <w:r w:rsidRPr="00794E31">
              <w:rPr>
                <w:rFonts w:eastAsia="Arial"/>
              </w:rPr>
              <w:t xml:space="preserve">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6"/>
              </w:numPr>
              <w:spacing w:line="283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Przygotowanie dokumentacji badania</w:t>
            </w:r>
            <w:r w:rsidR="004D34A6" w:rsidRPr="00794E31">
              <w:rPr>
                <w:rFonts w:eastAsia="Arial"/>
              </w:rPr>
              <w:t>,</w:t>
            </w:r>
            <w:r w:rsidRPr="00794E31">
              <w:rPr>
                <w:rFonts w:eastAsia="Arial"/>
              </w:rPr>
              <w:t xml:space="preserve"> w tym m.in. Trial Master File, ISF dla Ośrodka;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FB79FA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Przygotowanie projektów umów, pomoc w  negocjacjach  i zawieraniu umów z pozostałymi Ośrodkami i Badaczami wybranymi do współpracy;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Akapitzlist"/>
              <w:numPr>
                <w:ilvl w:val="0"/>
                <w:numId w:val="6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Złożenie wymaganej dokumentacji do URPL i Komisji Bioetycznych w przypadku zgłoszenia zmian istotnych dot. badanego produktu leczniczego oraz dotyczących nowych Ośrodków i Badaczy;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FB79FA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>Bieżące administrowanie realizacją Projektu obejmujące wszystkie działania niezbędne do utrzymania Projektu w określonych terminach, jakości i budżecie;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6"/>
              </w:numPr>
              <w:spacing w:line="269" w:lineRule="exact"/>
              <w:ind w:left="426" w:hanging="426"/>
              <w:textAlignment w:val="baseline"/>
            </w:pPr>
            <w:r w:rsidRPr="00794E31">
              <w:rPr>
                <w:rFonts w:eastAsia="Arial"/>
              </w:rPr>
              <w:t xml:space="preserve">Bieżąca komunikacja z URPL oraz Komisją Bioetyczną.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 w:val="restart"/>
          </w:tcPr>
          <w:p w:rsidR="00A740F1" w:rsidRPr="00794E31" w:rsidRDefault="00A740F1" w:rsidP="00573E5B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  <w:r w:rsidRPr="00794E31">
              <w:rPr>
                <w:rFonts w:eastAsia="Arial"/>
                <w:b/>
              </w:rPr>
              <w:t>Etap III</w:t>
            </w:r>
            <w:r w:rsidRPr="00794E31">
              <w:rPr>
                <w:w w:val="85"/>
              </w:rPr>
              <w:t xml:space="preserve"> - </w:t>
            </w:r>
            <w:r w:rsidRPr="00794E31">
              <w:rPr>
                <w:rFonts w:eastAsia="Arial"/>
                <w:b/>
              </w:rPr>
              <w:t xml:space="preserve">Przeprowadzenie i monitorowanie badań fazy klinicznej I/II nad skutecznością i bezpieczeństwem stosowania substancji farmaceutycznej PSMA-T4 po wyznakowaniu tej substancji technetem-99m w diagnostyce u </w:t>
            </w:r>
            <w:r w:rsidRPr="00794E31">
              <w:rPr>
                <w:rFonts w:eastAsia="Arial"/>
                <w:b/>
              </w:rPr>
              <w:lastRenderedPageBreak/>
              <w:t>chorych z potwierdzonym rakiem stercza.</w:t>
            </w:r>
          </w:p>
          <w:p w:rsidR="00A740F1" w:rsidRPr="00794E31" w:rsidRDefault="00A740F1" w:rsidP="00573E5B">
            <w:pPr>
              <w:pStyle w:val="Style"/>
              <w:spacing w:line="269" w:lineRule="exact"/>
              <w:textAlignment w:val="baseline"/>
              <w:rPr>
                <w:rFonts w:eastAsia="Arial"/>
              </w:rPr>
            </w:pPr>
          </w:p>
          <w:p w:rsidR="00A740F1" w:rsidRPr="00794E31" w:rsidRDefault="00A740F1" w:rsidP="00573E5B">
            <w:pPr>
              <w:pStyle w:val="Style"/>
              <w:spacing w:line="269" w:lineRule="exact"/>
              <w:textAlignment w:val="baseline"/>
            </w:pPr>
            <w:r w:rsidRPr="00794E31">
              <w:rPr>
                <w:rFonts w:eastAsia="Arial"/>
              </w:rPr>
              <w:t>Etap może rozpocząć się pod warunkiem uprzedniego uzyskania pozytywnej opinii Komisji Bioetycznej na prowadzenie prac w ramach badania i uzyskanie zezwolenia na rozpoczęcie badania klinicznego z URPL. Bieżące monitorowanie badania obejmować będzie:</w:t>
            </w:r>
          </w:p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lastRenderedPageBreak/>
              <w:t xml:space="preserve">Przeprowadzenie co najmniej 4 wizyt w Ośrodku </w:t>
            </w:r>
            <w:r w:rsidR="004D34A6" w:rsidRPr="00794E31">
              <w:rPr>
                <w:rFonts w:eastAsia="Arial"/>
              </w:rPr>
              <w:t xml:space="preserve">w czasie trwania </w:t>
            </w:r>
            <w:r w:rsidR="00573E5B" w:rsidRPr="00794E31">
              <w:rPr>
                <w:rFonts w:eastAsia="Arial"/>
              </w:rPr>
              <w:t xml:space="preserve">każdego </w:t>
            </w:r>
            <w:r w:rsidR="004D34A6" w:rsidRPr="00794E31">
              <w:rPr>
                <w:rFonts w:eastAsia="Arial"/>
              </w:rPr>
              <w:t xml:space="preserve">etapu </w:t>
            </w:r>
            <w:r w:rsidRPr="00794E31">
              <w:rPr>
                <w:rFonts w:eastAsia="Arial"/>
              </w:rPr>
              <w:t xml:space="preserve">oraz bieżący monitoring elektroniczny, weryfikacja dokumentacji badania w Ośrodku na poziomie pozwalającym na rzetelną weryfikację danych źródłowych, w tym 100% weryfikację kryteriów włączenia i wyłączenia badania oraz wszystkich danych dotyczących bezpieczeństwa każdego pacjenta uczestniczącego w badaniu;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Utrzymywanie bieżącego kontaktu z ośrodkiem (w tym kontakt telefoniczny, mailowy);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rozwiązywanie zapytań dla ośrodka w bazie danych;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Prowadzenie kompleksowej gospodarki lekiem badanym w tym m.in. zapewnienie produktu badanego zgodnie z postępem rekrutacji w </w:t>
            </w:r>
            <w:r w:rsidRPr="00794E31">
              <w:rPr>
                <w:rFonts w:eastAsia="Arial"/>
              </w:rPr>
              <w:lastRenderedPageBreak/>
              <w:t xml:space="preserve">ośrodku, utrzymywanie pełnej, niezbędnej i aktualnej dokumentacji związanej z gospodarką produktem badanym m.in. wytwarzaniem, pakowaniem, transportem, badaniem serii, oceną zgodności dokumentacji z zatwierdzonym skróconym IMPD oraz inną dokumentacją badania klinicznego; wystawienie certyfikatu serii, zwolnienie serii do badania klinicznego;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before="9"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administrowanie bazą danych badania (min. sprawdzanie poprawności danych, rozwiązywanie rozbieżności i zapytań, kodowanie zdarzeń niepożądanych i leczenia dodatkowego);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Akapitzlist"/>
              <w:numPr>
                <w:ilvl w:val="0"/>
                <w:numId w:val="7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Monitoring bezpieczeństwa pacjentów uczestniczących w badaniu i monitoring medyczny obejmujący m.in.  zgłaszane zdarzenia niepożądane, w tym poważne zdarzenia niepożądane (SAE), (i) odbieranie formularzy SAE od zespołów badawczych, (ii) przeglądanie w celu uzyskania ich kompletności i spójności, (iii) kontakt z badaczem w celu uzyskania brakujących informacji i/lub informacji wymagających wyjaśnienia, (iv) przeprowadzenie analizy/oceny zgłoszenia / SAE i oceny związku przyczynowego SAE z produktem badania oraz zapewnienie monitorowania medycznego, (v) kodowanie i terminowe zgłaszanie raportów SAE do bazy </w:t>
            </w:r>
            <w:proofErr w:type="spellStart"/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Pharmacovigilance</w:t>
            </w:r>
            <w:proofErr w:type="spellEnd"/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oraz do URPL i KE zgodnie z wymaganiami;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Akapitzlist"/>
              <w:numPr>
                <w:ilvl w:val="0"/>
                <w:numId w:val="7"/>
              </w:numPr>
              <w:ind w:left="34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>Przygotowanie okresowych raportów nt. bezpieczeństwa pacjentów oraz przesyłanie ich  do odpowiedzialnych organów regulacyjnych oraz komisji bioetycznych;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rocznego sprawozdania o postępie badania klinicznego;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i przesyłanie (dystrybucja) powiadomień do badaczy oraz do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raportów o bezpieczeństwie;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realizacja planu zapewniania jakości badania - w tym min. 1 dwudniowy audyt niezależny badania obejmujący </w:t>
            </w:r>
            <w:r w:rsidR="000D79A1" w:rsidRPr="00794E31">
              <w:rPr>
                <w:rFonts w:eastAsia="Arial"/>
              </w:rPr>
              <w:t>Sponsora (POLATOM)</w:t>
            </w:r>
            <w:r w:rsidRPr="00794E31">
              <w:rPr>
                <w:rFonts w:eastAsia="Arial"/>
              </w:rPr>
              <w:t>, CRO oraz Ośrodek Badawczy;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komunikacja z URPL oraz Komisją Bioetyczną;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monitorowanie bazy danych; 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Okresowa analiza statystyczna bazy danych; </w:t>
            </w:r>
          </w:p>
        </w:tc>
        <w:tc>
          <w:tcPr>
            <w:tcW w:w="1830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0" w:lineRule="atLeas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współpraca z organizacjami, instytucjami zaangażowanymi w prowadzenie badania w tym laboratorium centralne i laboratoria lokalne; </w:t>
            </w:r>
          </w:p>
        </w:tc>
        <w:tc>
          <w:tcPr>
            <w:tcW w:w="1830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u w:val="single"/>
              </w:rPr>
            </w:pPr>
          </w:p>
        </w:tc>
        <w:tc>
          <w:tcPr>
            <w:tcW w:w="1558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FB79FA" w:rsidRPr="00794E31" w:rsidRDefault="00FB79FA" w:rsidP="00FB79F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FB79FA" w:rsidRPr="00794E31" w:rsidRDefault="00FB79FA" w:rsidP="00FB79F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Bieżące administrowanie realizacją Usługi obejmujące wszystkie działania niezbędne do utrzymania Projektu w określonych terminach, jakości i budżecie; </w:t>
            </w:r>
          </w:p>
        </w:tc>
        <w:tc>
          <w:tcPr>
            <w:tcW w:w="1830" w:type="dxa"/>
          </w:tcPr>
          <w:p w:rsidR="00FB79FA" w:rsidRPr="00794E31" w:rsidRDefault="00FB79FA" w:rsidP="00FB79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FB79FA" w:rsidRPr="00794E31" w:rsidRDefault="00FB79FA" w:rsidP="00FB79FA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FB79FA" w:rsidRPr="00794E31" w:rsidRDefault="00FB79FA" w:rsidP="00FB79FA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Bieżąca realizacja Projektu według wszystkich standardowych procedur postępowania oraz planów projektowych; </w:t>
            </w:r>
          </w:p>
        </w:tc>
        <w:tc>
          <w:tcPr>
            <w:tcW w:w="1830" w:type="dxa"/>
          </w:tcPr>
          <w:p w:rsidR="00FB79FA" w:rsidRPr="00794E31" w:rsidRDefault="00FB79FA" w:rsidP="00FB79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</w:tcPr>
          <w:p w:rsidR="00A740F1" w:rsidRPr="00794E31" w:rsidRDefault="00A740F1" w:rsidP="007D69E5">
            <w:pPr>
              <w:pStyle w:val="Style"/>
              <w:numPr>
                <w:ilvl w:val="0"/>
                <w:numId w:val="7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i przesyłanie miesięcznego sprawozdania do </w:t>
            </w:r>
            <w:r w:rsidR="000D79A1" w:rsidRPr="00794E31">
              <w:rPr>
                <w:rFonts w:eastAsia="Arial"/>
              </w:rPr>
              <w:t xml:space="preserve">Sponsora (POLATOM) </w:t>
            </w:r>
            <w:r w:rsidRPr="00794E31">
              <w:rPr>
                <w:rFonts w:eastAsia="Arial"/>
              </w:rPr>
              <w:t xml:space="preserve"> z przebiegu realizowanych procesów </w:t>
            </w:r>
            <w:r w:rsidRPr="00794E31">
              <w:rPr>
                <w:b/>
              </w:rPr>
              <w:t>w</w:t>
            </w:r>
            <w:r w:rsidR="008D4356" w:rsidRPr="00794E31">
              <w:rPr>
                <w:b/>
              </w:rPr>
              <w:t xml:space="preserve"> </w:t>
            </w:r>
            <w:r w:rsidR="008D4356" w:rsidRPr="00794E31">
              <w:rPr>
                <w:rFonts w:eastAsia="Arial"/>
              </w:rPr>
              <w:t>Badaniach</w:t>
            </w:r>
            <w:r w:rsidRPr="00794E31">
              <w:rPr>
                <w:rFonts w:eastAsia="Arial"/>
              </w:rPr>
              <w:t xml:space="preserve">.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740F1" w:rsidRPr="00794E31" w:rsidRDefault="00A740F1" w:rsidP="00A740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8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rPr>
          <w:trHeight w:val="523"/>
        </w:trPr>
        <w:tc>
          <w:tcPr>
            <w:tcW w:w="2829" w:type="dxa"/>
            <w:vMerge w:val="restart"/>
          </w:tcPr>
          <w:p w:rsidR="00A740F1" w:rsidRPr="00794E31" w:rsidRDefault="00A740F1" w:rsidP="00573E5B">
            <w:pPr>
              <w:pStyle w:val="Style"/>
              <w:spacing w:line="264" w:lineRule="exact"/>
              <w:ind w:right="840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Etap IV - Przeprowadzenie analizy statystycznej wyników badań fazy klinicznej.</w:t>
            </w:r>
          </w:p>
          <w:p w:rsidR="00A740F1" w:rsidRPr="00794E31" w:rsidRDefault="00A740F1" w:rsidP="00573E5B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  <w:r w:rsidRPr="00794E31">
              <w:rPr>
                <w:rFonts w:eastAsia="Arial"/>
              </w:rPr>
              <w:t>Zakres prac w ramach Etapu IV obejmuje:</w:t>
            </w: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>Zamkni</w:t>
            </w:r>
            <w:r w:rsidR="008D4356" w:rsidRPr="00794E31">
              <w:rPr>
                <w:rFonts w:eastAsia="Arial"/>
              </w:rPr>
              <w:t>ę</w:t>
            </w:r>
            <w:r w:rsidRPr="00794E31">
              <w:rPr>
                <w:rFonts w:eastAsia="Arial"/>
              </w:rPr>
              <w:t>cie bazy danych oraz analiza danych z badania;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raportu końcowego badania i przekazanie odnośnym władzom wraz z zawiadomieniem o zakończeniu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8"/>
              </w:numPr>
              <w:spacing w:line="274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Współudział w napisaniu publikacji z badania;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8"/>
              </w:numPr>
              <w:spacing w:line="269" w:lineRule="exact"/>
              <w:ind w:left="426"/>
              <w:textAlignment w:val="baseline"/>
            </w:pPr>
            <w:r w:rsidRPr="00794E31">
              <w:rPr>
                <w:rFonts w:eastAsia="Arial"/>
              </w:rPr>
              <w:t xml:space="preserve">Przygotowanie dokumentacji badania do archiwizacji.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 w:val="restart"/>
          </w:tcPr>
          <w:p w:rsidR="00A740F1" w:rsidRPr="00794E31" w:rsidRDefault="00A740F1" w:rsidP="00573E5B">
            <w:pPr>
              <w:pStyle w:val="Style"/>
              <w:spacing w:line="269" w:lineRule="exact"/>
              <w:textAlignment w:val="baseline"/>
              <w:rPr>
                <w:b/>
              </w:rPr>
            </w:pPr>
            <w:bookmarkStart w:id="3" w:name="_Hlk38367541"/>
            <w:r w:rsidRPr="00794E31">
              <w:rPr>
                <w:b/>
              </w:rPr>
              <w:t>Inne działania:</w:t>
            </w:r>
          </w:p>
          <w:p w:rsidR="00A740F1" w:rsidRPr="00794E31" w:rsidRDefault="00A740F1" w:rsidP="00573E5B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7D69E5">
            <w:pPr>
              <w:pStyle w:val="Style"/>
              <w:numPr>
                <w:ilvl w:val="0"/>
                <w:numId w:val="1"/>
              </w:numPr>
              <w:spacing w:before="4" w:line="264" w:lineRule="exact"/>
              <w:ind w:left="355" w:hanging="355"/>
              <w:textAlignment w:val="baseline"/>
            </w:pPr>
            <w:r w:rsidRPr="00794E31">
              <w:rPr>
                <w:rFonts w:eastAsia="Arial"/>
              </w:rPr>
              <w:t xml:space="preserve">Wykonawca zapewni Hosting, administrację serwerem i bezpieczeństwem.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bookmarkEnd w:id="3"/>
      <w:tr w:rsidR="00794E31" w:rsidRPr="00794E31" w:rsidTr="000944C6">
        <w:tc>
          <w:tcPr>
            <w:tcW w:w="2829" w:type="dxa"/>
            <w:vMerge/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FB79FA" w:rsidRPr="00794E31" w:rsidRDefault="00FB79FA" w:rsidP="00FB79FA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4E3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Wykonawca opracuje projekt ewentualnych zmian harmonogramu Usługi z uwzględnieniem już wykonanych czynności i terminów ich zakończenia.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FB79FA" w:rsidRPr="00794E31" w:rsidRDefault="00FB79FA" w:rsidP="00FB79FA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tr w:rsidR="00794E31" w:rsidRPr="00794E31" w:rsidTr="000944C6">
        <w:tc>
          <w:tcPr>
            <w:tcW w:w="2829" w:type="dxa"/>
            <w:vMerge/>
          </w:tcPr>
          <w:p w:rsidR="00A740F1" w:rsidRPr="00794E31" w:rsidRDefault="00A740F1" w:rsidP="000944C6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7812" w:type="dxa"/>
            <w:tcBorders>
              <w:right w:val="single" w:sz="4" w:space="0" w:color="auto"/>
            </w:tcBorders>
          </w:tcPr>
          <w:p w:rsidR="00A740F1" w:rsidRPr="00794E31" w:rsidRDefault="00A740F1" w:rsidP="000D79A1">
            <w:pPr>
              <w:pStyle w:val="Style"/>
              <w:numPr>
                <w:ilvl w:val="0"/>
                <w:numId w:val="1"/>
              </w:numPr>
              <w:spacing w:line="269" w:lineRule="exact"/>
              <w:ind w:left="360" w:hanging="355"/>
              <w:textAlignment w:val="baseline"/>
            </w:pPr>
            <w:r w:rsidRPr="00794E31">
              <w:rPr>
                <w:rFonts w:eastAsia="Arial"/>
              </w:rPr>
              <w:t xml:space="preserve">Wykonawca dostarczy pełną dokumentację dotyczącą prowadzonych badań w formie wydruku oraz w wersji elektronicznej (na nośniku), przesłanej w formacie do odczytu i edycji w pakiecie MS Office, w dwóch wersjach językowych (polskiej i angielskiej): </w:t>
            </w:r>
          </w:p>
          <w:p w:rsidR="00A740F1" w:rsidRPr="00794E31" w:rsidRDefault="00A740F1" w:rsidP="000D79A1">
            <w:pPr>
              <w:pStyle w:val="Style"/>
              <w:numPr>
                <w:ilvl w:val="0"/>
                <w:numId w:val="2"/>
              </w:numPr>
              <w:spacing w:before="23" w:line="269" w:lineRule="exact"/>
              <w:ind w:left="859" w:hanging="355"/>
              <w:textAlignment w:val="baseline"/>
            </w:pPr>
            <w:r w:rsidRPr="00794E31">
              <w:rPr>
                <w:rFonts w:eastAsia="Arial"/>
              </w:rPr>
              <w:t xml:space="preserve">Raportów częściowych - </w:t>
            </w:r>
            <w:r w:rsidR="00235792" w:rsidRPr="00794E31">
              <w:rPr>
                <w:rFonts w:eastAsia="Arial"/>
              </w:rPr>
              <w:t xml:space="preserve">zapisów/notatek </w:t>
            </w:r>
            <w:r w:rsidR="005C4050" w:rsidRPr="00794E31">
              <w:rPr>
                <w:rFonts w:eastAsia="Arial"/>
              </w:rPr>
              <w:t>z regularnych telekonferencji Sponsor (POLATOM)</w:t>
            </w:r>
            <w:r w:rsidR="00CF5FA9" w:rsidRPr="00794E31">
              <w:rPr>
                <w:rFonts w:eastAsia="Arial"/>
              </w:rPr>
              <w:t xml:space="preserve"> vs CRO</w:t>
            </w:r>
            <w:r w:rsidR="005C4050" w:rsidRPr="00794E31">
              <w:rPr>
                <w:rFonts w:eastAsia="Arial"/>
              </w:rPr>
              <w:t xml:space="preserve"> oraz rap</w:t>
            </w:r>
            <w:r w:rsidRPr="00794E31">
              <w:rPr>
                <w:rFonts w:eastAsia="Arial"/>
              </w:rPr>
              <w:t xml:space="preserve">orty z systemów </w:t>
            </w:r>
            <w:proofErr w:type="spellStart"/>
            <w:r w:rsidRPr="00794E31">
              <w:rPr>
                <w:rFonts w:eastAsia="Arial"/>
              </w:rPr>
              <w:t>eCRF</w:t>
            </w:r>
            <w:proofErr w:type="spellEnd"/>
            <w:r w:rsidRPr="00794E31">
              <w:rPr>
                <w:rFonts w:eastAsia="Arial"/>
              </w:rPr>
              <w:t xml:space="preserve">, IWRS/IVRS </w:t>
            </w:r>
          </w:p>
          <w:p w:rsidR="00A740F1" w:rsidRPr="00794E31" w:rsidRDefault="00CF5FA9" w:rsidP="000D79A1">
            <w:pPr>
              <w:pStyle w:val="Style"/>
              <w:numPr>
                <w:ilvl w:val="0"/>
                <w:numId w:val="2"/>
              </w:numPr>
              <w:spacing w:before="23" w:line="269" w:lineRule="exact"/>
              <w:ind w:hanging="355"/>
              <w:textAlignment w:val="baseline"/>
            </w:pPr>
            <w:r w:rsidRPr="00794E31">
              <w:rPr>
                <w:rFonts w:eastAsia="Arial"/>
              </w:rPr>
              <w:t xml:space="preserve">b)   </w:t>
            </w:r>
            <w:r w:rsidR="00A740F1" w:rsidRPr="00794E31">
              <w:rPr>
                <w:rFonts w:eastAsia="Arial"/>
              </w:rPr>
              <w:t xml:space="preserve">Raportu końcowego - CSR - raport końcowy z badania klinicznego, przekazany nie później niż 5 miesięcy od zamknięcia bazy danych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80" w:type="dxa"/>
            <w:tcBorders>
              <w:left w:val="single" w:sz="4" w:space="0" w:color="auto"/>
            </w:tcBorders>
          </w:tcPr>
          <w:p w:rsidR="00A740F1" w:rsidRPr="00794E31" w:rsidRDefault="00A740F1" w:rsidP="00A740F1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</w:tr>
      <w:bookmarkEnd w:id="1"/>
      <w:tr w:rsidR="00BD0EF0" w:rsidRPr="00794E31" w:rsidTr="004763B9">
        <w:tc>
          <w:tcPr>
            <w:tcW w:w="10641" w:type="dxa"/>
            <w:gridSpan w:val="2"/>
          </w:tcPr>
          <w:p w:rsidR="00BD0EF0" w:rsidRPr="00794E31" w:rsidRDefault="00BD0EF0" w:rsidP="00BD0EF0">
            <w:pPr>
              <w:pStyle w:val="Style"/>
              <w:spacing w:line="269" w:lineRule="exact"/>
              <w:jc w:val="center"/>
              <w:textAlignment w:val="baseline"/>
              <w:rPr>
                <w:b/>
              </w:rPr>
            </w:pPr>
            <w:r w:rsidRPr="00794E31">
              <w:rPr>
                <w:b/>
              </w:rPr>
              <w:t>RAZEM</w:t>
            </w:r>
          </w:p>
          <w:p w:rsidR="00BD0EF0" w:rsidRPr="00794E31" w:rsidRDefault="00BD0EF0" w:rsidP="00BD0EF0">
            <w:pPr>
              <w:pStyle w:val="Style"/>
              <w:spacing w:before="4" w:line="264" w:lineRule="exact"/>
              <w:jc w:val="center"/>
              <w:textAlignment w:val="baseline"/>
            </w:pPr>
            <w:r w:rsidRPr="00794E31">
              <w:rPr>
                <w:rFonts w:eastAsia="Arial"/>
              </w:rPr>
              <w:t>(suma wynagrodzeń wykazanych w kolumnie 3)</w:t>
            </w:r>
          </w:p>
        </w:tc>
        <w:tc>
          <w:tcPr>
            <w:tcW w:w="1830" w:type="dxa"/>
          </w:tcPr>
          <w:p w:rsidR="00BD0EF0" w:rsidRPr="00794E31" w:rsidRDefault="00BD0EF0" w:rsidP="00FB17E3">
            <w:pPr>
              <w:pStyle w:val="Style"/>
              <w:spacing w:line="254" w:lineRule="exact"/>
              <w:textAlignment w:val="baseline"/>
              <w:rPr>
                <w:rFonts w:eastAsia="Arial"/>
                <w:b/>
                <w:u w:val="single"/>
              </w:rPr>
            </w:pPr>
          </w:p>
        </w:tc>
        <w:tc>
          <w:tcPr>
            <w:tcW w:w="1558" w:type="dxa"/>
          </w:tcPr>
          <w:p w:rsidR="00BD0EF0" w:rsidRPr="00794E31" w:rsidRDefault="00BD0EF0" w:rsidP="00BD0EF0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---</w:t>
            </w:r>
          </w:p>
        </w:tc>
        <w:tc>
          <w:tcPr>
            <w:tcW w:w="1580" w:type="dxa"/>
          </w:tcPr>
          <w:p w:rsidR="00BD0EF0" w:rsidRPr="00794E31" w:rsidRDefault="00BD0EF0" w:rsidP="00BD0EF0">
            <w:pPr>
              <w:pStyle w:val="Style"/>
              <w:spacing w:line="254" w:lineRule="exact"/>
              <w:jc w:val="center"/>
              <w:textAlignment w:val="baseline"/>
              <w:rPr>
                <w:rFonts w:eastAsia="Arial"/>
                <w:b/>
              </w:rPr>
            </w:pPr>
            <w:r w:rsidRPr="00794E31">
              <w:rPr>
                <w:rFonts w:eastAsia="Arial"/>
                <w:b/>
              </w:rPr>
              <w:t>---</w:t>
            </w:r>
          </w:p>
        </w:tc>
      </w:tr>
    </w:tbl>
    <w:p w:rsidR="0018366D" w:rsidRPr="00794E31" w:rsidRDefault="0018366D" w:rsidP="0018366D">
      <w:pPr>
        <w:pStyle w:val="Style"/>
        <w:spacing w:line="254" w:lineRule="exact"/>
        <w:textAlignment w:val="baseline"/>
        <w:rPr>
          <w:rFonts w:eastAsia="Arial"/>
          <w:b/>
        </w:rPr>
      </w:pPr>
    </w:p>
    <w:p w:rsidR="00BA4E06" w:rsidRPr="00794E31" w:rsidRDefault="00BA4E06" w:rsidP="0018366D">
      <w:pPr>
        <w:pStyle w:val="Style"/>
        <w:spacing w:line="254" w:lineRule="exact"/>
        <w:textAlignment w:val="baseline"/>
        <w:rPr>
          <w:rFonts w:eastAsia="Arial"/>
          <w:b/>
        </w:rPr>
      </w:pPr>
      <w:r w:rsidRPr="00794E31">
        <w:rPr>
          <w:rFonts w:eastAsia="Arial"/>
          <w:b/>
        </w:rPr>
        <w:t>Kwotę z kolumny 3 należy przenieść do formularza ofertowego</w:t>
      </w:r>
      <w:r w:rsidR="000D79A1" w:rsidRPr="00794E31">
        <w:rPr>
          <w:rFonts w:eastAsia="Arial"/>
          <w:b/>
        </w:rPr>
        <w:t xml:space="preserve"> (załącznik nr 1)</w:t>
      </w:r>
      <w:r w:rsidRPr="00794E31">
        <w:rPr>
          <w:rFonts w:eastAsia="Arial"/>
          <w:b/>
        </w:rPr>
        <w:t xml:space="preserve"> na str</w:t>
      </w:r>
      <w:r w:rsidR="00573E5B" w:rsidRPr="00794E31">
        <w:rPr>
          <w:rFonts w:eastAsia="Arial"/>
          <w:b/>
        </w:rPr>
        <w:t>.</w:t>
      </w:r>
      <w:r w:rsidRPr="00794E31">
        <w:rPr>
          <w:rFonts w:eastAsia="Arial"/>
          <w:b/>
        </w:rPr>
        <w:t xml:space="preserve"> 2.</w:t>
      </w:r>
    </w:p>
    <w:p w:rsidR="00EB4477" w:rsidRPr="00794E31" w:rsidRDefault="00A21BFD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  <w:rPr>
          <w:rFonts w:eastAsia="Arial"/>
          <w:w w:val="80"/>
        </w:rPr>
      </w:pPr>
      <w:bookmarkStart w:id="4" w:name="_Hlk34399020"/>
      <w:r w:rsidRPr="00794E31">
        <w:rPr>
          <w:rFonts w:eastAsia="Arial"/>
          <w:w w:val="80"/>
        </w:rPr>
        <w:tab/>
      </w:r>
    </w:p>
    <w:p w:rsidR="00A740F1" w:rsidRPr="00794E31" w:rsidRDefault="00A740F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7D69E5" w:rsidRPr="00794E31" w:rsidRDefault="007D69E5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7D69E5" w:rsidRPr="00794E31" w:rsidRDefault="007D69E5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D637F6" w:rsidRPr="00794E31" w:rsidRDefault="00D637F6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0D79A1" w:rsidRPr="00794E31" w:rsidRDefault="000D79A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0D79A1" w:rsidRPr="00794E31" w:rsidRDefault="000D79A1" w:rsidP="003E4FFD">
      <w:pPr>
        <w:pStyle w:val="Style"/>
        <w:tabs>
          <w:tab w:val="left" w:pos="1"/>
          <w:tab w:val="left" w:pos="1094"/>
        </w:tabs>
        <w:spacing w:line="269" w:lineRule="exact"/>
        <w:jc w:val="both"/>
        <w:textAlignment w:val="baseline"/>
      </w:pPr>
    </w:p>
    <w:p w:rsidR="007B7000" w:rsidRPr="00794E31" w:rsidRDefault="00B63A6F" w:rsidP="00C77C07">
      <w:pPr>
        <w:pStyle w:val="Style"/>
        <w:spacing w:line="280" w:lineRule="atLeast"/>
        <w:jc w:val="both"/>
        <w:rPr>
          <w:b/>
        </w:rPr>
      </w:pPr>
      <w:r w:rsidRPr="00794E31">
        <w:rPr>
          <w:b/>
        </w:rPr>
        <w:t>Zakres Działań i obowiązków Zamawiającego:</w:t>
      </w:r>
    </w:p>
    <w:p w:rsidR="00B63A6F" w:rsidRPr="00794E31" w:rsidRDefault="00B63A6F" w:rsidP="00C77C07">
      <w:pPr>
        <w:pStyle w:val="Style"/>
        <w:spacing w:line="280" w:lineRule="atLeast"/>
        <w:jc w:val="both"/>
        <w:rPr>
          <w:b/>
        </w:rPr>
      </w:pPr>
    </w:p>
    <w:p w:rsidR="007B7000" w:rsidRPr="00794E31" w:rsidRDefault="00A21BFD" w:rsidP="007D69E5">
      <w:pPr>
        <w:pStyle w:val="Style"/>
        <w:numPr>
          <w:ilvl w:val="0"/>
          <w:numId w:val="9"/>
        </w:numPr>
        <w:spacing w:line="269" w:lineRule="exact"/>
        <w:ind w:left="426"/>
        <w:jc w:val="both"/>
        <w:textAlignment w:val="baseline"/>
      </w:pPr>
      <w:r w:rsidRPr="00794E31">
        <w:rPr>
          <w:rFonts w:eastAsia="Arial"/>
        </w:rPr>
        <w:t xml:space="preserve">Zamawiający zapewni substancję badaną PSMA-T4 w formie zestawu do znakowania </w:t>
      </w:r>
      <w:proofErr w:type="spellStart"/>
      <w:r w:rsidRPr="00794E31">
        <w:rPr>
          <w:rFonts w:eastAsia="Arial"/>
        </w:rPr>
        <w:t>radiofarmaceutycznego</w:t>
      </w:r>
      <w:proofErr w:type="spellEnd"/>
      <w:r w:rsidRPr="00794E31">
        <w:rPr>
          <w:rFonts w:eastAsia="Arial"/>
        </w:rPr>
        <w:t xml:space="preserve"> oraz instrukcję znakowania tego zestawu roztworem </w:t>
      </w:r>
      <w:proofErr w:type="spellStart"/>
      <w:r w:rsidRPr="00794E31">
        <w:rPr>
          <w:rFonts w:eastAsia="Arial"/>
        </w:rPr>
        <w:t>nadtechnecjanu</w:t>
      </w:r>
      <w:proofErr w:type="spellEnd"/>
      <w:r w:rsidRPr="00794E31">
        <w:rPr>
          <w:rFonts w:eastAsia="Arial"/>
        </w:rPr>
        <w:t xml:space="preserve"> </w:t>
      </w:r>
      <w:r w:rsidRPr="00794E31">
        <w:t>[</w:t>
      </w:r>
      <w:r w:rsidRPr="00794E31">
        <w:rPr>
          <w:vertAlign w:val="superscript"/>
        </w:rPr>
        <w:t>99</w:t>
      </w:r>
      <w:r w:rsidRPr="00794E31">
        <w:rPr>
          <w:rFonts w:eastAsia="Arial"/>
          <w:vertAlign w:val="superscript"/>
        </w:rPr>
        <w:t>m</w:t>
      </w:r>
      <w:r w:rsidRPr="00794E31">
        <w:rPr>
          <w:rFonts w:eastAsia="Arial"/>
        </w:rPr>
        <w:t xml:space="preserve">Tc] sodu, eluatem z generatora </w:t>
      </w:r>
      <w:proofErr w:type="spellStart"/>
      <w:r w:rsidRPr="00794E31">
        <w:rPr>
          <w:rFonts w:eastAsia="Arial"/>
        </w:rPr>
        <w:t>radionuklidowego</w:t>
      </w:r>
      <w:proofErr w:type="spellEnd"/>
      <w:r w:rsidRPr="00794E31">
        <w:rPr>
          <w:rFonts w:eastAsia="Arial"/>
        </w:rPr>
        <w:t xml:space="preserve"> </w:t>
      </w:r>
      <w:r w:rsidRPr="00794E31">
        <w:rPr>
          <w:vertAlign w:val="superscript"/>
        </w:rPr>
        <w:t>99</w:t>
      </w:r>
      <w:r w:rsidRPr="00794E31">
        <w:rPr>
          <w:rFonts w:eastAsia="Arial"/>
        </w:rPr>
        <w:t>Mo/</w:t>
      </w:r>
      <w:r w:rsidRPr="00794E31">
        <w:rPr>
          <w:vertAlign w:val="superscript"/>
        </w:rPr>
        <w:t>99</w:t>
      </w:r>
      <w:r w:rsidRPr="00794E31">
        <w:rPr>
          <w:rFonts w:eastAsia="Arial"/>
          <w:vertAlign w:val="superscript"/>
        </w:rPr>
        <w:t>m</w:t>
      </w:r>
      <w:r w:rsidRPr="00794E31">
        <w:rPr>
          <w:rFonts w:eastAsia="Arial"/>
        </w:rPr>
        <w:t xml:space="preserve">Tc oraz instrukcją oznaczania czystości radiochemicznej/zwalniania wyznakowanego </w:t>
      </w:r>
      <w:r w:rsidRPr="00794E31">
        <w:rPr>
          <w:vertAlign w:val="superscript"/>
        </w:rPr>
        <w:t>99</w:t>
      </w:r>
      <w:r w:rsidRPr="00794E31">
        <w:rPr>
          <w:rFonts w:eastAsia="Arial"/>
          <w:vertAlign w:val="superscript"/>
        </w:rPr>
        <w:t>m</w:t>
      </w:r>
      <w:r w:rsidRPr="00794E31">
        <w:rPr>
          <w:rFonts w:eastAsia="Arial"/>
        </w:rPr>
        <w:t xml:space="preserve">Tc-PSMA-T4 do przeprowadzenia badania. </w:t>
      </w:r>
    </w:p>
    <w:p w:rsidR="007B7000" w:rsidRPr="00794E31" w:rsidRDefault="00A21BFD" w:rsidP="007D69E5">
      <w:pPr>
        <w:pStyle w:val="Style"/>
        <w:numPr>
          <w:ilvl w:val="0"/>
          <w:numId w:val="9"/>
        </w:numPr>
        <w:spacing w:before="4" w:line="264" w:lineRule="exact"/>
        <w:ind w:left="426"/>
        <w:jc w:val="both"/>
        <w:textAlignment w:val="baseline"/>
      </w:pPr>
      <w:r w:rsidRPr="00794E31">
        <w:rPr>
          <w:rFonts w:eastAsia="Arial"/>
        </w:rPr>
        <w:t xml:space="preserve">Zamawiający zapewni transport materiału badawczego i dokumentacji badawczej podczas trwania Usługi. </w:t>
      </w:r>
    </w:p>
    <w:p w:rsidR="00FB79FA" w:rsidRPr="00794E31" w:rsidRDefault="00FB79FA" w:rsidP="00FB79FA">
      <w:pPr>
        <w:pStyle w:val="Style"/>
        <w:numPr>
          <w:ilvl w:val="0"/>
          <w:numId w:val="9"/>
        </w:numPr>
        <w:spacing w:before="4" w:line="264" w:lineRule="exact"/>
        <w:ind w:left="426"/>
        <w:jc w:val="both"/>
        <w:textAlignment w:val="baseline"/>
      </w:pPr>
      <w:r w:rsidRPr="00794E31">
        <w:t>Zamawiający podejmuje decyzje o kontynuacji lub rezygnacji z kontynuowania projektu biorąc pod uwagę otrzymane dotychczas wyniki badań, wymagania prawne lub względy ekonomiczne.</w:t>
      </w:r>
    </w:p>
    <w:p w:rsidR="00B63A6F" w:rsidRPr="00794E31" w:rsidRDefault="00B63A6F" w:rsidP="00C77C07">
      <w:pPr>
        <w:pStyle w:val="Style"/>
        <w:spacing w:before="23" w:line="269" w:lineRule="exact"/>
        <w:jc w:val="both"/>
        <w:textAlignment w:val="baseline"/>
      </w:pPr>
    </w:p>
    <w:p w:rsidR="00B63A6F" w:rsidRPr="00794E31" w:rsidRDefault="00B63A6F" w:rsidP="00C77C07">
      <w:pPr>
        <w:pStyle w:val="Style"/>
        <w:spacing w:before="23" w:line="269" w:lineRule="exact"/>
        <w:jc w:val="both"/>
        <w:textAlignment w:val="baseline"/>
      </w:pPr>
    </w:p>
    <w:bookmarkEnd w:id="4"/>
    <w:p w:rsidR="00460A70" w:rsidRPr="00794E31" w:rsidRDefault="00460A70" w:rsidP="00E34736">
      <w:pPr>
        <w:pStyle w:val="Style"/>
        <w:spacing w:line="283" w:lineRule="exact"/>
        <w:textAlignment w:val="baseline"/>
      </w:pPr>
    </w:p>
    <w:p w:rsidR="007B7000" w:rsidRPr="00794E31" w:rsidRDefault="001E3214" w:rsidP="00460A70">
      <w:pPr>
        <w:pStyle w:val="Style"/>
        <w:spacing w:line="283" w:lineRule="exact"/>
        <w:textAlignment w:val="baseline"/>
      </w:pPr>
      <w:r w:rsidRPr="00794E31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3672840</wp:posOffset>
                </wp:positionV>
                <wp:extent cx="0" cy="2085340"/>
                <wp:effectExtent l="6350" t="5715" r="1270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534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ECE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A1F5" id="Line 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pt,289.2pt" to=".5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" strokecolor="#cecece" strokeweight=".7pt">
                <w10:wrap anchorx="page" anchory="page"/>
              </v:line>
            </w:pict>
          </mc:Fallback>
        </mc:AlternateContent>
      </w:r>
      <w:r w:rsidRPr="00794E31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1673225</wp:posOffset>
                </wp:positionV>
                <wp:extent cx="0" cy="1182370"/>
                <wp:effectExtent l="8890" t="6350" r="1016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23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CECE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302B" id="Line 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5pt,131.75pt" to="1.4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" strokecolor="#cecece" strokeweight=".7pt">
                <w10:wrap anchorx="page" anchory="page"/>
              </v:line>
            </w:pict>
          </mc:Fallback>
        </mc:AlternateContent>
      </w:r>
    </w:p>
    <w:sectPr w:rsidR="007B7000" w:rsidRPr="00794E31" w:rsidSect="001A0A5A">
      <w:headerReference w:type="default" r:id="rId8"/>
      <w:type w:val="continuous"/>
      <w:pgSz w:w="16840" w:h="11900" w:orient="landscape"/>
      <w:pgMar w:top="1042" w:right="1296" w:bottom="1416" w:left="36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6A" w:rsidRDefault="00944C6A" w:rsidP="00944C6A">
      <w:r>
        <w:separator/>
      </w:r>
    </w:p>
  </w:endnote>
  <w:endnote w:type="continuationSeparator" w:id="0">
    <w:p w:rsidR="00944C6A" w:rsidRDefault="00944C6A" w:rsidP="0094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6A" w:rsidRDefault="00944C6A" w:rsidP="00944C6A">
      <w:r>
        <w:separator/>
      </w:r>
    </w:p>
  </w:footnote>
  <w:footnote w:type="continuationSeparator" w:id="0">
    <w:p w:rsidR="00944C6A" w:rsidRDefault="00944C6A" w:rsidP="0094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6A" w:rsidRDefault="00944C6A">
    <w:pPr>
      <w:pStyle w:val="Nagwek"/>
    </w:pPr>
  </w:p>
  <w:p w:rsidR="00944C6A" w:rsidRPr="00944C6A" w:rsidRDefault="00944C6A" w:rsidP="00944C6A">
    <w:pPr>
      <w:outlineLvl w:val="0"/>
      <w:rPr>
        <w:rFonts w:ascii="Times New Roman" w:eastAsia="Times New Roman" w:hAnsi="Times New Roman" w:cs="Times New Roman"/>
        <w:b/>
        <w:sz w:val="24"/>
        <w:szCs w:val="24"/>
        <w:lang w:val="pl-PL" w:eastAsia="pl-PL"/>
      </w:rPr>
    </w:pPr>
    <w:r w:rsidRPr="00944C6A">
      <w:rPr>
        <w:rFonts w:ascii="Calibri" w:eastAsia="Times New Roman" w:hAnsi="Calibri" w:cs="Times New Roman"/>
        <w:b/>
        <w:lang w:val="pl-PL" w:eastAsia="pl-PL"/>
      </w:rPr>
      <w:t>OR.DZP.270.06.2020.</w:t>
    </w:r>
  </w:p>
  <w:p w:rsidR="00944C6A" w:rsidRDefault="00944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6CC"/>
    <w:multiLevelType w:val="singleLevel"/>
    <w:tmpl w:val="4424A6F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" w15:restartNumberingAfterBreak="0">
    <w:nsid w:val="32F51965"/>
    <w:multiLevelType w:val="hybridMultilevel"/>
    <w:tmpl w:val="B6DEF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0E8"/>
    <w:multiLevelType w:val="hybridMultilevel"/>
    <w:tmpl w:val="D0D07592"/>
    <w:lvl w:ilvl="0" w:tplc="BD42455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B0A03"/>
    <w:multiLevelType w:val="singleLevel"/>
    <w:tmpl w:val="8AF8B8AE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Arial" w:hAnsi="Times New Roman" w:cs="Times New Roman"/>
        <w:b/>
        <w:sz w:val="24"/>
        <w:szCs w:val="24"/>
      </w:rPr>
    </w:lvl>
  </w:abstractNum>
  <w:abstractNum w:abstractNumId="4" w15:restartNumberingAfterBreak="0">
    <w:nsid w:val="437B0E62"/>
    <w:multiLevelType w:val="hybridMultilevel"/>
    <w:tmpl w:val="D4C4F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101A"/>
    <w:multiLevelType w:val="hybridMultilevel"/>
    <w:tmpl w:val="BFEC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009A"/>
    <w:multiLevelType w:val="hybridMultilevel"/>
    <w:tmpl w:val="738082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16BF"/>
    <w:multiLevelType w:val="hybridMultilevel"/>
    <w:tmpl w:val="AA3898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E6D1D"/>
    <w:multiLevelType w:val="hybridMultilevel"/>
    <w:tmpl w:val="92043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00"/>
    <w:rsid w:val="000944C6"/>
    <w:rsid w:val="000B0C45"/>
    <w:rsid w:val="000D79A1"/>
    <w:rsid w:val="00101C86"/>
    <w:rsid w:val="00151642"/>
    <w:rsid w:val="0018366D"/>
    <w:rsid w:val="001A0A5A"/>
    <w:rsid w:val="001E3214"/>
    <w:rsid w:val="00235792"/>
    <w:rsid w:val="0026375D"/>
    <w:rsid w:val="002E77A3"/>
    <w:rsid w:val="002F70BF"/>
    <w:rsid w:val="00306346"/>
    <w:rsid w:val="00393AF9"/>
    <w:rsid w:val="003A2B1C"/>
    <w:rsid w:val="003D5968"/>
    <w:rsid w:val="003E4FFD"/>
    <w:rsid w:val="00401F57"/>
    <w:rsid w:val="00436141"/>
    <w:rsid w:val="004470BD"/>
    <w:rsid w:val="00460A70"/>
    <w:rsid w:val="00493C4B"/>
    <w:rsid w:val="004D34A6"/>
    <w:rsid w:val="00541A7D"/>
    <w:rsid w:val="005678AD"/>
    <w:rsid w:val="00573E5B"/>
    <w:rsid w:val="0059475B"/>
    <w:rsid w:val="005C4050"/>
    <w:rsid w:val="0061337F"/>
    <w:rsid w:val="006F1D8A"/>
    <w:rsid w:val="00750E8A"/>
    <w:rsid w:val="00775245"/>
    <w:rsid w:val="00794E31"/>
    <w:rsid w:val="007B7000"/>
    <w:rsid w:val="007D69E5"/>
    <w:rsid w:val="00827369"/>
    <w:rsid w:val="00836C92"/>
    <w:rsid w:val="008D4356"/>
    <w:rsid w:val="00944C6A"/>
    <w:rsid w:val="00956FAD"/>
    <w:rsid w:val="00963A5A"/>
    <w:rsid w:val="009A374D"/>
    <w:rsid w:val="00A21BFD"/>
    <w:rsid w:val="00A740F1"/>
    <w:rsid w:val="00B63A6F"/>
    <w:rsid w:val="00B81DD5"/>
    <w:rsid w:val="00BA4E06"/>
    <w:rsid w:val="00BD0EF0"/>
    <w:rsid w:val="00C23F04"/>
    <w:rsid w:val="00C24124"/>
    <w:rsid w:val="00C40B16"/>
    <w:rsid w:val="00C77C07"/>
    <w:rsid w:val="00C80C8C"/>
    <w:rsid w:val="00CF5FA9"/>
    <w:rsid w:val="00CF7E20"/>
    <w:rsid w:val="00D3785C"/>
    <w:rsid w:val="00D637F6"/>
    <w:rsid w:val="00D75371"/>
    <w:rsid w:val="00D87985"/>
    <w:rsid w:val="00D9001F"/>
    <w:rsid w:val="00E17D77"/>
    <w:rsid w:val="00E26868"/>
    <w:rsid w:val="00E34736"/>
    <w:rsid w:val="00E55338"/>
    <w:rsid w:val="00EA3EAC"/>
    <w:rsid w:val="00EB4477"/>
    <w:rsid w:val="00F13032"/>
    <w:rsid w:val="00F2258F"/>
    <w:rsid w:val="00F23634"/>
    <w:rsid w:val="00F46D37"/>
    <w:rsid w:val="00F87003"/>
    <w:rsid w:val="00FB79FA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B3D69-9208-4522-BECE-7B3A51C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6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C6A"/>
  </w:style>
  <w:style w:type="paragraph" w:styleId="Stopka">
    <w:name w:val="footer"/>
    <w:basedOn w:val="Normalny"/>
    <w:link w:val="StopkaZnak"/>
    <w:uiPriority w:val="99"/>
    <w:unhideWhenUsed/>
    <w:rsid w:val="00944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C6A"/>
  </w:style>
  <w:style w:type="paragraph" w:styleId="Akapitzlist">
    <w:name w:val="List Paragraph"/>
    <w:basedOn w:val="Normalny"/>
    <w:uiPriority w:val="34"/>
    <w:qFormat/>
    <w:rsid w:val="0015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5B146-4ED4-481B-9EC2-DE76B6E2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Małetka</dc:creator>
  <cp:lastModifiedBy>Magdalena Popińska</cp:lastModifiedBy>
  <cp:revision>22</cp:revision>
  <dcterms:created xsi:type="dcterms:W3CDTF">2020-03-17T15:05:00Z</dcterms:created>
  <dcterms:modified xsi:type="dcterms:W3CDTF">2020-05-27T11:38:00Z</dcterms:modified>
</cp:coreProperties>
</file>