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25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Przebudowa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p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rzebudow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ę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 Legionowie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Wykonawca zrealizuje zamówienie w terminie: 90 dni kalendarzowych od dnia wprowadzenia Wykonawcy na budowę.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17 września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Przebudowa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 Legionowie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BodyText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formularz oferty (załącznik </w:t>
      </w:r>
      <w:r>
        <w:rPr>
          <w:rFonts w:ascii="Arial" w:hAnsi="Arial"/>
          <w:sz w:val="22"/>
          <w:szCs w:val="22"/>
          <w:shd w:fill="auto" w:val="clear"/>
        </w:rPr>
        <w:t>nr 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3</Pages>
  <Words>663</Words>
  <Characters>4376</Characters>
  <CharactersWithSpaces>4983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2024-08-01T10:40:46Z</dcterms:modified>
  <cp:revision>2</cp:revision>
  <dc:subject/>
  <dc:title>Formularz oferty</dc:title>
</cp:coreProperties>
</file>