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1035C" w14:textId="409F0709" w:rsidR="001C5304" w:rsidRDefault="00352FDE" w:rsidP="00352FD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911DCE">
        <w:t>3</w:t>
      </w:r>
      <w:bookmarkStart w:id="0" w:name="_GoBack"/>
      <w:bookmarkEnd w:id="0"/>
      <w:r w:rsidR="00905A55">
        <w:t xml:space="preserve"> </w:t>
      </w:r>
      <w:r>
        <w:t>do Zaproszenia</w:t>
      </w:r>
    </w:p>
    <w:p w14:paraId="35C61A64" w14:textId="25E27234" w:rsidR="00352FDE" w:rsidRDefault="00352FDE" w:rsidP="00352FD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 cenowej</w:t>
      </w:r>
    </w:p>
    <w:p w14:paraId="7B440E0D" w14:textId="724ED880" w:rsidR="00352FDE" w:rsidRDefault="00352FDE" w:rsidP="00352FD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Znak: Z/</w:t>
      </w:r>
      <w:r w:rsidR="00B26665">
        <w:t>BA/11/24</w:t>
      </w:r>
    </w:p>
    <w:p w14:paraId="40CE818E" w14:textId="4D4CFBCD" w:rsidR="00352FDE" w:rsidRDefault="00352FDE" w:rsidP="00352FDE">
      <w:pPr>
        <w:spacing w:after="0"/>
        <w:jc w:val="both"/>
      </w:pPr>
    </w:p>
    <w:p w14:paraId="776B19FB" w14:textId="77777777" w:rsidR="00352FDE" w:rsidRPr="00352FDE" w:rsidRDefault="00352FDE" w:rsidP="00352FDE">
      <w:pPr>
        <w:spacing w:after="0"/>
        <w:jc w:val="center"/>
        <w:rPr>
          <w:rFonts w:ascii="Calibri" w:eastAsia="Calibri" w:hAnsi="Calibri" w:cs="Times New Roman"/>
          <w:b/>
        </w:rPr>
      </w:pPr>
      <w:r w:rsidRPr="00352FDE">
        <w:rPr>
          <w:rFonts w:ascii="Calibri" w:eastAsia="Calibri" w:hAnsi="Calibri" w:cs="Times New Roman"/>
          <w:b/>
        </w:rPr>
        <w:t>ZESTAWIENIE PARAMETRÓW GRANICZNYCH</w:t>
      </w:r>
    </w:p>
    <w:p w14:paraId="60604A13" w14:textId="510948C8" w:rsidR="00352FDE" w:rsidRPr="00352FDE" w:rsidRDefault="00352FDE" w:rsidP="00352FDE">
      <w:pPr>
        <w:spacing w:after="0"/>
        <w:rPr>
          <w:rFonts w:ascii="Calibri" w:eastAsia="Calibri" w:hAnsi="Calibri" w:cs="Times New Roman"/>
        </w:rPr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6803"/>
        <w:gridCol w:w="1701"/>
      </w:tblGrid>
      <w:tr w:rsidR="00352FDE" w:rsidRPr="00352FDE" w14:paraId="0E5EC265" w14:textId="77777777" w:rsidTr="0058704A">
        <w:tc>
          <w:tcPr>
            <w:tcW w:w="737" w:type="dxa"/>
            <w:shd w:val="clear" w:color="auto" w:fill="auto"/>
            <w:vAlign w:val="center"/>
          </w:tcPr>
          <w:p w14:paraId="6906B1F6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E61C42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Wymagane parametry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6ED6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Potwierdzenie wymagań granicznych TAK/NIE</w:t>
            </w:r>
          </w:p>
        </w:tc>
      </w:tr>
      <w:tr w:rsidR="006A6893" w:rsidRPr="00352FDE" w14:paraId="49E383B7" w14:textId="77777777" w:rsidTr="0058704A">
        <w:tc>
          <w:tcPr>
            <w:tcW w:w="737" w:type="dxa"/>
            <w:shd w:val="clear" w:color="auto" w:fill="auto"/>
            <w:vAlign w:val="center"/>
          </w:tcPr>
          <w:p w14:paraId="35C6D6EC" w14:textId="6C3A0954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82FF49A" w14:textId="4119012E" w:rsidR="006A6893" w:rsidRPr="00352FDE" w:rsidRDefault="006A6893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Producent (podać)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77BC1" w14:textId="77777777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6893" w:rsidRPr="00352FDE" w14:paraId="79B68AD6" w14:textId="77777777" w:rsidTr="0058704A">
        <w:tc>
          <w:tcPr>
            <w:tcW w:w="737" w:type="dxa"/>
            <w:shd w:val="clear" w:color="auto" w:fill="auto"/>
            <w:vAlign w:val="center"/>
          </w:tcPr>
          <w:p w14:paraId="36E0BE1F" w14:textId="0984D235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6EA6D6C" w14:textId="06EB5D65" w:rsidR="006A6893" w:rsidRPr="00352FDE" w:rsidRDefault="006A6893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Model (podać)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4B0FC" w14:textId="77777777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6893" w:rsidRPr="00352FDE" w14:paraId="0823A4BE" w14:textId="77777777" w:rsidTr="0058704A">
        <w:tc>
          <w:tcPr>
            <w:tcW w:w="737" w:type="dxa"/>
            <w:shd w:val="clear" w:color="auto" w:fill="auto"/>
            <w:vAlign w:val="center"/>
          </w:tcPr>
          <w:p w14:paraId="17492E3C" w14:textId="4780E3F1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D7F6FAA" w14:textId="3544E1CA" w:rsidR="006A6893" w:rsidRPr="00352FDE" w:rsidRDefault="00B26665" w:rsidP="00B2666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Rok produkcji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BAB9E" w14:textId="77777777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26427301" w14:textId="77777777" w:rsidTr="0058704A">
        <w:tc>
          <w:tcPr>
            <w:tcW w:w="737" w:type="dxa"/>
            <w:shd w:val="clear" w:color="auto" w:fill="auto"/>
            <w:vAlign w:val="center"/>
          </w:tcPr>
          <w:p w14:paraId="645449B9" w14:textId="67397C71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09D1E6B" w14:textId="4183EB90" w:rsidR="00352FDE" w:rsidRPr="00352FDE" w:rsidRDefault="00B26665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Analizator w pełni zautomatyzowany do wieloparametrowego oznaczania drobnoustrojów PCR w systemie zamkniętym wraz z zestawem komputerowym z oprogramowaniem, czytnikiem kodów kreskowych, UPS i stacją roboczą do przygotowywania próbek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4AB0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616C8EF3" w14:textId="77777777" w:rsidTr="0058704A">
        <w:tc>
          <w:tcPr>
            <w:tcW w:w="737" w:type="dxa"/>
            <w:shd w:val="clear" w:color="auto" w:fill="auto"/>
            <w:vAlign w:val="center"/>
          </w:tcPr>
          <w:p w14:paraId="5E42B538" w14:textId="630B4D3B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2F069A" w14:textId="0AFC4586" w:rsidR="00352FDE" w:rsidRPr="00352FDE" w:rsidRDefault="00B26665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Aparat pracujący w oparciu o system zapewniający zintegrowaną izolację DNA, amplifikację i detekcję w jednym procesie bez konieczności przenoszenia próbki w obrębie aparatu lub/i do innych urządzeń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D12F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0317321" w14:textId="77777777" w:rsidTr="0058704A">
        <w:tc>
          <w:tcPr>
            <w:tcW w:w="737" w:type="dxa"/>
            <w:shd w:val="clear" w:color="auto" w:fill="auto"/>
            <w:vAlign w:val="center"/>
          </w:tcPr>
          <w:p w14:paraId="1CB4F398" w14:textId="38DD3244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4F1D699" w14:textId="260DB185" w:rsidR="00416A21" w:rsidRPr="00352FDE" w:rsidRDefault="00416A21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System wykorzystujący technologię </w:t>
            </w:r>
            <w:proofErr w:type="spellStart"/>
            <w:r>
              <w:rPr>
                <w:rFonts w:ascii="Calibri" w:eastAsia="Calibri" w:hAnsi="Calibri" w:cs="Times New Roman"/>
              </w:rPr>
              <w:t>nested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multipleks PCR o podwyższonej czułości i specyficzności oznaczeń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2974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11E6FDBA" w14:textId="77777777" w:rsidTr="0058704A">
        <w:tc>
          <w:tcPr>
            <w:tcW w:w="737" w:type="dxa"/>
            <w:shd w:val="clear" w:color="auto" w:fill="auto"/>
            <w:vAlign w:val="center"/>
          </w:tcPr>
          <w:p w14:paraId="441A7CA6" w14:textId="1F506D25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72CC6F8" w14:textId="555B1042" w:rsidR="00352FDE" w:rsidRPr="00352FDE" w:rsidRDefault="00CA0A6E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Odczynniki gotowe do użycia o zamkniętym układzie reakcyjnym </w:t>
            </w:r>
            <w:r w:rsidR="00903541">
              <w:rPr>
                <w:rFonts w:ascii="Calibri" w:eastAsia="Calibri" w:hAnsi="Calibri" w:cs="Times New Roman"/>
              </w:rPr>
              <w:t>posiadające zabezpieczenie przed uszkodzeniem i kontaminacją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9E9B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374DB38F" w14:textId="77777777" w:rsidTr="0058704A">
        <w:tc>
          <w:tcPr>
            <w:tcW w:w="737" w:type="dxa"/>
            <w:shd w:val="clear" w:color="auto" w:fill="auto"/>
            <w:vAlign w:val="center"/>
          </w:tcPr>
          <w:p w14:paraId="65A0748D" w14:textId="7246A5A6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7A436F6" w14:textId="27F8EAD4" w:rsidR="00352FDE" w:rsidRPr="00352FDE" w:rsidRDefault="00903541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Testy w formie panelów wykorzystujących technikę multipleks PCR do jednoczesnego wykrywania wielu patogenów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D713B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56428214" w14:textId="77777777" w:rsidTr="0058704A">
        <w:tc>
          <w:tcPr>
            <w:tcW w:w="737" w:type="dxa"/>
            <w:shd w:val="clear" w:color="auto" w:fill="auto"/>
            <w:vAlign w:val="center"/>
          </w:tcPr>
          <w:p w14:paraId="3AEE4799" w14:textId="11F58ACA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23D7978" w14:textId="43CBBE78" w:rsidR="00352FDE" w:rsidRPr="00352FDE" w:rsidRDefault="00903541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Możliwość wykonania badania bezpośrednio z próbki pobranej od pacjenta lub dodatniego posiewu krwi bez wstępnej ekstrakcji DNA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9D5F8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52EC215B" w14:textId="77777777" w:rsidTr="0058704A">
        <w:tc>
          <w:tcPr>
            <w:tcW w:w="737" w:type="dxa"/>
            <w:shd w:val="clear" w:color="auto" w:fill="auto"/>
            <w:vAlign w:val="center"/>
          </w:tcPr>
          <w:p w14:paraId="50852430" w14:textId="01069A11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CA26FF" w14:textId="2AD83D00" w:rsidR="00352FDE" w:rsidRPr="00352FDE" w:rsidRDefault="00903541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Testy w formie panelów posiadające kontrole wewnętrzne umożliwiające monitorowanie poprawności wykonania badania na każdym etapie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6CB25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5D89" w:rsidRPr="00352FDE" w14:paraId="355C664B" w14:textId="77777777" w:rsidTr="0058704A">
        <w:tc>
          <w:tcPr>
            <w:tcW w:w="737" w:type="dxa"/>
            <w:shd w:val="clear" w:color="auto" w:fill="auto"/>
            <w:vAlign w:val="center"/>
          </w:tcPr>
          <w:p w14:paraId="4A426871" w14:textId="0B1876C3" w:rsidR="00725D89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0AD90AA" w14:textId="11AC7AC3" w:rsidR="00725D89" w:rsidRPr="00352FDE" w:rsidRDefault="00903541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Czas wykonania analizy poniżej 70 minut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3ACE3" w14:textId="77777777" w:rsidR="00725D89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5D89" w:rsidRPr="00352FDE" w14:paraId="132C5E0D" w14:textId="77777777" w:rsidTr="0058704A">
        <w:tc>
          <w:tcPr>
            <w:tcW w:w="737" w:type="dxa"/>
            <w:shd w:val="clear" w:color="auto" w:fill="auto"/>
            <w:vAlign w:val="center"/>
          </w:tcPr>
          <w:p w14:paraId="4077D550" w14:textId="784D780F" w:rsidR="00725D89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03F2638" w14:textId="255196E6" w:rsidR="00725D89" w:rsidRDefault="00903541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Aparat wydający wynik gotowy do interpretacji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A091D" w14:textId="77777777" w:rsidR="00725D89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036162A" w14:textId="77777777" w:rsidTr="0058704A">
        <w:tc>
          <w:tcPr>
            <w:tcW w:w="737" w:type="dxa"/>
            <w:shd w:val="clear" w:color="auto" w:fill="auto"/>
            <w:vAlign w:val="center"/>
          </w:tcPr>
          <w:p w14:paraId="47C894DF" w14:textId="537FEBB2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5040FAB" w14:textId="65302F34" w:rsidR="00352FDE" w:rsidRPr="00352FDE" w:rsidRDefault="00903541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Aparat nie wymagający spełniania kryteriów pracowni biologii molekularnej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9F91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8AF0AD4" w14:textId="77777777" w:rsidTr="0058704A">
        <w:tc>
          <w:tcPr>
            <w:tcW w:w="737" w:type="dxa"/>
            <w:shd w:val="clear" w:color="auto" w:fill="auto"/>
            <w:vAlign w:val="center"/>
          </w:tcPr>
          <w:p w14:paraId="75FD1A2D" w14:textId="7D35A87F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9E23726" w14:textId="0CA273DC" w:rsidR="00352FDE" w:rsidRPr="00352FDE" w:rsidRDefault="00903541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Odczynniki multipleks PCR kompatybilne z aparatem zestawione w panelach umożliwiające detekcję grup patogenów i mechanizmów oporności na antybiotyki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A5797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5D89" w:rsidRPr="00352FDE" w14:paraId="15F6DA50" w14:textId="77777777" w:rsidTr="0058704A">
        <w:tc>
          <w:tcPr>
            <w:tcW w:w="737" w:type="dxa"/>
            <w:shd w:val="clear" w:color="auto" w:fill="auto"/>
            <w:vAlign w:val="center"/>
          </w:tcPr>
          <w:p w14:paraId="4423BEDE" w14:textId="42CAD392" w:rsidR="00725D89" w:rsidRDefault="00075ACD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A5E1953" w14:textId="592E0F77" w:rsidR="00725D89" w:rsidRPr="00352FDE" w:rsidRDefault="00903541" w:rsidP="00075AC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Panel do wykrywania bakterii atypowych i wirusów z górnych dróg oddechowych</w:t>
            </w:r>
            <w:r w:rsidR="00075ACD">
              <w:rPr>
                <w:rFonts w:ascii="Calibri" w:eastAsia="Calibri" w:hAnsi="Calibri" w:cs="Times New Roman"/>
              </w:rPr>
              <w:t xml:space="preserve"> (wymaz z nosogardzieli): wykrywający przede wszystkim wirusy Influenza A, B, wirusy Parainfluenza, Rinowirusy/ Enterowirusy, RSV, oraz bakterie atypowe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E5459" w14:textId="77777777" w:rsidR="00725D89" w:rsidRPr="00352FDE" w:rsidRDefault="00725D89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056EF047" w14:textId="77777777" w:rsidTr="0058704A">
        <w:tc>
          <w:tcPr>
            <w:tcW w:w="737" w:type="dxa"/>
            <w:shd w:val="clear" w:color="auto" w:fill="auto"/>
            <w:vAlign w:val="center"/>
          </w:tcPr>
          <w:p w14:paraId="6E3F5216" w14:textId="30913511" w:rsidR="00352FDE" w:rsidRPr="00352FDE" w:rsidRDefault="00075ACD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E3D0590" w14:textId="60CF7D80" w:rsidR="00352FDE" w:rsidRPr="00352FDE" w:rsidRDefault="00075ACD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Panel do wykrywania bakterii typowych i atypowych, wirusów i genów oporności na antybiotyki z dolnych dróg oddechowych (materiał: plwocina, BAL): wykrywający najczęściej powodujące infekcje bakterie G(+), G(-), niefermentujące i atypowe wirusy oraz geny oporności na antybiotyki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B2A9F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1E3473BF" w14:textId="77777777" w:rsidTr="0058704A">
        <w:tc>
          <w:tcPr>
            <w:tcW w:w="737" w:type="dxa"/>
            <w:shd w:val="clear" w:color="auto" w:fill="auto"/>
            <w:vAlign w:val="center"/>
          </w:tcPr>
          <w:p w14:paraId="0C049775" w14:textId="16C27A99" w:rsidR="00352FDE" w:rsidRPr="00352FDE" w:rsidRDefault="00075ACD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73317CE" w14:textId="1EB77B5E" w:rsidR="00352FDE" w:rsidRPr="00352FDE" w:rsidRDefault="00075ACD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Panel do wykrywania patogenów zakażeń krwi i genów oporności z dodatnich hodowli (butelek krwi): bakterie najczęściej powodujące zakażenie krwi G(+), G(-), niefermentujące</w:t>
            </w:r>
            <w:r w:rsidR="0097512F">
              <w:rPr>
                <w:rFonts w:ascii="Calibri" w:eastAsia="Calibri" w:hAnsi="Calibri" w:cs="Times New Roman"/>
              </w:rPr>
              <w:t>, grzyby drożdżopodobne i geny oporności np.. MRSA, VRE, KPC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50B6E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40C77875" w14:textId="77777777" w:rsidTr="0058704A">
        <w:tc>
          <w:tcPr>
            <w:tcW w:w="737" w:type="dxa"/>
            <w:shd w:val="clear" w:color="auto" w:fill="auto"/>
            <w:vAlign w:val="center"/>
          </w:tcPr>
          <w:p w14:paraId="5D4938BB" w14:textId="3B484580" w:rsidR="00352FDE" w:rsidRPr="00352FDE" w:rsidRDefault="00075ACD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d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D124FAC" w14:textId="0ED295BF" w:rsidR="00352FDE" w:rsidRPr="00352FDE" w:rsidRDefault="0097512F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Panel do wykrywania bakterii, wirusów, i pasożytów jelitowych: bakterie, pasożyty, wirusy – najczęściej powodujące zakażenie układu pokarmowego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76F5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30A4CBDB" w14:textId="77777777" w:rsidTr="0058704A">
        <w:tc>
          <w:tcPr>
            <w:tcW w:w="737" w:type="dxa"/>
            <w:shd w:val="clear" w:color="auto" w:fill="auto"/>
            <w:vAlign w:val="center"/>
          </w:tcPr>
          <w:p w14:paraId="3F64F326" w14:textId="15D8D018" w:rsidR="00352FDE" w:rsidRPr="00352FDE" w:rsidRDefault="00075ACD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ED0E00F" w14:textId="0CE2F890" w:rsidR="00352FDE" w:rsidRPr="00352FDE" w:rsidRDefault="0097512F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Panel do wykrywania bakterii, wirusów i drożdżaków</w:t>
            </w:r>
            <w:r w:rsidR="001606B1">
              <w:rPr>
                <w:rFonts w:ascii="Calibri" w:eastAsia="Calibri" w:hAnsi="Calibri" w:cs="Times New Roman"/>
              </w:rPr>
              <w:t xml:space="preserve"> z płynu mózgowo – rdzeniowego: bakterie najczęściej powodujące zakażenie OUN oraz wirusy, w szczególności Cytomegalowirus, Enterowirus, wirus opryszczki typu 1, typu 2, ludzki herpeswirus typu 6, wirus ospy wietrznej – półpaśca + grzyby powodujące najczęściej zakażenie OUN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05E77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0FAE2058" w14:textId="77777777" w:rsidTr="0058704A">
        <w:tc>
          <w:tcPr>
            <w:tcW w:w="737" w:type="dxa"/>
            <w:shd w:val="clear" w:color="auto" w:fill="auto"/>
            <w:vAlign w:val="center"/>
          </w:tcPr>
          <w:p w14:paraId="3D2D551E" w14:textId="033B0AF5" w:rsidR="00352FDE" w:rsidRPr="00352FDE" w:rsidRDefault="00075ACD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D88492E" w14:textId="5969D323" w:rsidR="00352FDE" w:rsidRPr="00352FDE" w:rsidRDefault="001606B1" w:rsidP="001606B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 ramach czynszu dzierżawnego zgodnie z obowiązującymi wymogami pełny serwis gwarancyjny wydzierżawionego analizatora przez cały okres obowiązywania umowy wraz ze wszystkimi niezbędnymi przeglądami okresowymi i naprawami zapewniającymi jego sprawność przez cały czas trwania umowy, łącznie z materiałami zużywalnymi i eksploatacyjnymi potrzebnymi do jego wykonania w terminie uzgodnionym z Zamawiającym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C240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29DC02EE" w14:textId="77777777" w:rsidTr="0058704A">
        <w:tc>
          <w:tcPr>
            <w:tcW w:w="737" w:type="dxa"/>
            <w:shd w:val="clear" w:color="auto" w:fill="auto"/>
            <w:vAlign w:val="center"/>
          </w:tcPr>
          <w:p w14:paraId="261B8B9D" w14:textId="2F3F0674" w:rsidR="00352FDE" w:rsidRPr="00352FDE" w:rsidRDefault="00075ACD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9C7CFFE" w14:textId="227E6FC6" w:rsidR="00352FDE" w:rsidRPr="00352FDE" w:rsidRDefault="001606B1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Telefoniczne lub mailowe zgłaszanie awarii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30177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6871A452" w14:textId="77777777" w:rsidTr="0058704A">
        <w:tc>
          <w:tcPr>
            <w:tcW w:w="737" w:type="dxa"/>
            <w:shd w:val="clear" w:color="auto" w:fill="auto"/>
            <w:vAlign w:val="center"/>
          </w:tcPr>
          <w:p w14:paraId="78692FFC" w14:textId="3ABAE9CC" w:rsidR="00352FDE" w:rsidRPr="00352FDE" w:rsidRDefault="00075ACD" w:rsidP="00075AC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662DA58" w14:textId="727C802B" w:rsidR="00352FDE" w:rsidRPr="00352FDE" w:rsidRDefault="000B57D5" w:rsidP="000B57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 cenie oferty szkolenie personelu w zakresie obsługi analizatora, interpretacji wyników w siedzibie Zamawiającego – Centralne Laboratorium Szpitala Powiatowego w Węgrowie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5F4F4A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7EA122AE" w14:textId="77777777" w:rsidTr="0058704A">
        <w:tc>
          <w:tcPr>
            <w:tcW w:w="737" w:type="dxa"/>
            <w:shd w:val="clear" w:color="auto" w:fill="auto"/>
            <w:vAlign w:val="center"/>
          </w:tcPr>
          <w:p w14:paraId="6AB9C0D8" w14:textId="1E00E0EB" w:rsidR="00352FDE" w:rsidRPr="00352FDE" w:rsidRDefault="00075ACD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327FD40" w14:textId="07E00CF7" w:rsidR="00352FDE" w:rsidRPr="00352FDE" w:rsidRDefault="000B57D5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Instrukcja obsługi oraz procedur</w:t>
            </w:r>
            <w:r w:rsidR="008C4A38">
              <w:rPr>
                <w:rFonts w:ascii="Calibri" w:eastAsia="Calibri" w:hAnsi="Calibri" w:cs="Times New Roman"/>
              </w:rPr>
              <w:t>y w języku polskim dostarczone wraz z dostawą analizatora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B77D5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0A455F0" w14:textId="77777777" w:rsidR="00352FDE" w:rsidRPr="00352FDE" w:rsidRDefault="00352FDE" w:rsidP="00352FDE">
      <w:pPr>
        <w:spacing w:after="0"/>
        <w:jc w:val="center"/>
        <w:rPr>
          <w:rFonts w:ascii="Calibri" w:eastAsia="Calibri" w:hAnsi="Calibri" w:cs="Times New Roman"/>
        </w:rPr>
      </w:pPr>
    </w:p>
    <w:p w14:paraId="1B81C19D" w14:textId="77777777" w:rsidR="00352FDE" w:rsidRPr="00352FDE" w:rsidRDefault="00352FDE" w:rsidP="00352FDE">
      <w:pPr>
        <w:spacing w:after="0"/>
        <w:rPr>
          <w:rFonts w:ascii="Calibri" w:eastAsia="Calibri" w:hAnsi="Calibri" w:cs="Times New Roman"/>
          <w:b/>
        </w:rPr>
      </w:pPr>
      <w:r w:rsidRPr="00352FDE">
        <w:rPr>
          <w:rFonts w:ascii="Calibri" w:eastAsia="Calibri" w:hAnsi="Calibri" w:cs="Times New Roman"/>
          <w:b/>
        </w:rPr>
        <w:t>Wymienione parametry i opisy są warunkami minimalnymi, niespełnienie wymaganych powyżej parametrów minimalnych spowoduje odrzucenie oferty.</w:t>
      </w:r>
    </w:p>
    <w:p w14:paraId="1D64D1CC" w14:textId="77777777" w:rsidR="00352FDE" w:rsidRDefault="00352FDE" w:rsidP="00352FDE">
      <w:pPr>
        <w:spacing w:after="0"/>
        <w:jc w:val="both"/>
      </w:pPr>
    </w:p>
    <w:p w14:paraId="5CB3E609" w14:textId="77777777" w:rsidR="006A6893" w:rsidRPr="006A6893" w:rsidRDefault="006A6893" w:rsidP="006A6893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UWAGA!</w:t>
      </w:r>
    </w:p>
    <w:p w14:paraId="7C8CE093" w14:textId="77777777" w:rsidR="006A6893" w:rsidRPr="006A6893" w:rsidRDefault="006A6893" w:rsidP="006A6893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7874AFCA" w14:textId="77777777" w:rsidR="006A6893" w:rsidRDefault="006A6893" w:rsidP="006A6893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0C8A0BB9" w14:textId="046A2E09" w:rsidR="00352FDE" w:rsidRPr="006A6893" w:rsidRDefault="006A6893" w:rsidP="006A6893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352FDE" w:rsidRPr="006A68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267AF" w14:textId="77777777" w:rsidR="000E408C" w:rsidRDefault="000E408C" w:rsidP="001778EB">
      <w:pPr>
        <w:spacing w:after="0" w:line="240" w:lineRule="auto"/>
      </w:pPr>
      <w:r>
        <w:separator/>
      </w:r>
    </w:p>
  </w:endnote>
  <w:endnote w:type="continuationSeparator" w:id="0">
    <w:p w14:paraId="6543E90D" w14:textId="77777777" w:rsidR="000E408C" w:rsidRDefault="000E408C" w:rsidP="0017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F855" w14:textId="77777777" w:rsidR="000E408C" w:rsidRDefault="000E408C" w:rsidP="001778EB">
      <w:pPr>
        <w:spacing w:after="0" w:line="240" w:lineRule="auto"/>
      </w:pPr>
      <w:r>
        <w:separator/>
      </w:r>
    </w:p>
  </w:footnote>
  <w:footnote w:type="continuationSeparator" w:id="0">
    <w:p w14:paraId="3F775A50" w14:textId="77777777" w:rsidR="000E408C" w:rsidRDefault="000E408C" w:rsidP="0017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4EA7E" w14:textId="38A7BC54" w:rsidR="001778EB" w:rsidRDefault="001778EB">
    <w:pPr>
      <w:pStyle w:val="Nagwek"/>
    </w:pPr>
    <w:r w:rsidRPr="001778E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5F0BADC" wp14:editId="4F3D4351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3D18"/>
    <w:multiLevelType w:val="hybridMultilevel"/>
    <w:tmpl w:val="0ECAA0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53"/>
    <w:rsid w:val="00075ACD"/>
    <w:rsid w:val="000A7753"/>
    <w:rsid w:val="000B57D5"/>
    <w:rsid w:val="000E408C"/>
    <w:rsid w:val="001606B1"/>
    <w:rsid w:val="001778EB"/>
    <w:rsid w:val="001C5304"/>
    <w:rsid w:val="00352FDE"/>
    <w:rsid w:val="00416A21"/>
    <w:rsid w:val="006A6893"/>
    <w:rsid w:val="006C76AB"/>
    <w:rsid w:val="00725D89"/>
    <w:rsid w:val="007E3648"/>
    <w:rsid w:val="008C4A38"/>
    <w:rsid w:val="00903541"/>
    <w:rsid w:val="00905A55"/>
    <w:rsid w:val="00911DCE"/>
    <w:rsid w:val="0097512F"/>
    <w:rsid w:val="00A87745"/>
    <w:rsid w:val="00B26665"/>
    <w:rsid w:val="00C15CF2"/>
    <w:rsid w:val="00CA0A6E"/>
    <w:rsid w:val="00D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7568"/>
  <w15:chartTrackingRefBased/>
  <w15:docId w15:val="{889E9B18-D3FA-4EBE-A02C-70836951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8EB"/>
  </w:style>
  <w:style w:type="paragraph" w:styleId="Stopka">
    <w:name w:val="footer"/>
    <w:basedOn w:val="Normalny"/>
    <w:link w:val="StopkaZnak"/>
    <w:uiPriority w:val="99"/>
    <w:unhideWhenUsed/>
    <w:rsid w:val="0017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8EB"/>
  </w:style>
  <w:style w:type="paragraph" w:styleId="Tekstdymka">
    <w:name w:val="Balloon Text"/>
    <w:basedOn w:val="Normalny"/>
    <w:link w:val="TekstdymkaZnak"/>
    <w:uiPriority w:val="99"/>
    <w:semiHidden/>
    <w:unhideWhenUsed/>
    <w:rsid w:val="0090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EE938B-B606-4C35-8D6F-08D7E9A5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4</cp:revision>
  <cp:lastPrinted>2021-08-31T07:15:00Z</cp:lastPrinted>
  <dcterms:created xsi:type="dcterms:W3CDTF">2024-04-26T09:24:00Z</dcterms:created>
  <dcterms:modified xsi:type="dcterms:W3CDTF">2024-04-29T07:12:00Z</dcterms:modified>
</cp:coreProperties>
</file>