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431629D" w:rsidR="0095537D" w:rsidRPr="00105C47" w:rsidRDefault="006524D6" w:rsidP="00777AE2">
      <w:pPr>
        <w:pStyle w:val="Nagwek1"/>
        <w:numPr>
          <w:ilvl w:val="0"/>
          <w:numId w:val="0"/>
        </w:numPr>
        <w:ind w:left="432" w:right="91" w:hanging="432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8C3033">
        <w:t>1</w:t>
      </w:r>
    </w:p>
    <w:p w14:paraId="2AB52B6D" w14:textId="7F6CDA0E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BC075E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BC075E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5C54F3B2" w:rsidR="006B526C" w:rsidRDefault="00042C96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Chemii Leków</w:t>
      </w:r>
      <w:r w:rsidR="006B526C">
        <w:rPr>
          <w:rFonts w:ascii="Calibri" w:hAnsi="Calibri" w:cs="Calibri"/>
          <w:b/>
        </w:rPr>
        <w:t xml:space="preserve"> Uniwersytetu Medycznego w Białymstoku</w:t>
      </w:r>
      <w:r>
        <w:rPr>
          <w:rFonts w:ascii="Calibri" w:hAnsi="Calibri" w:cs="Calibri"/>
          <w:b/>
        </w:rPr>
        <w:t xml:space="preserve"> (Collegium </w:t>
      </w:r>
      <w:proofErr w:type="spellStart"/>
      <w:r>
        <w:rPr>
          <w:rFonts w:ascii="Calibri" w:hAnsi="Calibri" w:cs="Calibri"/>
          <w:b/>
        </w:rPr>
        <w:t>Floridum</w:t>
      </w:r>
      <w:proofErr w:type="spellEnd"/>
      <w:r>
        <w:rPr>
          <w:rFonts w:ascii="Calibri" w:hAnsi="Calibri" w:cs="Calibri"/>
          <w:b/>
        </w:rPr>
        <w:t>)</w:t>
      </w:r>
    </w:p>
    <w:p w14:paraId="1C2D0E84" w14:textId="433A1B07" w:rsidR="00DE0F3F" w:rsidRPr="00825399" w:rsidRDefault="00042C96" w:rsidP="00825399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825399">
        <w:rPr>
          <w:rFonts w:asciiTheme="minorHAnsi" w:hAnsiTheme="minorHAnsi" w:cstheme="minorHAnsi"/>
          <w:b/>
          <w:color w:val="000000"/>
          <w:sz w:val="28"/>
          <w:u w:val="single"/>
        </w:rPr>
        <w:t>Blok grzewczy</w:t>
      </w:r>
      <w:r w:rsidR="006E2BA1" w:rsidRPr="00825399">
        <w:rPr>
          <w:rFonts w:asciiTheme="minorHAnsi" w:hAnsiTheme="minorHAnsi" w:cstheme="minorHAnsi"/>
          <w:b/>
          <w:color w:val="000000"/>
          <w:sz w:val="28"/>
          <w:u w:val="single"/>
        </w:rPr>
        <w:t>, termiczna wytrząsarka</w:t>
      </w:r>
      <w:r w:rsidR="005F16EE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z inkubacją</w:t>
      </w:r>
      <w:r w:rsidR="006E2BA1" w:rsidRPr="00825399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i homogenizator -1zestaw</w:t>
      </w:r>
    </w:p>
    <w:p w14:paraId="1122D728" w14:textId="77777777" w:rsidR="00047F68" w:rsidRPr="00220C8F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4"/>
          <w:szCs w:val="4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139D28D8" w14:textId="693F086E" w:rsidR="00825399" w:rsidRPr="00B92015" w:rsidRDefault="00D35C54" w:rsidP="002356B4">
      <w:pPr>
        <w:pStyle w:val="Akapitzlist"/>
        <w:numPr>
          <w:ilvl w:val="0"/>
          <w:numId w:val="5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Blok grzewczy z akcesoriami 1 </w:t>
      </w:r>
      <w:proofErr w:type="spellStart"/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6C1EDA74" w14:textId="77777777" w:rsidR="00D35C54" w:rsidRDefault="00D35C54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6AF89ED" w14:textId="77777777" w:rsidR="00D35C54" w:rsidRPr="002F23FD" w:rsidRDefault="00D35C54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74B379E" w14:textId="77777777" w:rsidR="00D35C54" w:rsidRPr="002F23FD" w:rsidRDefault="00D35C54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BA17F3E" w14:textId="77777777" w:rsidR="00D35C54" w:rsidRPr="002F23FD" w:rsidRDefault="00D35C54" w:rsidP="00D35C54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D9B3501" w14:textId="77777777" w:rsidR="00D35C54" w:rsidRDefault="00D35C54" w:rsidP="00D35C54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64D4C24" w14:textId="77777777" w:rsidR="00D35C54" w:rsidRPr="008876F6" w:rsidRDefault="00D35C54" w:rsidP="00D35C54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6B6C135" w14:textId="43E3D617" w:rsidR="00D35C54" w:rsidRPr="00825399" w:rsidRDefault="00D35C54" w:rsidP="00825399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..</w:t>
      </w:r>
    </w:p>
    <w:p w14:paraId="5D0A2A10" w14:textId="4C65A5ED" w:rsidR="00D35C54" w:rsidRPr="00B92015" w:rsidRDefault="00D35C54" w:rsidP="002356B4">
      <w:pPr>
        <w:pStyle w:val="Akapitzlist"/>
        <w:numPr>
          <w:ilvl w:val="0"/>
          <w:numId w:val="5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>Termiczna wytrząsarka z</w:t>
      </w:r>
      <w:r w:rsidR="005F16EE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inkubacją i</w:t>
      </w:r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akcesoriami 1 </w:t>
      </w:r>
      <w:proofErr w:type="spellStart"/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Pr="00B92015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7D5E9E61" w14:textId="77777777" w:rsidR="00BF4E8F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 w:rsidR="008022DF"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8876F6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4F7998BD" w:rsidR="006B526C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</w:t>
      </w:r>
      <w:r w:rsidR="00220C8F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220C8F">
        <w:rPr>
          <w:rFonts w:asciiTheme="minorHAnsi" w:hAnsiTheme="minorHAnsi" w:cstheme="minorHAnsi"/>
          <w:sz w:val="24"/>
          <w:szCs w:val="24"/>
        </w:rPr>
        <w:t>..</w:t>
      </w:r>
    </w:p>
    <w:p w14:paraId="0901ED3D" w14:textId="77777777" w:rsidR="00825399" w:rsidRPr="00825399" w:rsidRDefault="00825399" w:rsidP="002356B4">
      <w:pPr>
        <w:pStyle w:val="Akapitzlist"/>
        <w:numPr>
          <w:ilvl w:val="0"/>
          <w:numId w:val="5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825399">
        <w:rPr>
          <w:rFonts w:asciiTheme="minorHAnsi" w:hAnsiTheme="minorHAnsi" w:cstheme="minorHAnsi"/>
          <w:b/>
          <w:color w:val="000000"/>
          <w:sz w:val="28"/>
          <w:u w:val="single"/>
        </w:rPr>
        <w:lastRenderedPageBreak/>
        <w:t>Homogenizator ultradźwiękowy 1kpl.</w:t>
      </w:r>
    </w:p>
    <w:p w14:paraId="2294D481" w14:textId="77777777" w:rsidR="00825399" w:rsidRDefault="00825399" w:rsidP="00825399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2A92A16" w14:textId="77777777" w:rsidR="00825399" w:rsidRPr="002F23FD" w:rsidRDefault="00825399" w:rsidP="00825399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EC063EF" w14:textId="77777777" w:rsidR="00825399" w:rsidRPr="002F23FD" w:rsidRDefault="00825399" w:rsidP="00825399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5C6AEC6" w14:textId="77777777" w:rsidR="00825399" w:rsidRPr="002F23FD" w:rsidRDefault="00825399" w:rsidP="00825399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22BD1F3" w14:textId="77777777" w:rsidR="00825399" w:rsidRDefault="00825399" w:rsidP="00825399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36221FF5" w14:textId="77777777" w:rsidR="00825399" w:rsidRPr="008876F6" w:rsidRDefault="00825399" w:rsidP="00825399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168249BF" w14:textId="30AA09B9" w:rsidR="003E2D12" w:rsidRDefault="00825399" w:rsidP="003E2D12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</w:t>
      </w:r>
      <w:r w:rsidR="00220C8F">
        <w:rPr>
          <w:rFonts w:asciiTheme="minorHAnsi" w:hAnsiTheme="minorHAnsi" w:cstheme="minorHAnsi"/>
          <w:sz w:val="24"/>
          <w:szCs w:val="24"/>
        </w:rPr>
        <w:t>..</w:t>
      </w:r>
    </w:p>
    <w:p w14:paraId="2CB5F24E" w14:textId="4691FF9A" w:rsidR="00B92015" w:rsidRPr="00252A86" w:rsidRDefault="00B92015" w:rsidP="002356B4">
      <w:pPr>
        <w:pStyle w:val="Akapitzlist"/>
        <w:numPr>
          <w:ilvl w:val="0"/>
          <w:numId w:val="6"/>
        </w:num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</w:rPr>
      </w:pPr>
      <w:r w:rsidRPr="00252A86">
        <w:rPr>
          <w:b/>
          <w:sz w:val="28"/>
          <w:szCs w:val="28"/>
        </w:rPr>
        <w:t>WYMAGANIA TECHNICZNE, UŻYTKOWE I FUNKCJONALNE</w:t>
      </w:r>
    </w:p>
    <w:p w14:paraId="18EFB1D8" w14:textId="3E421354" w:rsidR="00D9307D" w:rsidRPr="00220C8F" w:rsidRDefault="00220C8F" w:rsidP="00220C8F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II. </w:t>
      </w:r>
      <w:r w:rsidR="00D9307D" w:rsidRPr="00220C8F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Blok grzewczy z akcesoriami 1 </w:t>
      </w:r>
      <w:proofErr w:type="spellStart"/>
      <w:r w:rsidR="00D9307D" w:rsidRPr="00220C8F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="00D9307D" w:rsidRPr="00220C8F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1F8DDAC2" w14:textId="77777777" w:rsidR="00CB6A95" w:rsidRPr="00CB6A95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Blok grzewczy 2</w:t>
      </w:r>
      <w:r w:rsidRPr="00CB6A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-blokowy </w:t>
      </w: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przeznaczony do zastosowań wymagających powtarzalnych wyników i bardzo wysokiej stabilności temperatur.</w:t>
      </w:r>
    </w:p>
    <w:p w14:paraId="200DF7E1" w14:textId="77777777" w:rsidR="00CB6A95" w:rsidRPr="00CB6A95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Możliwość stosowania 2 wymiennych bloków </w:t>
      </w:r>
    </w:p>
    <w:p w14:paraId="52EB3D71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temperatury w zakresie nie mniejszym niż + 5°C powyżej T ot. do 120°C</w:t>
      </w:r>
    </w:p>
    <w:p w14:paraId="25A0F590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Stabilność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gorsza niż </w:t>
      </w: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>± 0,2°C</w:t>
      </w:r>
    </w:p>
    <w:p w14:paraId="2AF9632A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Stabilność w bloku </w:t>
      </w: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>przy temp. +37°C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gorsza niż </w:t>
      </w:r>
      <w:r w:rsidRPr="00A73C9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± 0.2°C </w:t>
      </w:r>
    </w:p>
    <w:p w14:paraId="3C5E1188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>Stabilność  w podobnych blokach przy temp. +37°C nie gorsza niż ± 0,1°C</w:t>
      </w:r>
    </w:p>
    <w:p w14:paraId="7FD36EFC" w14:textId="77777777" w:rsidR="00CB6A95" w:rsidRPr="00110D60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10D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Regulacja temperatury </w:t>
      </w:r>
      <w:r w:rsidRPr="00110D60">
        <w:rPr>
          <w:rFonts w:asciiTheme="minorHAnsi" w:hAnsiTheme="minorHAnsi"/>
          <w:sz w:val="24"/>
          <w:szCs w:val="24"/>
          <w:shd w:val="clear" w:color="auto" w:fill="FFFFFF"/>
        </w:rPr>
        <w:t>z dokładnością nie gorszą niż ± 0,1°C</w:t>
      </w:r>
    </w:p>
    <w:p w14:paraId="6D55BEEB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="Times New Roman"/>
          <w:sz w:val="24"/>
          <w:szCs w:val="24"/>
          <w:lang w:eastAsia="pl-PL"/>
        </w:rPr>
        <w:t>Zakres nastawy czasu nie mniejszy niż od 1sek. do 9999 min.</w:t>
      </w:r>
    </w:p>
    <w:p w14:paraId="0D8A2380" w14:textId="77777777" w:rsidR="00CB6A95" w:rsidRPr="000E7DD8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E7DD8">
        <w:rPr>
          <w:rFonts w:asciiTheme="minorHAnsi" w:eastAsia="Times New Roman" w:hAnsiTheme="minorHAnsi" w:cstheme="minorHAnsi"/>
          <w:sz w:val="24"/>
          <w:szCs w:val="24"/>
          <w:lang w:eastAsia="pl-PL"/>
        </w:rPr>
        <w:t>Czas nagrzewania do +100°C nie dłuższy niż 16min</w:t>
      </w:r>
    </w:p>
    <w:p w14:paraId="0780AF29" w14:textId="77777777" w:rsidR="00CB6A95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>Cyfrowy panel sterowania</w:t>
      </w:r>
    </w:p>
    <w:p w14:paraId="6ECC5A36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Obudowa ze stali pokrytej farbą</w:t>
      </w:r>
    </w:p>
    <w:p w14:paraId="30ADAACD" w14:textId="77777777" w:rsidR="00CB6A95" w:rsidRPr="00100F70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0F70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Jednoczesne wyświetlanie temperatury i czasu</w:t>
      </w:r>
    </w:p>
    <w:p w14:paraId="117E4494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>Zabezpieczenie przed przegrzaniem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(automatyczne wyłączenie)</w:t>
      </w:r>
    </w:p>
    <w:p w14:paraId="3419ADE5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Sygnalizacja </w:t>
      </w:r>
      <w:r w:rsidRPr="00A73C99">
        <w:rPr>
          <w:rFonts w:asciiTheme="minorHAnsi" w:hAnsiTheme="minorHAnsi"/>
          <w:sz w:val="24"/>
          <w:szCs w:val="24"/>
          <w:shd w:val="clear" w:color="auto" w:fill="FFFFFF"/>
        </w:rPr>
        <w:t>wysokiej temperatury powyżej 40</w:t>
      </w:r>
      <w:r w:rsidRPr="00A73C99">
        <w:rPr>
          <w:rFonts w:asciiTheme="minorHAnsi" w:eastAsia="Times New Roman" w:hAnsiTheme="minorHAnsi" w:cs="Times New Roman"/>
          <w:sz w:val="24"/>
          <w:szCs w:val="24"/>
          <w:lang w:eastAsia="pl-PL"/>
        </w:rPr>
        <w:t>°C</w:t>
      </w:r>
    </w:p>
    <w:p w14:paraId="5830F2A5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hAnsiTheme="minorHAnsi"/>
          <w:sz w:val="24"/>
          <w:szCs w:val="24"/>
          <w:shd w:val="clear" w:color="auto" w:fill="FFFFFF"/>
        </w:rPr>
        <w:lastRenderedPageBreak/>
        <w:t>Funkcja alarmu dźwiękowego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(zakończenie czasu, osiągnięcie zadanej temperatury)</w:t>
      </w:r>
    </w:p>
    <w:p w14:paraId="68D99694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hAnsiTheme="minorHAnsi"/>
          <w:sz w:val="24"/>
          <w:szCs w:val="24"/>
        </w:rPr>
        <w:t>funkcja jednopunktowej kalibracji</w:t>
      </w:r>
    </w:p>
    <w:p w14:paraId="7E72A885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Minimum 5 programów </w:t>
      </w:r>
      <w:r w:rsidRPr="00A73C99">
        <w:rPr>
          <w:rFonts w:asciiTheme="minorHAnsi" w:eastAsia="Times New Roman" w:hAnsiTheme="minorHAnsi" w:cs="Times New Roman"/>
          <w:sz w:val="24"/>
          <w:szCs w:val="24"/>
          <w:lang w:eastAsia="pl-PL"/>
        </w:rPr>
        <w:t>(co najmniej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:</w:t>
      </w:r>
      <w:r w:rsidRPr="00A73C9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Segoe UI"/>
          <w:color w:val="282828"/>
          <w:sz w:val="24"/>
          <w:szCs w:val="24"/>
          <w:shd w:val="clear" w:color="auto" w:fill="FFFFFF"/>
        </w:rPr>
        <w:t>i</w:t>
      </w:r>
      <w:r w:rsidRPr="00A73C99">
        <w:rPr>
          <w:rFonts w:asciiTheme="minorHAnsi" w:hAnsiTheme="minorHAnsi" w:cs="Segoe UI"/>
          <w:color w:val="282828"/>
          <w:sz w:val="24"/>
          <w:szCs w:val="24"/>
          <w:shd w:val="clear" w:color="auto" w:fill="FFFFFF"/>
        </w:rPr>
        <w:t xml:space="preserve">nkubacja i aktywacja hodowli komórek, reakcje </w:t>
      </w:r>
      <w:r w:rsidRPr="00F9536B">
        <w:rPr>
          <w:rFonts w:asciiTheme="minorHAnsi" w:eastAsia="Times New Roman" w:hAnsiTheme="minorHAnsi" w:cstheme="minorHAnsi"/>
          <w:sz w:val="24"/>
          <w:szCs w:val="24"/>
          <w:lang w:eastAsia="pl-PL"/>
        </w:rPr>
        <w:t>enzymatyczne, testy immunologiczne, temperatura topnienia/wrzenia, inkubacja</w:t>
      </w:r>
      <w:r w:rsidRPr="00A73C99">
        <w:rPr>
          <w:rFonts w:asciiTheme="minorHAnsi" w:hAnsiTheme="minorHAnsi" w:cs="Segoe UI"/>
          <w:color w:val="282828"/>
          <w:sz w:val="24"/>
          <w:szCs w:val="24"/>
          <w:shd w:val="clear" w:color="auto" w:fill="FFFFFF"/>
        </w:rPr>
        <w:t xml:space="preserve"> izotermiczna, denaturacja kwasów nukleinowych</w:t>
      </w:r>
      <w:r>
        <w:rPr>
          <w:rFonts w:asciiTheme="minorHAnsi" w:hAnsiTheme="minorHAnsi" w:cs="Segoe UI"/>
          <w:color w:val="282828"/>
          <w:sz w:val="24"/>
          <w:szCs w:val="24"/>
          <w:shd w:val="clear" w:color="auto" w:fill="FFFFFF"/>
        </w:rPr>
        <w:t>)</w:t>
      </w:r>
    </w:p>
    <w:p w14:paraId="0FB7E0B8" w14:textId="77777777" w:rsidR="00CB6A95" w:rsidRPr="00BC075E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 w:line="375" w:lineRule="atLeast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7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Zasilanie urządzenia </w:t>
      </w:r>
      <w:r w:rsidRPr="00BC075E">
        <w:rPr>
          <w:rFonts w:asciiTheme="minorHAnsi" w:hAnsiTheme="minorHAnsi" w:cstheme="minorHAnsi"/>
          <w:sz w:val="24"/>
          <w:szCs w:val="24"/>
        </w:rPr>
        <w:t>230 V</w:t>
      </w:r>
    </w:p>
    <w:p w14:paraId="1C34A3A0" w14:textId="77777777" w:rsidR="00CB6A95" w:rsidRPr="00A73C99" w:rsidRDefault="00CB6A95" w:rsidP="002356B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komplecie </w:t>
      </w:r>
    </w:p>
    <w:p w14:paraId="2A75EE1E" w14:textId="5D1FBEAF" w:rsidR="00CB6A95" w:rsidRPr="000E11F7" w:rsidRDefault="00CB6A95" w:rsidP="002356B4">
      <w:pPr>
        <w:pStyle w:val="Akapitzlist"/>
        <w:widowControl/>
        <w:numPr>
          <w:ilvl w:val="1"/>
          <w:numId w:val="8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E11F7">
        <w:rPr>
          <w:rFonts w:asciiTheme="minorHAnsi" w:hAnsiTheme="minorHAnsi" w:cstheme="minorHAnsi"/>
          <w:sz w:val="24"/>
          <w:szCs w:val="24"/>
          <w:shd w:val="clear" w:color="auto" w:fill="FFFFFF"/>
        </w:rPr>
        <w:t>Sonda ze stali nierdzewnej</w:t>
      </w:r>
      <w:r w:rsidR="000B59D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(do pomiaru temperatury)</w:t>
      </w:r>
    </w:p>
    <w:p w14:paraId="093CC932" w14:textId="5ECBDCED" w:rsidR="00CB6A95" w:rsidRPr="00A73C99" w:rsidRDefault="00CB6A95" w:rsidP="002356B4">
      <w:pPr>
        <w:pStyle w:val="Akapitzlist"/>
        <w:widowControl/>
        <w:numPr>
          <w:ilvl w:val="1"/>
          <w:numId w:val="8"/>
        </w:numPr>
        <w:shd w:val="clear" w:color="auto" w:fill="FFFFFF"/>
        <w:autoSpaceDE/>
        <w:autoSpaceDN/>
        <w:spacing w:after="15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E11F7">
        <w:rPr>
          <w:rFonts w:asciiTheme="minorHAnsi" w:hAnsiTheme="minorHAnsi" w:cstheme="minorHAnsi"/>
          <w:sz w:val="24"/>
          <w:szCs w:val="24"/>
          <w:shd w:val="clear" w:color="auto" w:fill="FFFFFF"/>
        </w:rPr>
        <w:t>2 b</w:t>
      </w:r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loki modułowe 20 miejscowe na </w:t>
      </w:r>
      <w:proofErr w:type="spellStart"/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>vialki</w:t>
      </w:r>
      <w:proofErr w:type="spellEnd"/>
      <w:r w:rsidRPr="00A73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fi 15mm</w:t>
      </w:r>
    </w:p>
    <w:p w14:paraId="46C9B6C0" w14:textId="77777777" w:rsidR="00F9536B" w:rsidRDefault="00F9536B" w:rsidP="003E2D12">
      <w:pPr>
        <w:widowControl/>
        <w:shd w:val="clear" w:color="auto" w:fill="FFFFFF"/>
        <w:autoSpaceDE/>
        <w:autoSpaceDN/>
        <w:spacing w:after="150" w:line="37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F989D4" w14:textId="417699C3" w:rsidR="005F16EE" w:rsidRPr="00B92015" w:rsidRDefault="003E2D12" w:rsidP="005F16EE">
      <w:pPr>
        <w:pStyle w:val="Akapitzlist"/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II. </w:t>
      </w:r>
      <w:r w:rsidR="005F16EE" w:rsidRPr="00B92015">
        <w:rPr>
          <w:rFonts w:asciiTheme="minorHAnsi" w:hAnsiTheme="minorHAnsi" w:cstheme="minorHAnsi"/>
          <w:b/>
          <w:color w:val="000000"/>
          <w:sz w:val="28"/>
          <w:u w:val="single"/>
        </w:rPr>
        <w:t>Termiczna wytrząsarka z</w:t>
      </w:r>
      <w:r w:rsidR="005F16EE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inkubacją i</w:t>
      </w:r>
      <w:r w:rsidR="005F16EE" w:rsidRPr="00B92015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akcesoriami 1 </w:t>
      </w:r>
      <w:proofErr w:type="spellStart"/>
      <w:r w:rsidR="005F16EE" w:rsidRPr="00B92015">
        <w:rPr>
          <w:rFonts w:asciiTheme="minorHAnsi" w:hAnsiTheme="minorHAnsi" w:cstheme="minorHAnsi"/>
          <w:b/>
          <w:color w:val="000000"/>
          <w:sz w:val="28"/>
          <w:u w:val="single"/>
        </w:rPr>
        <w:t>kpl</w:t>
      </w:r>
      <w:proofErr w:type="spellEnd"/>
      <w:r w:rsidR="005F16EE" w:rsidRPr="00B92015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49163103" w14:textId="272BC38C" w:rsidR="003E2D12" w:rsidRPr="00F9536B" w:rsidRDefault="003E2D12" w:rsidP="005F16EE">
      <w:pPr>
        <w:widowControl/>
        <w:shd w:val="clear" w:color="auto" w:fill="FFFFFF"/>
        <w:autoSpaceDE/>
        <w:autoSpaceDN/>
        <w:spacing w:after="150" w:line="375" w:lineRule="atLeast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36B"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Urządzenie z funkcją grzania oraz wytrząsania, stosowane w procesach wymagających równomiernego i precyzyjnego wytrząsania o wysokiej prędkości z kontrolą temperatury.</w:t>
      </w:r>
    </w:p>
    <w:p w14:paraId="73631F8C" w14:textId="77777777" w:rsidR="003E2D12" w:rsidRPr="00F9536B" w:rsidRDefault="003E2D12" w:rsidP="002356B4">
      <w:pPr>
        <w:pStyle w:val="Akapitzlist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7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36B">
        <w:rPr>
          <w:rFonts w:asciiTheme="minorHAnsi" w:eastAsia="Times New Roman" w:hAnsiTheme="minorHAnsi" w:cstheme="minorHAnsi"/>
          <w:sz w:val="24"/>
          <w:szCs w:val="24"/>
          <w:lang w:eastAsia="pl-PL"/>
        </w:rPr>
        <w:t>Ruch orbitalny o amplitudzie drgań 3mm ( ±1mm).</w:t>
      </w:r>
    </w:p>
    <w:p w14:paraId="3CBE276F" w14:textId="77777777" w:rsidR="003E2D12" w:rsidRPr="00F9536B" w:rsidRDefault="003E2D12" w:rsidP="002356B4">
      <w:pPr>
        <w:pStyle w:val="Akapitzlist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7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3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Zakres prędkości nie mniejszy niż od 300 do 3000obr./min </w:t>
      </w:r>
      <w:bookmarkStart w:id="0" w:name="_Hlk134184152"/>
      <w:r w:rsidRPr="00F953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dokładnością nie gorszą niż </w:t>
      </w:r>
      <w:bookmarkEnd w:id="0"/>
      <w:r w:rsidRPr="00F9536B">
        <w:rPr>
          <w:rFonts w:asciiTheme="minorHAnsi" w:eastAsia="Times New Roman" w:hAnsiTheme="minorHAnsi" w:cstheme="minorHAnsi"/>
          <w:sz w:val="24"/>
          <w:szCs w:val="24"/>
          <w:lang w:eastAsia="pl-PL"/>
        </w:rPr>
        <w:t>±2%.</w:t>
      </w:r>
    </w:p>
    <w:p w14:paraId="65FBA49D" w14:textId="77777777" w:rsidR="003E2D12" w:rsidRPr="00CB6A95" w:rsidRDefault="003E2D12" w:rsidP="002356B4">
      <w:pPr>
        <w:pStyle w:val="Akapitzlist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9536B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temperatury grzania nie mniejszy niż od +4°C powyżej temperatury otoczenia do</w:t>
      </w: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+100°C.</w:t>
      </w:r>
    </w:p>
    <w:p w14:paraId="01E70C55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Dokładność temperatury nie gorsza niż  ±1°C w przedziale 20°C- 45°C, ±2°C powyżej 45°C.</w:t>
      </w:r>
    </w:p>
    <w:p w14:paraId="17D0BE92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Zakres nastawy czasu nie mniejszy niż od 1sek. do 99 godz.</w:t>
      </w:r>
    </w:p>
    <w:p w14:paraId="3E2BA887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Tempo podgrzewania nie gorsze niż 5°C/min.</w:t>
      </w:r>
    </w:p>
    <w:p w14:paraId="2BED2A72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Kolorowy wyświetlacz dotykowy o przekątnej nie mniejszej niż 4”.</w:t>
      </w:r>
    </w:p>
    <w:p w14:paraId="4482245E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Minimum 5 programów (co najmniej DNA, RNA, hodowle komórek, hybrydyzacje, badania białek).</w:t>
      </w:r>
    </w:p>
    <w:p w14:paraId="4FB9F287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Obudowa wykonana z materiału odpornego na wysokie temperatury i działanie środków chemicznych.</w:t>
      </w:r>
    </w:p>
    <w:p w14:paraId="2B9A10B7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Alarm dźwiękowy.</w:t>
      </w:r>
    </w:p>
    <w:p w14:paraId="508016FE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Tryb mieszania pulsacyjnego dedykowany do szybkich </w:t>
      </w:r>
      <w:proofErr w:type="spellStart"/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odwirowań</w:t>
      </w:r>
      <w:proofErr w:type="spellEnd"/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5CFEF84C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Port USB umożliwiający przesłanie informacji na dysk w celu rejestracji danych, przechowania programów lub przeprowadzenia aktualizacji oprogramowania.</w:t>
      </w:r>
    </w:p>
    <w:p w14:paraId="3C885646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Sygnalizacja gorącej płyty górnej.</w:t>
      </w:r>
    </w:p>
    <w:p w14:paraId="55628D07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Funkcja ograniczenia temperatury maksymalnej celem zabezpieczenia próbek przed niekontrolowanym przegrzaniem.</w:t>
      </w:r>
    </w:p>
    <w:p w14:paraId="40C917F7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Funkcja priorytetu temperatury.</w:t>
      </w:r>
    </w:p>
    <w:p w14:paraId="7DA93113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Funkcja szybkości narastania temperatury.</w:t>
      </w:r>
    </w:p>
    <w:p w14:paraId="5ECC97A4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Tryb kalibracji temperatury.</w:t>
      </w:r>
    </w:p>
    <w:p w14:paraId="69E26497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Nóżki pochłaniające drgania i uniemożliwiające przemieszczanie się urządzenia podczas wytrząsania.</w:t>
      </w:r>
    </w:p>
    <w:p w14:paraId="2D39D1EB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Silnik bez szczotkowy.</w:t>
      </w:r>
    </w:p>
    <w:p w14:paraId="1E36EEC7" w14:textId="77777777" w:rsidR="003E2D12" w:rsidRPr="00CB6A95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Moc maksymalna co najmniej 180W.</w:t>
      </w:r>
    </w:p>
    <w:p w14:paraId="3C7309EE" w14:textId="241D3303" w:rsidR="003E2D12" w:rsidRDefault="003E2D12" w:rsidP="002356B4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1" w:name="_Hlk134187305"/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Dodatkowo w zestawie:</w:t>
      </w:r>
    </w:p>
    <w:bookmarkEnd w:id="1"/>
    <w:p w14:paraId="2450CDCC" w14:textId="5238E72D" w:rsidR="003E2D12" w:rsidRDefault="003E2D12" w:rsidP="002356B4">
      <w:pPr>
        <w:pStyle w:val="Akapitzlist"/>
        <w:widowControl/>
        <w:numPr>
          <w:ilvl w:val="1"/>
          <w:numId w:val="17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blok na minimum 24 probówki 1,5/2ml,</w:t>
      </w:r>
    </w:p>
    <w:p w14:paraId="6C098F79" w14:textId="4177852F" w:rsidR="006E51FC" w:rsidRDefault="006E51FC" w:rsidP="002356B4">
      <w:pPr>
        <w:pStyle w:val="Akapitzlist"/>
        <w:widowControl/>
        <w:numPr>
          <w:ilvl w:val="1"/>
          <w:numId w:val="17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6A95">
        <w:rPr>
          <w:rFonts w:asciiTheme="minorHAnsi" w:hAnsiTheme="minorHAnsi" w:cstheme="minorHAnsi"/>
          <w:sz w:val="24"/>
          <w:szCs w:val="24"/>
          <w:shd w:val="clear" w:color="auto" w:fill="FFFFFF"/>
        </w:rPr>
        <w:t>blok na minimum 9 probówek stożkowych 15ml</w:t>
      </w:r>
    </w:p>
    <w:p w14:paraId="213D2582" w14:textId="37E886DD" w:rsidR="006E51FC" w:rsidRDefault="006E51FC" w:rsidP="002356B4">
      <w:pPr>
        <w:pStyle w:val="Akapitzlist"/>
        <w:widowControl/>
        <w:numPr>
          <w:ilvl w:val="1"/>
          <w:numId w:val="17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pokrywa</w:t>
      </w:r>
    </w:p>
    <w:p w14:paraId="6E8AABD1" w14:textId="32EEDEB1" w:rsidR="006E51FC" w:rsidRDefault="006E51FC" w:rsidP="002356B4">
      <w:pPr>
        <w:pStyle w:val="Akapitzlist"/>
        <w:widowControl/>
        <w:numPr>
          <w:ilvl w:val="1"/>
          <w:numId w:val="17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plastikowy stojak</w:t>
      </w:r>
    </w:p>
    <w:p w14:paraId="0A99FA77" w14:textId="502A57B5" w:rsidR="003E2D12" w:rsidRDefault="003E2D12" w:rsidP="003E2D12">
      <w:pPr>
        <w:widowControl/>
        <w:shd w:val="clear" w:color="auto" w:fill="FFFFFF"/>
        <w:autoSpaceDE/>
        <w:autoSpaceDN/>
        <w:spacing w:after="150" w:line="37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717DA5D" w14:textId="5C8FCE53" w:rsidR="003E2D12" w:rsidRPr="006E51FC" w:rsidRDefault="006E51FC" w:rsidP="006E51FC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III. </w:t>
      </w:r>
      <w:r w:rsidR="003E2D12" w:rsidRPr="006E51FC">
        <w:rPr>
          <w:rFonts w:asciiTheme="minorHAnsi" w:hAnsiTheme="minorHAnsi" w:cstheme="minorHAnsi"/>
          <w:b/>
          <w:color w:val="000000"/>
          <w:sz w:val="28"/>
          <w:u w:val="single"/>
        </w:rPr>
        <w:t>Homogenizator ultradźwiękowy 1kpl.</w:t>
      </w:r>
    </w:p>
    <w:p w14:paraId="0B91EDB4" w14:textId="3E38DE1C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System do efektywnej lizy komórek i przygotowania próbki</w:t>
      </w:r>
      <w:r w:rsidR="00220C8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7858DB84" w14:textId="06F37008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Mikroprocesorowe sterowanie</w:t>
      </w:r>
      <w:r w:rsidR="00220C8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03EA61F3" w14:textId="33BDF12E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Moc generatora minimum 120 W</w:t>
      </w:r>
      <w:r w:rsidR="00220C8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51BC58A8" w14:textId="6F5F36D7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Częstotliwość 20 kHz</w:t>
      </w:r>
      <w:r w:rsidR="00220C8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41A1F368" w14:textId="2DF9B4EF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Wyświetlacz dawki energii (dżule lub waty)</w:t>
      </w:r>
      <w:r w:rsidR="00220C8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7D03B678" w14:textId="10AF31EF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Programowalny czas pracy w zakresie nie mniejszym niż 1 s do 10 h</w:t>
      </w:r>
      <w:r w:rsidR="00220C8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27C03B2" w14:textId="77777777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Tryb pracy pulsacyjnej w zakresie co najmniej od 1s do 59 s.</w:t>
      </w:r>
    </w:p>
    <w:p w14:paraId="3AA67EEF" w14:textId="77777777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Waga konwertera nie większa niż 350g ( możliwość trzymania w ręku).</w:t>
      </w:r>
    </w:p>
    <w:p w14:paraId="2060644D" w14:textId="77777777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Zabezpieczenie przed przeciążeniem.</w:t>
      </w:r>
    </w:p>
    <w:p w14:paraId="2CF4B0C5" w14:textId="77777777" w:rsidR="00252A86" w:rsidRPr="006E51FC" w:rsidRDefault="00252A86" w:rsidP="002356B4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Zestaw zawiera:</w:t>
      </w:r>
    </w:p>
    <w:p w14:paraId="422E4464" w14:textId="77777777" w:rsidR="00252A86" w:rsidRPr="006E51FC" w:rsidRDefault="00252A86" w:rsidP="002356B4">
      <w:pPr>
        <w:pStyle w:val="Akapitzlist"/>
        <w:widowControl/>
        <w:numPr>
          <w:ilvl w:val="1"/>
          <w:numId w:val="10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generator,</w:t>
      </w:r>
    </w:p>
    <w:p w14:paraId="04028D78" w14:textId="77777777" w:rsidR="00252A86" w:rsidRPr="006E51FC" w:rsidRDefault="00252A86" w:rsidP="002356B4">
      <w:pPr>
        <w:pStyle w:val="Akapitzlist"/>
        <w:widowControl/>
        <w:numPr>
          <w:ilvl w:val="1"/>
          <w:numId w:val="10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konwerter,</w:t>
      </w:r>
    </w:p>
    <w:p w14:paraId="70F9DF9A" w14:textId="66943B79" w:rsidR="00252A86" w:rsidRPr="006E51FC" w:rsidRDefault="00252A86" w:rsidP="002356B4">
      <w:pPr>
        <w:pStyle w:val="Akapitzlist"/>
        <w:widowControl/>
        <w:numPr>
          <w:ilvl w:val="1"/>
          <w:numId w:val="10"/>
        </w:numPr>
        <w:shd w:val="clear" w:color="auto" w:fill="FFFFFF"/>
        <w:autoSpaceDE/>
        <w:autoSpaceDN/>
        <w:spacing w:after="15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końcówk</w:t>
      </w:r>
      <w:r w:rsidRPr="00DC21A8">
        <w:rPr>
          <w:rFonts w:asciiTheme="minorHAnsi" w:hAnsiTheme="minorHAnsi" w:cstheme="minorHAnsi"/>
          <w:sz w:val="24"/>
          <w:szCs w:val="24"/>
        </w:rPr>
        <w:t xml:space="preserve">ę homogenizującą o fi 3 mm do próbek o objętości </w:t>
      </w:r>
      <w:r>
        <w:rPr>
          <w:rFonts w:asciiTheme="minorHAnsi" w:hAnsiTheme="minorHAnsi" w:cstheme="minorHAnsi"/>
          <w:sz w:val="24"/>
          <w:szCs w:val="24"/>
        </w:rPr>
        <w:t xml:space="preserve"> co najmniej </w:t>
      </w:r>
      <w:r w:rsidRPr="00DC21A8">
        <w:rPr>
          <w:rFonts w:asciiTheme="minorHAnsi" w:hAnsiTheme="minorHAnsi" w:cstheme="minorHAnsi"/>
          <w:sz w:val="24"/>
          <w:szCs w:val="24"/>
        </w:rPr>
        <w:t>0,5-15 ml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FBA6F97" w14:textId="07EC5616" w:rsidR="006E51FC" w:rsidRPr="00D65462" w:rsidRDefault="006E51FC" w:rsidP="002356B4">
      <w:pPr>
        <w:pStyle w:val="Akapitzlist"/>
        <w:widowControl/>
        <w:numPr>
          <w:ilvl w:val="1"/>
          <w:numId w:val="10"/>
        </w:numPr>
        <w:shd w:val="clear" w:color="auto" w:fill="FFFFFF"/>
        <w:autoSpaceDE/>
        <w:autoSpaceDN/>
        <w:spacing w:after="15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statyw z klamrą na konwerter o wysokości 600mm( ±10%)</w:t>
      </w:r>
      <w:r w:rsidR="00220C8F">
        <w:rPr>
          <w:rFonts w:asciiTheme="minorHAnsi" w:hAnsiTheme="minorHAnsi" w:cstheme="minorHAnsi"/>
          <w:sz w:val="24"/>
          <w:szCs w:val="24"/>
        </w:rPr>
        <w:t>.</w:t>
      </w:r>
    </w:p>
    <w:p w14:paraId="0373A89A" w14:textId="77777777" w:rsidR="003E2D12" w:rsidRPr="003E2D12" w:rsidRDefault="003E2D12" w:rsidP="003E2D12">
      <w:pPr>
        <w:widowControl/>
        <w:shd w:val="clear" w:color="auto" w:fill="FFFFFF"/>
        <w:autoSpaceDE/>
        <w:autoSpaceDN/>
        <w:spacing w:after="150" w:line="37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5C72C7" w14:textId="54B9DB47" w:rsidR="00851AE0" w:rsidRPr="00910F07" w:rsidRDefault="00851AE0" w:rsidP="002356B4">
      <w:pPr>
        <w:pStyle w:val="Nagwek2"/>
        <w:numPr>
          <w:ilvl w:val="0"/>
          <w:numId w:val="7"/>
        </w:numPr>
        <w:ind w:right="91"/>
        <w:jc w:val="both"/>
        <w:rPr>
          <w:rFonts w:ascii="Arial" w:hAnsi="Arial" w:cs="Arial"/>
        </w:rPr>
      </w:pPr>
      <w:r w:rsidRPr="00910F07">
        <w:rPr>
          <w:rFonts w:ascii="Arial" w:hAnsi="Arial" w:cs="Arial"/>
        </w:rPr>
        <w:t xml:space="preserve">WYMAGANIA OGÓLNE </w:t>
      </w:r>
    </w:p>
    <w:p w14:paraId="54AC2711" w14:textId="77777777" w:rsidR="00851AE0" w:rsidRPr="006E51FC" w:rsidRDefault="00851AE0" w:rsidP="002356B4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Przedmiot zamówienia fabrycznie nowy, nie powystawowy, produkowany seryjnie,</w:t>
      </w:r>
    </w:p>
    <w:p w14:paraId="6B638ADE" w14:textId="77777777" w:rsidR="00851AE0" w:rsidRPr="006E51FC" w:rsidRDefault="00851AE0" w:rsidP="002356B4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4D362BA" w14:textId="77777777" w:rsidR="00851AE0" w:rsidRPr="006E51FC" w:rsidRDefault="00851AE0" w:rsidP="002356B4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1C7F71FC" w14:textId="60891298" w:rsidR="00851AE0" w:rsidRPr="006E51FC" w:rsidRDefault="00851AE0" w:rsidP="002356B4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Wszelkie oprogramowania komputerowe wchodzące w skład przedmiotu zamówienia muszą być w języku polskim i/lub języku angielskim:</w:t>
      </w:r>
    </w:p>
    <w:p w14:paraId="2E5F3E25" w14:textId="77777777" w:rsidR="00D902E9" w:rsidRPr="006E51FC" w:rsidRDefault="00D902E9" w:rsidP="002356B4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6DFED75" w14:textId="77777777" w:rsidR="00D902E9" w:rsidRPr="006E51FC" w:rsidRDefault="00D902E9" w:rsidP="002356B4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27A55714" w14:textId="77777777" w:rsidR="00D902E9" w:rsidRPr="006E51FC" w:rsidRDefault="00D902E9" w:rsidP="002356B4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0B44D5A2" w14:textId="4E3C914F" w:rsidR="00D902E9" w:rsidRPr="006E51FC" w:rsidRDefault="00D902E9" w:rsidP="002356B4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Materiały informacyjne (np. prospekty i/lub foldery i/lub inne dokumenty) oferowanego sprzętu. UWAGA: Zamawiający nie wymaga potwierdzenia w materiałach informacyjnych wszystkich parametrów technicznych, eksploatacyjnych, jakościowych i funkcjonalnych danego sprzętu, które są wymagane w opisie przedmiotu zamówienia. W sytuacji, gdy </w:t>
      </w:r>
      <w:r w:rsidRPr="006E51FC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jest oznaczenie załączonych dokumentów informacyjnych w celu właściwej identyfikacji przez Zamawiającego poszczególnych parametrów (numer z oznaczeniem jakiego parametru/wyposażenia dotyczy). Do dostawy (wraz z urządzeniem) dostarczona instrukcja stanowiskowa (dopuszcza się instrukcję obsługi) w języku polskim w wersji papierowej i/lub w wersji elektronicznej (np. CD).  </w:t>
      </w:r>
    </w:p>
    <w:p w14:paraId="6AC46F1B" w14:textId="77777777" w:rsidR="00D902E9" w:rsidRDefault="00D902E9" w:rsidP="00D902E9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0CE7550D" w14:textId="77777777" w:rsidR="00D902E9" w:rsidRPr="00383D8F" w:rsidRDefault="00D902E9" w:rsidP="00D902E9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Pr="00383D8F">
        <w:rPr>
          <w:rFonts w:asciiTheme="minorHAnsi" w:hAnsiTheme="minorHAnsi" w:cstheme="minorHAnsi"/>
          <w:sz w:val="24"/>
          <w:szCs w:val="24"/>
        </w:rPr>
        <w:br/>
        <w:t>i funkcjonalne przedstawione w powyższych tabelach, oraz wszystkie dotyczące go pozostałe wymagania wymienione w specyfikacji istotnych warunków zamówienia i w załącznikach do niej.</w:t>
      </w:r>
    </w:p>
    <w:p w14:paraId="4476A078" w14:textId="77777777" w:rsidR="009931EB" w:rsidRDefault="009931EB" w:rsidP="006E51FC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B05139" w14:textId="70D55FC4" w:rsidR="00582C80" w:rsidRDefault="00D902E9" w:rsidP="006E51FC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</w:t>
      </w:r>
      <w:r>
        <w:rPr>
          <w:rFonts w:asciiTheme="minorHAnsi" w:hAnsiTheme="minorHAnsi" w:cstheme="minorHAnsi"/>
          <w:b/>
          <w:sz w:val="24"/>
          <w:szCs w:val="24"/>
        </w:rPr>
        <w:t>troniczny Wykonawcy</w:t>
      </w:r>
      <w:r w:rsidR="00993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931EB" w:rsidRPr="009931E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</w:p>
    <w:p w14:paraId="7128DD15" w14:textId="77777777" w:rsidR="00582C80" w:rsidRDefault="00582C80" w:rsidP="00582C8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D55291C" w:rsidR="0095537D" w:rsidRPr="00383D8F" w:rsidRDefault="008A08AC" w:rsidP="00220C8F">
      <w:pPr>
        <w:pStyle w:val="Nagwek1"/>
        <w:numPr>
          <w:ilvl w:val="0"/>
          <w:numId w:val="0"/>
        </w:numPr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817A2E">
        <w:t>1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C030132" w14:textId="77777777" w:rsidR="004633CB" w:rsidRDefault="004633CB" w:rsidP="004633CB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Chemii Leków Uniwersytetu Medycznego w Białymstoku (Collegium </w:t>
      </w:r>
      <w:proofErr w:type="spellStart"/>
      <w:r>
        <w:rPr>
          <w:rFonts w:ascii="Calibri" w:hAnsi="Calibri" w:cs="Calibri"/>
          <w:b/>
        </w:rPr>
        <w:t>Floridum</w:t>
      </w:r>
      <w:proofErr w:type="spellEnd"/>
      <w:r>
        <w:rPr>
          <w:rFonts w:ascii="Calibri" w:hAnsi="Calibri" w:cs="Calibri"/>
          <w:b/>
        </w:rPr>
        <w:t>)</w:t>
      </w:r>
    </w:p>
    <w:p w14:paraId="40D3460A" w14:textId="47AEDFD8" w:rsidR="00055DAC" w:rsidRPr="00825399" w:rsidRDefault="00055DAC" w:rsidP="00055DAC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825399">
        <w:rPr>
          <w:rFonts w:asciiTheme="minorHAnsi" w:hAnsiTheme="minorHAnsi" w:cstheme="minorHAnsi"/>
          <w:b/>
          <w:color w:val="000000"/>
          <w:sz w:val="28"/>
          <w:u w:val="single"/>
        </w:rPr>
        <w:t>Blok grzewczy, termiczna wytrząsarka</w:t>
      </w:r>
      <w:r w:rsidR="005F16EE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z inkubacją</w:t>
      </w:r>
      <w:r w:rsidRPr="00825399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i homogenizator -1zestaw</w:t>
      </w:r>
    </w:p>
    <w:p w14:paraId="650BF1DD" w14:textId="77777777" w:rsidR="00724DDB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5610DC1" w:rsidR="00204CA6" w:rsidRDefault="00204CA6" w:rsidP="002356B4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101D24">
        <w:rPr>
          <w:rFonts w:asciiTheme="minorHAnsi" w:hAnsiTheme="minorHAnsi" w:cstheme="minorHAnsi"/>
          <w:b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47595AC3" w14:textId="4183FA94" w:rsidR="00055DAC" w:rsidRDefault="00055DAC" w:rsidP="002356B4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>
        <w:rPr>
          <w:rFonts w:asciiTheme="minorHAnsi" w:hAnsiTheme="minorHAnsi" w:cstheme="minorHAnsi"/>
          <w:b/>
          <w:sz w:val="24"/>
          <w:szCs w:val="24"/>
        </w:rPr>
        <w:t>60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</w:t>
      </w:r>
    </w:p>
    <w:p w14:paraId="7F30CAFD" w14:textId="0F063B33" w:rsidR="00055DAC" w:rsidRPr="00383D8F" w:rsidRDefault="00055DAC" w:rsidP="002356B4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</w:t>
      </w:r>
    </w:p>
    <w:p w14:paraId="26C17CF9" w14:textId="6221AFAF" w:rsidR="00493985" w:rsidRDefault="00204CA6" w:rsidP="002356B4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055DAC">
        <w:rPr>
          <w:rFonts w:asciiTheme="minorHAnsi" w:hAnsiTheme="minorHAnsi" w:cstheme="minorHAnsi"/>
          <w:sz w:val="24"/>
          <w:szCs w:val="24"/>
          <w:shd w:val="clear" w:color="auto" w:fill="FFFFFF"/>
        </w:rPr>
        <w:t>długość</w:t>
      </w:r>
      <w:r w:rsidRPr="00493985">
        <w:rPr>
          <w:rFonts w:asciiTheme="minorHAnsi" w:hAnsiTheme="minorHAnsi" w:cstheme="minorHAnsi"/>
          <w:sz w:val="24"/>
          <w:szCs w:val="24"/>
        </w:rPr>
        <w:t xml:space="preserve">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44FC1D1B" w:rsidR="00204CA6" w:rsidRPr="009F7E1D" w:rsidRDefault="009F7E1D" w:rsidP="002356B4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CF5B102" w14:textId="1BB3C5A4" w:rsidR="00204CA6" w:rsidRPr="00383D8F" w:rsidRDefault="00204CA6" w:rsidP="002356B4">
      <w:pPr>
        <w:pStyle w:val="TableParagraph"/>
        <w:numPr>
          <w:ilvl w:val="0"/>
          <w:numId w:val="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101D24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0B29D35F" w:rsidR="00204CA6" w:rsidRPr="00383D8F" w:rsidRDefault="00204CA6" w:rsidP="002356B4">
      <w:pPr>
        <w:pStyle w:val="TableParagraph"/>
        <w:numPr>
          <w:ilvl w:val="0"/>
          <w:numId w:val="2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9F7E1D">
        <w:rPr>
          <w:rFonts w:asciiTheme="minorHAnsi" w:hAnsiTheme="minorHAnsi" w:cstheme="minorHAnsi"/>
          <w:b/>
          <w:sz w:val="24"/>
          <w:szCs w:val="24"/>
        </w:rPr>
        <w:t>wpisze okres gwarancji w niepełnych miesiącach</w:t>
      </w:r>
      <w:r w:rsidR="006524D6" w:rsidRPr="009F7E1D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9F7E1D">
        <w:rPr>
          <w:rFonts w:asciiTheme="minorHAnsi" w:hAnsiTheme="minorHAnsi" w:cstheme="minorHAnsi"/>
          <w:b/>
          <w:sz w:val="24"/>
          <w:szCs w:val="24"/>
        </w:rPr>
        <w:t xml:space="preserve"> Zamawiający do obliczeń</w:t>
      </w:r>
      <w:r w:rsidR="009F7E1D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383D8F">
        <w:rPr>
          <w:rFonts w:asciiTheme="minorHAnsi" w:hAnsiTheme="minorHAnsi" w:cstheme="minorHAnsi"/>
          <w:sz w:val="24"/>
          <w:szCs w:val="24"/>
        </w:rPr>
        <w:t xml:space="preserve"> w zakresie kryterium ,,Okres gwarancji” przyjmie okres dokonując zaokrąglenia</w:t>
      </w:r>
      <w:r w:rsidR="009F7E1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383D8F">
        <w:rPr>
          <w:rFonts w:asciiTheme="minorHAnsi" w:hAnsiTheme="minorHAnsi" w:cstheme="minorHAnsi"/>
          <w:sz w:val="24"/>
          <w:szCs w:val="24"/>
        </w:rPr>
        <w:t xml:space="preserve"> w dół,</w:t>
      </w:r>
    </w:p>
    <w:p w14:paraId="52B7CC9F" w14:textId="438DF23D" w:rsidR="00204CA6" w:rsidRPr="00383D8F" w:rsidRDefault="00204CA6" w:rsidP="002356B4">
      <w:pPr>
        <w:pStyle w:val="TableParagraph"/>
        <w:numPr>
          <w:ilvl w:val="0"/>
          <w:numId w:val="2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01D24">
        <w:rPr>
          <w:rFonts w:asciiTheme="minorHAnsi" w:hAnsiTheme="minorHAnsi" w:cstheme="minorHAnsi"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41C732CE" w14:textId="77777777" w:rsidR="009931EB" w:rsidRDefault="009931EB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31D909" w14:textId="44C7D871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headerReference w:type="default" r:id="rId8"/>
          <w:footerReference w:type="default" r:id="rId9"/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905D0C9" w:rsidR="0095537D" w:rsidRPr="00383D8F" w:rsidRDefault="006524D6" w:rsidP="00817A2E">
      <w:pPr>
        <w:pStyle w:val="Nagwek1"/>
        <w:numPr>
          <w:ilvl w:val="0"/>
          <w:numId w:val="0"/>
        </w:numPr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817A2E">
        <w:t>1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C20D2F5" w14:textId="77777777" w:rsidR="004633CB" w:rsidRDefault="004633CB" w:rsidP="004633CB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Chemii Leków Uniwersytetu Medycznego w Białymstoku (Collegium </w:t>
      </w:r>
      <w:proofErr w:type="spellStart"/>
      <w:r>
        <w:rPr>
          <w:rFonts w:ascii="Calibri" w:hAnsi="Calibri" w:cs="Calibri"/>
          <w:b/>
        </w:rPr>
        <w:t>Floridum</w:t>
      </w:r>
      <w:proofErr w:type="spellEnd"/>
      <w:r>
        <w:rPr>
          <w:rFonts w:ascii="Calibri" w:hAnsi="Calibri" w:cs="Calibri"/>
          <w:b/>
        </w:rPr>
        <w:t>)</w:t>
      </w:r>
    </w:p>
    <w:p w14:paraId="0432C5AD" w14:textId="43EAA25E" w:rsidR="00055DAC" w:rsidRPr="00055DAC" w:rsidRDefault="00055DAC" w:rsidP="00055DAC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055DAC">
        <w:rPr>
          <w:rFonts w:asciiTheme="minorHAnsi" w:hAnsiTheme="minorHAnsi" w:cstheme="minorHAnsi"/>
          <w:b/>
          <w:color w:val="000000"/>
          <w:sz w:val="28"/>
          <w:u w:val="single"/>
        </w:rPr>
        <w:t>Blok grzewczy, termiczna wytrząsarka</w:t>
      </w:r>
      <w:r w:rsidR="005F16EE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z inkubacją</w:t>
      </w:r>
      <w:r w:rsidRPr="00055DAC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i homogenizator -1zestaw</w:t>
      </w:r>
    </w:p>
    <w:p w14:paraId="371FCD17" w14:textId="77777777" w:rsidR="006524D6" w:rsidRPr="00383D8F" w:rsidRDefault="006524D6" w:rsidP="002356B4">
      <w:pPr>
        <w:pStyle w:val="Nagwek2"/>
        <w:numPr>
          <w:ilvl w:val="0"/>
          <w:numId w:val="1"/>
        </w:numPr>
        <w:ind w:left="426" w:right="91" w:hanging="426"/>
        <w:jc w:val="both"/>
      </w:pPr>
      <w:r w:rsidRPr="00383D8F">
        <w:t>WARUNKI GWARANCJI, RĘKOJMI I SERWISU GWARANCYJNEGO</w:t>
      </w:r>
    </w:p>
    <w:p w14:paraId="5A0BB8D4" w14:textId="113C8CF4" w:rsidR="0095537D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P</w:t>
      </w:r>
      <w:r w:rsidR="006524D6" w:rsidRPr="009931EB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O</w:t>
      </w:r>
      <w:r w:rsidR="006524D6" w:rsidRPr="009931EB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O</w:t>
      </w:r>
      <w:r w:rsidR="006524D6" w:rsidRPr="009931EB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W</w:t>
      </w:r>
      <w:r w:rsidR="006524D6" w:rsidRPr="009931EB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P</w:t>
      </w:r>
      <w:r w:rsidR="006524D6" w:rsidRPr="009931EB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7FE2890C" w14:textId="77777777" w:rsidR="00935B23" w:rsidRPr="009931EB" w:rsidRDefault="00935B23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 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W</w:t>
      </w:r>
      <w:r w:rsidR="006524D6" w:rsidRPr="009931EB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9931EB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sz w:val="24"/>
          <w:szCs w:val="24"/>
        </w:rPr>
      </w:pPr>
      <w:r w:rsidRPr="009931EB">
        <w:rPr>
          <w:rFonts w:asciiTheme="minorHAnsi" w:hAnsiTheme="minorHAnsi" w:cstheme="minorHAnsi"/>
          <w:sz w:val="24"/>
          <w:szCs w:val="24"/>
        </w:rPr>
        <w:t>N</w:t>
      </w:r>
      <w:r w:rsidR="006524D6" w:rsidRPr="009931EB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4B9E92DD" w:rsidR="006524D6" w:rsidRPr="009F7E1D" w:rsidRDefault="00416EFF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</w:rPr>
      </w:pPr>
      <w:r w:rsidRPr="009931EB">
        <w:rPr>
          <w:rFonts w:asciiTheme="minorHAnsi" w:hAnsiTheme="minorHAnsi" w:cstheme="minorHAnsi"/>
          <w:sz w:val="24"/>
          <w:szCs w:val="24"/>
        </w:rPr>
        <w:t>C</w:t>
      </w:r>
      <w:r w:rsidR="006524D6" w:rsidRPr="009931EB">
        <w:rPr>
          <w:rFonts w:asciiTheme="minorHAnsi" w:hAnsiTheme="minorHAnsi" w:cstheme="minorHAnsi"/>
          <w:sz w:val="24"/>
          <w:szCs w:val="24"/>
        </w:rPr>
        <w:t>elem</w:t>
      </w:r>
      <w:r w:rsidR="004B79E8" w:rsidRPr="009931EB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9931EB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9931EB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9931EB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9931EB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9931EB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</w:t>
      </w:r>
      <w:r w:rsidR="006524D6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18439A7A" w14:textId="6193C4A3" w:rsidR="009F7E1D" w:rsidRDefault="009F7E1D" w:rsidP="002356B4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  <w:t xml:space="preserve">w ciągu 3 dni roboczych (soboty, niedziele i dni świąteczne ustawowo wolne od pracy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D90B8F5" w14:textId="58A8DF85" w:rsidR="009F7E1D" w:rsidRPr="00383D8F" w:rsidRDefault="009F7E1D" w:rsidP="002356B4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1D750DBE" w14:textId="67128A61" w:rsidR="009F7E1D" w:rsidRPr="009F7E1D" w:rsidRDefault="009F7E1D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109805A" w14:textId="77777777" w:rsidR="009F7E1D" w:rsidRPr="00383D8F" w:rsidRDefault="009F7E1D" w:rsidP="002356B4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4733C5D8" w14:textId="77777777" w:rsidR="009F7E1D" w:rsidRPr="00383D8F" w:rsidRDefault="009F7E1D" w:rsidP="002356B4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6AFC984A" w14:textId="77777777" w:rsidR="009F7E1D" w:rsidRPr="00383D8F" w:rsidRDefault="009F7E1D" w:rsidP="002356B4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4D539436" w14:textId="0801AB94" w:rsidR="009F7E1D" w:rsidRPr="009F7E1D" w:rsidRDefault="009F7E1D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432014D9" w14:textId="553868B3" w:rsidR="009F7E1D" w:rsidRPr="009F7E1D" w:rsidRDefault="009F7E1D" w:rsidP="002356B4">
      <w:pPr>
        <w:pStyle w:val="Akapitzlist"/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C8ABB5D" w14:textId="740C0720" w:rsidR="009F7E1D" w:rsidRPr="00F831B7" w:rsidRDefault="009F7E1D" w:rsidP="002356B4">
      <w:pPr>
        <w:pStyle w:val="Akapitzlist"/>
        <w:numPr>
          <w:ilvl w:val="0"/>
          <w:numId w:val="12"/>
        </w:numPr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Korzystanie z</w:t>
      </w:r>
      <w:r w:rsidRPr="00383D8F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0C7A3C15" w14:textId="77777777" w:rsidR="00F831B7" w:rsidRPr="00383D8F" w:rsidRDefault="00F831B7" w:rsidP="00F831B7">
      <w:pPr>
        <w:pStyle w:val="Akapitzlist"/>
        <w:spacing w:after="240" w:line="360" w:lineRule="auto"/>
        <w:ind w:left="720" w:right="91"/>
        <w:jc w:val="both"/>
        <w:rPr>
          <w:rFonts w:asciiTheme="minorHAnsi" w:hAnsiTheme="minorHAnsi" w:cstheme="minorHAnsi"/>
        </w:rPr>
      </w:pPr>
    </w:p>
    <w:p w14:paraId="33E360CB" w14:textId="77777777" w:rsidR="008C0B5E" w:rsidRPr="00383D8F" w:rsidRDefault="008C0B5E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AB1678">
          <w:type w:val="continuous"/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8672C5E" w:rsidR="0095537D" w:rsidRPr="00383D8F" w:rsidRDefault="006524D6" w:rsidP="00817A2E">
      <w:pPr>
        <w:pStyle w:val="Nagwek1"/>
        <w:numPr>
          <w:ilvl w:val="0"/>
          <w:numId w:val="0"/>
        </w:numPr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817A2E">
        <w:t>1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6072605" w14:textId="77777777" w:rsidR="004633CB" w:rsidRDefault="004633CB" w:rsidP="004633CB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Chemii Leków Uniwersytetu Medycznego w Białymstoku (Collegium </w:t>
      </w:r>
      <w:proofErr w:type="spellStart"/>
      <w:r>
        <w:rPr>
          <w:rFonts w:ascii="Calibri" w:hAnsi="Calibri" w:cs="Calibri"/>
          <w:b/>
        </w:rPr>
        <w:t>Floridum</w:t>
      </w:r>
      <w:proofErr w:type="spellEnd"/>
      <w:r>
        <w:rPr>
          <w:rFonts w:ascii="Calibri" w:hAnsi="Calibri" w:cs="Calibri"/>
          <w:b/>
        </w:rPr>
        <w:t>)</w:t>
      </w:r>
    </w:p>
    <w:p w14:paraId="54CADD1D" w14:textId="054B4D0A" w:rsidR="00055DAC" w:rsidRPr="00055DAC" w:rsidRDefault="00055DAC" w:rsidP="00055DAC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055DAC">
        <w:rPr>
          <w:rFonts w:asciiTheme="minorHAnsi" w:hAnsiTheme="minorHAnsi" w:cstheme="minorHAnsi"/>
          <w:b/>
          <w:color w:val="000000"/>
          <w:sz w:val="28"/>
          <w:u w:val="single"/>
        </w:rPr>
        <w:t>Blok grzewczy, termiczna wytrząsarka</w:t>
      </w:r>
      <w:r w:rsidR="005F16EE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z inkubacją</w:t>
      </w:r>
      <w:bookmarkStart w:id="2" w:name="_GoBack"/>
      <w:bookmarkEnd w:id="2"/>
      <w:r w:rsidRPr="00055DAC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i homogenizator -1zestaw</w:t>
      </w:r>
    </w:p>
    <w:p w14:paraId="2443233E" w14:textId="1FAD0F67" w:rsidR="008C0B5E" w:rsidRPr="00383D8F" w:rsidRDefault="008C0B5E" w:rsidP="002356B4">
      <w:pPr>
        <w:pStyle w:val="Nagwek2"/>
        <w:numPr>
          <w:ilvl w:val="0"/>
          <w:numId w:val="13"/>
        </w:numPr>
        <w:ind w:right="91"/>
        <w:jc w:val="both"/>
      </w:pPr>
      <w:r w:rsidRPr="00383D8F">
        <w:t>PROCEDURA DOSTAW URZĄDZEŃ</w:t>
      </w:r>
    </w:p>
    <w:p w14:paraId="5FE6723E" w14:textId="62D45342" w:rsidR="00A7337C" w:rsidRPr="009931EB" w:rsidRDefault="005F76C5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068AFD65" w14:textId="238872DA" w:rsidR="000F1AA6" w:rsidRPr="009931EB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4AAEC0A" w14:textId="175F8A1E" w:rsidR="000F1AA6" w:rsidRPr="009931EB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Urządzenia zostaną dostarczone w odpowiednich oryginalnych opakowaniach, zapewniających zabezpieczenie przedmiotu dostawy przed wpływem jakichkolwiek szkodliwych czynników.</w:t>
      </w:r>
    </w:p>
    <w:p w14:paraId="47426622" w14:textId="68C0424A" w:rsidR="000F1AA6" w:rsidRPr="009931EB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Urządzenia zostaną dostarczone do pomieszczeń wskazanych przez  Bezpośredniego Użytkownika lub osobę upoważnioną.</w:t>
      </w:r>
    </w:p>
    <w:p w14:paraId="32BBEE78" w14:textId="090B02E3" w:rsidR="000F1AA6" w:rsidRPr="009931EB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</w:t>
      </w:r>
    </w:p>
    <w:p w14:paraId="067A66A1" w14:textId="6B155AEC" w:rsidR="000F1AA6" w:rsidRPr="009931EB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9931EB">
        <w:rPr>
          <w:rFonts w:asciiTheme="minorHAnsi" w:hAnsiTheme="minorHAnsi" w:cstheme="minorHAnsi"/>
          <w:strike/>
          <w:color w:val="000000"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Pr="009931EB">
        <w:rPr>
          <w:rFonts w:asciiTheme="minorHAnsi" w:hAnsiTheme="minorHAnsi" w:cstheme="minorHAnsi"/>
          <w:color w:val="000000"/>
          <w:sz w:val="24"/>
          <w:szCs w:val="24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2D4DFEDB" w14:textId="7D5D062F" w:rsidR="000F1AA6" w:rsidRPr="009931EB" w:rsidRDefault="000F1AA6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 xml:space="preserve">W razie konieczności zmodyfikowania istniejących instalacji, które są niezbędne do prawidłowego i bezawaryjnego funkcjonowania urządzeń, Wykonawca - przed przystąpieniem </w:t>
      </w:r>
      <w:r w:rsidRPr="009931EB">
        <w:rPr>
          <w:rFonts w:asciiTheme="minorHAnsi" w:hAnsiTheme="minorHAnsi" w:cstheme="minorHAnsi"/>
          <w:color w:val="000000"/>
          <w:sz w:val="24"/>
          <w:szCs w:val="24"/>
        </w:rPr>
        <w:lastRenderedPageBreak/>
        <w:t>do realizacji przedmiotu zamówienia - przedstawi schematy zasilania zgodnie z obowiązującymi przepisami</w:t>
      </w:r>
      <w:r w:rsidR="00F831B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F831B7" w:rsidRPr="00F831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31B7" w:rsidRPr="009931EB">
        <w:rPr>
          <w:rFonts w:asciiTheme="minorHAnsi" w:hAnsiTheme="minorHAnsi" w:cstheme="minorHAnsi"/>
          <w:color w:val="000000"/>
          <w:sz w:val="24"/>
          <w:szCs w:val="24"/>
        </w:rPr>
        <w:t>Przed uruchomieniem urządzeń Wykonawca przedstawi protokoły badań instalacji elektrycznych dokonanych przez uprawnionego elektryka</w:t>
      </w:r>
      <w:r w:rsidR="00F831B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7067315" w14:textId="194498C8" w:rsidR="00395D45" w:rsidRPr="009931EB" w:rsidRDefault="00395D45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77A5E8ED" w14:textId="5D944F88" w:rsidR="00395D45" w:rsidRDefault="00395D45" w:rsidP="002356B4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Zamawiający nie ponosi odpowiedzialności za ryzyko utraty lub uszkodzenia przedmiotu zamówienia dostarczonego i pozostawionego w pomieszczeniach lub na terenie Użytkownika/Zamawiającego przed podpisaniem protokołu odbioru</w:t>
      </w:r>
      <w:r w:rsidR="009931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48629FA" w14:textId="34797C49" w:rsidR="005F76C5" w:rsidRPr="000035E4" w:rsidRDefault="005F76C5" w:rsidP="003312A7">
      <w:pPr>
        <w:pStyle w:val="Akapitzlist"/>
        <w:widowControl/>
        <w:autoSpaceDE/>
        <w:autoSpaceDN/>
        <w:spacing w:line="360" w:lineRule="auto"/>
        <w:ind w:left="567" w:right="91"/>
        <w:contextualSpacing/>
        <w:jc w:val="both"/>
        <w:rPr>
          <w:rFonts w:asciiTheme="minorHAnsi" w:hAnsiTheme="minorHAnsi" w:cstheme="minorHAnsi"/>
          <w:color w:val="000000"/>
        </w:rPr>
      </w:pP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2356B4">
      <w:pPr>
        <w:pStyle w:val="Nagwek2"/>
        <w:widowControl/>
        <w:numPr>
          <w:ilvl w:val="0"/>
          <w:numId w:val="13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55DAC" w:rsidRDefault="00B66438" w:rsidP="00055DAC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2C49E799" w14:textId="77777777" w:rsidR="00395D45" w:rsidRPr="009931EB" w:rsidRDefault="00B66438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3389107A" w:rsidR="00B66438" w:rsidRPr="009931EB" w:rsidRDefault="00B66438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9931EB" w:rsidRDefault="00B66438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B10E4D6" w:rsidR="00B66438" w:rsidRPr="009931EB" w:rsidRDefault="00B66438" w:rsidP="002356B4">
      <w:pPr>
        <w:pStyle w:val="Akapitzlist"/>
        <w:widowControl/>
        <w:numPr>
          <w:ilvl w:val="1"/>
          <w:numId w:val="16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Wykonawcy (lub przedstawiciela Wykonawcy) przedmiotu zamówienia;</w:t>
      </w:r>
    </w:p>
    <w:p w14:paraId="2227A236" w14:textId="5C894A9F" w:rsidR="00395D45" w:rsidRPr="009931EB" w:rsidRDefault="00395D45" w:rsidP="002356B4">
      <w:pPr>
        <w:pStyle w:val="Akapitzlist"/>
        <w:widowControl/>
        <w:numPr>
          <w:ilvl w:val="1"/>
          <w:numId w:val="16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Bezpośredniego Użytkownika (lub osoby upoważnionej) przedmiotu zamówienia;</w:t>
      </w:r>
    </w:p>
    <w:p w14:paraId="1A009140" w14:textId="56A3038B" w:rsidR="00395D45" w:rsidRPr="009931EB" w:rsidRDefault="00395D45" w:rsidP="002356B4">
      <w:pPr>
        <w:pStyle w:val="Akapitzlist"/>
        <w:widowControl/>
        <w:numPr>
          <w:ilvl w:val="1"/>
          <w:numId w:val="16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Osoby odpowiedzialnej (lub upoważnionej) za realizację przedmiotu zamówienia z Działu Zaopatrzenia UMB</w:t>
      </w:r>
    </w:p>
    <w:p w14:paraId="288FFEB4" w14:textId="77777777" w:rsidR="00B66438" w:rsidRPr="009931EB" w:rsidRDefault="00B66438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Protokół odbioru będzie sporządzony w 2 egzemplarzach.</w:t>
      </w:r>
    </w:p>
    <w:p w14:paraId="44286BAD" w14:textId="0632E29D" w:rsidR="00BB4A19" w:rsidRDefault="00F831B7" w:rsidP="00BB4A19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692C4201" w14:textId="4BFCF0F6" w:rsidR="00BB4A19" w:rsidRDefault="00BB4A19" w:rsidP="00BB4A19">
      <w:pPr>
        <w:pStyle w:val="Akapitzlist"/>
        <w:widowControl/>
        <w:numPr>
          <w:ilvl w:val="1"/>
          <w:numId w:val="15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Instrukcję stanowiskową / instrukcję obsługi urządzeń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1B4F777" w14:textId="3B757DFF" w:rsidR="00BB4A19" w:rsidRPr="00BB4A19" w:rsidRDefault="00BB4A19" w:rsidP="00BB4A19">
      <w:pPr>
        <w:pStyle w:val="Akapitzlist"/>
        <w:widowControl/>
        <w:numPr>
          <w:ilvl w:val="1"/>
          <w:numId w:val="15"/>
        </w:numPr>
        <w:shd w:val="clear" w:color="auto" w:fill="FFFFFF"/>
        <w:autoSpaceDE/>
        <w:autoSpaceDN/>
        <w:spacing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lastRenderedPageBreak/>
        <w:t>Kartę gwarancyjną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9F9C709" w14:textId="77777777" w:rsidR="003312A7" w:rsidRPr="009931EB" w:rsidRDefault="003312A7" w:rsidP="002356B4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after="150" w:line="375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9931EB">
        <w:rPr>
          <w:rFonts w:asciiTheme="minorHAnsi" w:hAnsiTheme="minorHAnsi" w:cstheme="minorHAnsi"/>
          <w:color w:val="000000"/>
          <w:sz w:val="24"/>
          <w:szCs w:val="24"/>
        </w:rPr>
        <w:t>Z chwilą podpisania protokołu odbioru na Zamawiającego przechodzi ryzyko utraty lub uszkodzenia urządzenia.</w:t>
      </w:r>
    </w:p>
    <w:p w14:paraId="125A335A" w14:textId="77777777" w:rsidR="003312A7" w:rsidRPr="000035E4" w:rsidRDefault="003312A7" w:rsidP="003312A7">
      <w:pPr>
        <w:pStyle w:val="Akapitzlist"/>
        <w:widowControl/>
        <w:autoSpaceDE/>
        <w:autoSpaceDN/>
        <w:spacing w:line="360" w:lineRule="auto"/>
        <w:ind w:left="567" w:right="91"/>
        <w:contextualSpacing/>
        <w:jc w:val="both"/>
        <w:rPr>
          <w:rFonts w:asciiTheme="minorHAnsi" w:hAnsiTheme="minorHAnsi" w:cstheme="minorHAnsi"/>
          <w:color w:val="000000"/>
        </w:rPr>
      </w:pP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77777777" w:rsidR="0095537D" w:rsidRPr="003E1F20" w:rsidRDefault="00AB1529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1408" w14:textId="77777777" w:rsidR="00720208" w:rsidRDefault="00720208" w:rsidP="00EE7F46">
      <w:r>
        <w:separator/>
      </w:r>
    </w:p>
  </w:endnote>
  <w:endnote w:type="continuationSeparator" w:id="0">
    <w:p w14:paraId="6B2C5898" w14:textId="77777777" w:rsidR="00720208" w:rsidRDefault="00720208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D3D3" w14:textId="77777777" w:rsidR="00720208" w:rsidRDefault="00720208" w:rsidP="00EE7F46">
      <w:r>
        <w:separator/>
      </w:r>
    </w:p>
  </w:footnote>
  <w:footnote w:type="continuationSeparator" w:id="0">
    <w:p w14:paraId="1493D670" w14:textId="77777777" w:rsidR="00720208" w:rsidRDefault="00720208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3DD5"/>
    <w:multiLevelType w:val="multilevel"/>
    <w:tmpl w:val="48348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D5515"/>
    <w:multiLevelType w:val="multilevel"/>
    <w:tmpl w:val="31E8D8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2" w15:restartNumberingAfterBreak="0">
    <w:nsid w:val="1EE03C9E"/>
    <w:multiLevelType w:val="multilevel"/>
    <w:tmpl w:val="2F6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3" w15:restartNumberingAfterBreak="0">
    <w:nsid w:val="210913AD"/>
    <w:multiLevelType w:val="multilevel"/>
    <w:tmpl w:val="8E5E0ED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323275AA"/>
    <w:multiLevelType w:val="hybridMultilevel"/>
    <w:tmpl w:val="17DE17D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66C37"/>
    <w:multiLevelType w:val="multilevel"/>
    <w:tmpl w:val="8F1CA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7" w15:restartNumberingAfterBreak="0">
    <w:nsid w:val="33951DD2"/>
    <w:multiLevelType w:val="multilevel"/>
    <w:tmpl w:val="03FE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8" w15:restartNumberingAfterBreak="0">
    <w:nsid w:val="39401BB6"/>
    <w:multiLevelType w:val="multilevel"/>
    <w:tmpl w:val="ABC0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9" w15:restartNumberingAfterBreak="0">
    <w:nsid w:val="4A9E645C"/>
    <w:multiLevelType w:val="multilevel"/>
    <w:tmpl w:val="65F26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0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B31FC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1152" w:hanging="432"/>
      </w:pPr>
    </w:lvl>
    <w:lvl w:ilvl="1">
      <w:start w:val="1"/>
      <w:numFmt w:val="decimal"/>
      <w:pStyle w:val="Nagwek2"/>
      <w:lvlText w:val="%1.%2"/>
      <w:lvlJc w:val="left"/>
      <w:pPr>
        <w:ind w:left="1296" w:hanging="576"/>
      </w:p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</w:lvl>
    <w:lvl w:ilvl="3">
      <w:start w:val="1"/>
      <w:numFmt w:val="decimal"/>
      <w:pStyle w:val="Nagwek4"/>
      <w:lvlText w:val="%1.%2.%3.%4"/>
      <w:lvlJc w:val="left"/>
      <w:pPr>
        <w:ind w:left="1584" w:hanging="864"/>
      </w:pPr>
    </w:lvl>
    <w:lvl w:ilvl="4">
      <w:start w:val="1"/>
      <w:numFmt w:val="decimal"/>
      <w:pStyle w:val="Nagwek5"/>
      <w:lvlText w:val="%1.%2.%3.%4.%5"/>
      <w:lvlJc w:val="left"/>
      <w:pPr>
        <w:ind w:left="172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87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2304" w:hanging="1584"/>
      </w:pPr>
    </w:lvl>
  </w:abstractNum>
  <w:abstractNum w:abstractNumId="11" w15:restartNumberingAfterBreak="0">
    <w:nsid w:val="5F6D291D"/>
    <w:multiLevelType w:val="multilevel"/>
    <w:tmpl w:val="8632AC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12" w15:restartNumberingAfterBreak="0">
    <w:nsid w:val="66727753"/>
    <w:multiLevelType w:val="multilevel"/>
    <w:tmpl w:val="D2C08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760BE4"/>
    <w:multiLevelType w:val="multilevel"/>
    <w:tmpl w:val="9D08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14" w15:restartNumberingAfterBreak="0">
    <w:nsid w:val="6E253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A87DC7"/>
    <w:multiLevelType w:val="multilevel"/>
    <w:tmpl w:val="360CF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4" w:hanging="360"/>
      </w:pPr>
      <w:rPr>
        <w:rFonts w:hint="default"/>
      </w:rPr>
    </w:lvl>
  </w:abstractNum>
  <w:abstractNum w:abstractNumId="16" w15:restartNumberingAfterBreak="0">
    <w:nsid w:val="78A401B1"/>
    <w:multiLevelType w:val="multilevel"/>
    <w:tmpl w:val="ADD66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12" w:hanging="360"/>
      </w:pPr>
      <w:rPr>
        <w:rFonts w:hint="default"/>
      </w:rPr>
    </w:lvl>
  </w:abstractNum>
  <w:abstractNum w:abstractNumId="17" w15:restartNumberingAfterBreak="0">
    <w:nsid w:val="7C035459"/>
    <w:multiLevelType w:val="multilevel"/>
    <w:tmpl w:val="244E4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3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1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9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5" w:hanging="36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16"/>
  </w:num>
  <w:num w:numId="9">
    <w:abstractNumId w:val="15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6025"/>
    <w:rsid w:val="00007959"/>
    <w:rsid w:val="00012DC2"/>
    <w:rsid w:val="0001496E"/>
    <w:rsid w:val="00030067"/>
    <w:rsid w:val="00040867"/>
    <w:rsid w:val="00042C96"/>
    <w:rsid w:val="00044D4B"/>
    <w:rsid w:val="00046B06"/>
    <w:rsid w:val="000478D5"/>
    <w:rsid w:val="00047F68"/>
    <w:rsid w:val="00055D70"/>
    <w:rsid w:val="00055DAC"/>
    <w:rsid w:val="00077F8E"/>
    <w:rsid w:val="00095949"/>
    <w:rsid w:val="000B59DA"/>
    <w:rsid w:val="000C3C7E"/>
    <w:rsid w:val="000D3413"/>
    <w:rsid w:val="000E096A"/>
    <w:rsid w:val="000E11F7"/>
    <w:rsid w:val="000E7DD8"/>
    <w:rsid w:val="000F1AA6"/>
    <w:rsid w:val="00100F70"/>
    <w:rsid w:val="00101D24"/>
    <w:rsid w:val="00105C47"/>
    <w:rsid w:val="00110D60"/>
    <w:rsid w:val="001113AD"/>
    <w:rsid w:val="00124D1B"/>
    <w:rsid w:val="00126F59"/>
    <w:rsid w:val="001450AB"/>
    <w:rsid w:val="00160E95"/>
    <w:rsid w:val="00161D53"/>
    <w:rsid w:val="001743A8"/>
    <w:rsid w:val="00176E65"/>
    <w:rsid w:val="0018662F"/>
    <w:rsid w:val="00187B9D"/>
    <w:rsid w:val="001A006F"/>
    <w:rsid w:val="001A2456"/>
    <w:rsid w:val="001B1256"/>
    <w:rsid w:val="001B1696"/>
    <w:rsid w:val="001B1976"/>
    <w:rsid w:val="001B4EF8"/>
    <w:rsid w:val="001D74F6"/>
    <w:rsid w:val="001E0D8A"/>
    <w:rsid w:val="001F68B0"/>
    <w:rsid w:val="001F79C8"/>
    <w:rsid w:val="002002E6"/>
    <w:rsid w:val="0020158C"/>
    <w:rsid w:val="00204CA6"/>
    <w:rsid w:val="002135F9"/>
    <w:rsid w:val="00220C8F"/>
    <w:rsid w:val="0022241B"/>
    <w:rsid w:val="00224606"/>
    <w:rsid w:val="00226702"/>
    <w:rsid w:val="002356B4"/>
    <w:rsid w:val="0024083A"/>
    <w:rsid w:val="00252A86"/>
    <w:rsid w:val="00265CE9"/>
    <w:rsid w:val="00282DF3"/>
    <w:rsid w:val="002920BB"/>
    <w:rsid w:val="002920EA"/>
    <w:rsid w:val="002B1B84"/>
    <w:rsid w:val="002B51F3"/>
    <w:rsid w:val="002C5615"/>
    <w:rsid w:val="002D5AED"/>
    <w:rsid w:val="002E3BF6"/>
    <w:rsid w:val="002F23FD"/>
    <w:rsid w:val="00300951"/>
    <w:rsid w:val="003052A0"/>
    <w:rsid w:val="0032320B"/>
    <w:rsid w:val="0032527B"/>
    <w:rsid w:val="003312A7"/>
    <w:rsid w:val="00334231"/>
    <w:rsid w:val="0034457C"/>
    <w:rsid w:val="00351385"/>
    <w:rsid w:val="00353551"/>
    <w:rsid w:val="003575B7"/>
    <w:rsid w:val="00363021"/>
    <w:rsid w:val="003677DB"/>
    <w:rsid w:val="00373607"/>
    <w:rsid w:val="00383D8F"/>
    <w:rsid w:val="00386DBC"/>
    <w:rsid w:val="00395D45"/>
    <w:rsid w:val="00397C8C"/>
    <w:rsid w:val="003A44D1"/>
    <w:rsid w:val="003B1B88"/>
    <w:rsid w:val="003B2E7F"/>
    <w:rsid w:val="003B3DDB"/>
    <w:rsid w:val="003E1F20"/>
    <w:rsid w:val="003E2476"/>
    <w:rsid w:val="003E2D12"/>
    <w:rsid w:val="003E3192"/>
    <w:rsid w:val="003E33F2"/>
    <w:rsid w:val="003E47B0"/>
    <w:rsid w:val="003E5F90"/>
    <w:rsid w:val="003E62E9"/>
    <w:rsid w:val="004005A1"/>
    <w:rsid w:val="004102A2"/>
    <w:rsid w:val="00416B04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633CB"/>
    <w:rsid w:val="00471F57"/>
    <w:rsid w:val="00472506"/>
    <w:rsid w:val="00472C52"/>
    <w:rsid w:val="00474743"/>
    <w:rsid w:val="00475C3D"/>
    <w:rsid w:val="0048526F"/>
    <w:rsid w:val="00485FD3"/>
    <w:rsid w:val="00490600"/>
    <w:rsid w:val="00493985"/>
    <w:rsid w:val="004A0C32"/>
    <w:rsid w:val="004A1C6C"/>
    <w:rsid w:val="004B4AFF"/>
    <w:rsid w:val="004B79E8"/>
    <w:rsid w:val="004C2374"/>
    <w:rsid w:val="004C3FEF"/>
    <w:rsid w:val="004D40FD"/>
    <w:rsid w:val="004F19ED"/>
    <w:rsid w:val="004F792A"/>
    <w:rsid w:val="00501119"/>
    <w:rsid w:val="00501E6D"/>
    <w:rsid w:val="00502298"/>
    <w:rsid w:val="00504506"/>
    <w:rsid w:val="00505232"/>
    <w:rsid w:val="00530FF3"/>
    <w:rsid w:val="00554108"/>
    <w:rsid w:val="005559DB"/>
    <w:rsid w:val="00563D19"/>
    <w:rsid w:val="005714C5"/>
    <w:rsid w:val="00582C80"/>
    <w:rsid w:val="005854BC"/>
    <w:rsid w:val="00586EBC"/>
    <w:rsid w:val="005D79DD"/>
    <w:rsid w:val="005F16EE"/>
    <w:rsid w:val="005F58EA"/>
    <w:rsid w:val="005F76C5"/>
    <w:rsid w:val="00601B8F"/>
    <w:rsid w:val="006110C6"/>
    <w:rsid w:val="00636B12"/>
    <w:rsid w:val="006524D6"/>
    <w:rsid w:val="0065570C"/>
    <w:rsid w:val="0065610B"/>
    <w:rsid w:val="006720BC"/>
    <w:rsid w:val="00685DB8"/>
    <w:rsid w:val="006874EB"/>
    <w:rsid w:val="00691B35"/>
    <w:rsid w:val="00695CC3"/>
    <w:rsid w:val="006963E0"/>
    <w:rsid w:val="0069732F"/>
    <w:rsid w:val="006A5382"/>
    <w:rsid w:val="006B526C"/>
    <w:rsid w:val="006B5AF9"/>
    <w:rsid w:val="006C2875"/>
    <w:rsid w:val="006C6257"/>
    <w:rsid w:val="006E2BA1"/>
    <w:rsid w:val="006E51FC"/>
    <w:rsid w:val="006F4559"/>
    <w:rsid w:val="00720208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77AE2"/>
    <w:rsid w:val="00781A9C"/>
    <w:rsid w:val="00796734"/>
    <w:rsid w:val="007B7120"/>
    <w:rsid w:val="007D6272"/>
    <w:rsid w:val="007E6909"/>
    <w:rsid w:val="007E6C0F"/>
    <w:rsid w:val="007F028C"/>
    <w:rsid w:val="007F140B"/>
    <w:rsid w:val="008022DF"/>
    <w:rsid w:val="00817A2E"/>
    <w:rsid w:val="00825399"/>
    <w:rsid w:val="008303A1"/>
    <w:rsid w:val="00832ECF"/>
    <w:rsid w:val="008460C2"/>
    <w:rsid w:val="008500A3"/>
    <w:rsid w:val="00851AE0"/>
    <w:rsid w:val="00857D0C"/>
    <w:rsid w:val="008901DD"/>
    <w:rsid w:val="008934E0"/>
    <w:rsid w:val="008A08AC"/>
    <w:rsid w:val="008A2501"/>
    <w:rsid w:val="008C078F"/>
    <w:rsid w:val="008C0B5E"/>
    <w:rsid w:val="008C3033"/>
    <w:rsid w:val="008C39CA"/>
    <w:rsid w:val="008E01BD"/>
    <w:rsid w:val="00900A37"/>
    <w:rsid w:val="00901C29"/>
    <w:rsid w:val="009038CF"/>
    <w:rsid w:val="00910F07"/>
    <w:rsid w:val="00915624"/>
    <w:rsid w:val="009163F0"/>
    <w:rsid w:val="00935B23"/>
    <w:rsid w:val="009368B2"/>
    <w:rsid w:val="00943F67"/>
    <w:rsid w:val="00952334"/>
    <w:rsid w:val="00952868"/>
    <w:rsid w:val="009540BB"/>
    <w:rsid w:val="009548CF"/>
    <w:rsid w:val="00955240"/>
    <w:rsid w:val="0095537D"/>
    <w:rsid w:val="00960696"/>
    <w:rsid w:val="00961F48"/>
    <w:rsid w:val="00964656"/>
    <w:rsid w:val="00973212"/>
    <w:rsid w:val="0098233B"/>
    <w:rsid w:val="00983FAC"/>
    <w:rsid w:val="009870A2"/>
    <w:rsid w:val="009931EB"/>
    <w:rsid w:val="00996F93"/>
    <w:rsid w:val="009A0412"/>
    <w:rsid w:val="009A503C"/>
    <w:rsid w:val="009A5ACF"/>
    <w:rsid w:val="009F65FE"/>
    <w:rsid w:val="009F7E1D"/>
    <w:rsid w:val="00A0484F"/>
    <w:rsid w:val="00A0772F"/>
    <w:rsid w:val="00A24C9D"/>
    <w:rsid w:val="00A32693"/>
    <w:rsid w:val="00A41332"/>
    <w:rsid w:val="00A43598"/>
    <w:rsid w:val="00A46452"/>
    <w:rsid w:val="00A652C6"/>
    <w:rsid w:val="00A7337C"/>
    <w:rsid w:val="00A73C99"/>
    <w:rsid w:val="00A74F3A"/>
    <w:rsid w:val="00A7733E"/>
    <w:rsid w:val="00A86417"/>
    <w:rsid w:val="00A97FC5"/>
    <w:rsid w:val="00AA6C9E"/>
    <w:rsid w:val="00AB1529"/>
    <w:rsid w:val="00AB1678"/>
    <w:rsid w:val="00AB5083"/>
    <w:rsid w:val="00AD1AEF"/>
    <w:rsid w:val="00AD5B42"/>
    <w:rsid w:val="00AE722E"/>
    <w:rsid w:val="00AE784F"/>
    <w:rsid w:val="00AF21E4"/>
    <w:rsid w:val="00AF30F7"/>
    <w:rsid w:val="00B001C6"/>
    <w:rsid w:val="00B12707"/>
    <w:rsid w:val="00B137A3"/>
    <w:rsid w:val="00B16969"/>
    <w:rsid w:val="00B43872"/>
    <w:rsid w:val="00B549C4"/>
    <w:rsid w:val="00B617AC"/>
    <w:rsid w:val="00B635EB"/>
    <w:rsid w:val="00B66438"/>
    <w:rsid w:val="00B81217"/>
    <w:rsid w:val="00B82E97"/>
    <w:rsid w:val="00B83D85"/>
    <w:rsid w:val="00B87E66"/>
    <w:rsid w:val="00B92015"/>
    <w:rsid w:val="00B95CFD"/>
    <w:rsid w:val="00B9722A"/>
    <w:rsid w:val="00BB4A19"/>
    <w:rsid w:val="00BB6E6D"/>
    <w:rsid w:val="00BC075E"/>
    <w:rsid w:val="00BC0765"/>
    <w:rsid w:val="00BC4EC7"/>
    <w:rsid w:val="00BE3F6E"/>
    <w:rsid w:val="00BE6DCA"/>
    <w:rsid w:val="00BF2C33"/>
    <w:rsid w:val="00BF331E"/>
    <w:rsid w:val="00BF4E8F"/>
    <w:rsid w:val="00BF62BC"/>
    <w:rsid w:val="00C20B44"/>
    <w:rsid w:val="00C253CB"/>
    <w:rsid w:val="00C25765"/>
    <w:rsid w:val="00C27D0D"/>
    <w:rsid w:val="00C32D06"/>
    <w:rsid w:val="00C33586"/>
    <w:rsid w:val="00C4066E"/>
    <w:rsid w:val="00C464D9"/>
    <w:rsid w:val="00C5333A"/>
    <w:rsid w:val="00C635AE"/>
    <w:rsid w:val="00C749DD"/>
    <w:rsid w:val="00C7707F"/>
    <w:rsid w:val="00CA3C42"/>
    <w:rsid w:val="00CB4D66"/>
    <w:rsid w:val="00CB6A95"/>
    <w:rsid w:val="00CC2736"/>
    <w:rsid w:val="00CC2ED5"/>
    <w:rsid w:val="00CE7529"/>
    <w:rsid w:val="00CF521D"/>
    <w:rsid w:val="00CF59F5"/>
    <w:rsid w:val="00D25BA0"/>
    <w:rsid w:val="00D35C54"/>
    <w:rsid w:val="00D412F6"/>
    <w:rsid w:val="00D470E1"/>
    <w:rsid w:val="00D5476E"/>
    <w:rsid w:val="00D55035"/>
    <w:rsid w:val="00D6367F"/>
    <w:rsid w:val="00D902E9"/>
    <w:rsid w:val="00D9307D"/>
    <w:rsid w:val="00DE0F3F"/>
    <w:rsid w:val="00DE3B31"/>
    <w:rsid w:val="00DE4527"/>
    <w:rsid w:val="00DE6D0B"/>
    <w:rsid w:val="00E01E97"/>
    <w:rsid w:val="00E061EE"/>
    <w:rsid w:val="00E16814"/>
    <w:rsid w:val="00E41FAE"/>
    <w:rsid w:val="00E42D2D"/>
    <w:rsid w:val="00E42E02"/>
    <w:rsid w:val="00E44E82"/>
    <w:rsid w:val="00E5542B"/>
    <w:rsid w:val="00E73AC0"/>
    <w:rsid w:val="00E80CC1"/>
    <w:rsid w:val="00E8470D"/>
    <w:rsid w:val="00EA445B"/>
    <w:rsid w:val="00EB3467"/>
    <w:rsid w:val="00EB3F64"/>
    <w:rsid w:val="00EB7425"/>
    <w:rsid w:val="00ED21D6"/>
    <w:rsid w:val="00ED318A"/>
    <w:rsid w:val="00EE3D16"/>
    <w:rsid w:val="00EE7348"/>
    <w:rsid w:val="00EE7F46"/>
    <w:rsid w:val="00F01A8C"/>
    <w:rsid w:val="00F167C5"/>
    <w:rsid w:val="00F304AD"/>
    <w:rsid w:val="00F36AED"/>
    <w:rsid w:val="00F458C0"/>
    <w:rsid w:val="00F45A8F"/>
    <w:rsid w:val="00F475F6"/>
    <w:rsid w:val="00F50300"/>
    <w:rsid w:val="00F52419"/>
    <w:rsid w:val="00F5472A"/>
    <w:rsid w:val="00F62803"/>
    <w:rsid w:val="00F73753"/>
    <w:rsid w:val="00F831B7"/>
    <w:rsid w:val="00F92A4E"/>
    <w:rsid w:val="00F9536B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numPr>
        <w:numId w:val="4"/>
      </w:numPr>
      <w:spacing w:before="240" w:line="360" w:lineRule="auto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ilvl w:val="1"/>
        <w:numId w:val="4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AE2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AE2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AE2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AE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AE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AE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AE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ui-provider">
    <w:name w:val="ui-provider"/>
    <w:basedOn w:val="Domylnaczcionkaakapitu"/>
    <w:rsid w:val="00935B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AE2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AE2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AE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AE2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A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A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9E5A-E046-43F8-B327-4701006B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2571</Words>
  <Characters>15427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Maria Skwarko</cp:lastModifiedBy>
  <cp:revision>17</cp:revision>
  <cp:lastPrinted>2023-05-25T12:05:00Z</cp:lastPrinted>
  <dcterms:created xsi:type="dcterms:W3CDTF">2023-05-15T12:59:00Z</dcterms:created>
  <dcterms:modified xsi:type="dcterms:W3CDTF">2023-05-25T12:33:00Z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