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391DD0C"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C92751">
        <w:rPr>
          <w:rFonts w:ascii="Cambria" w:eastAsia="Cambria" w:hAnsi="Cambria" w:cs="Cambria"/>
          <w:b/>
          <w:sz w:val="22"/>
          <w:szCs w:val="22"/>
        </w:rPr>
        <w:t xml:space="preserve"> </w:t>
      </w:r>
      <w:r w:rsidR="00565052">
        <w:rPr>
          <w:rFonts w:ascii="Cambria" w:eastAsia="Cambria" w:hAnsi="Cambria" w:cs="Cambria"/>
          <w:b/>
          <w:sz w:val="22"/>
          <w:szCs w:val="22"/>
        </w:rPr>
        <w:t>20</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11E69691" w:rsidR="006B720D" w:rsidRPr="00C92751" w:rsidRDefault="006B720D" w:rsidP="006B720D">
      <w:pPr>
        <w:pBdr>
          <w:top w:val="nil"/>
          <w:left w:val="nil"/>
          <w:bottom w:val="nil"/>
          <w:right w:val="nil"/>
          <w:between w:val="nil"/>
        </w:pBdr>
        <w:jc w:val="center"/>
        <w:rPr>
          <w:rFonts w:eastAsia="Tahoma"/>
          <w:sz w:val="24"/>
          <w:szCs w:val="24"/>
        </w:rPr>
      </w:pPr>
      <w:r w:rsidRPr="00C92751">
        <w:rPr>
          <w:rFonts w:eastAsia="Cambria"/>
          <w:b/>
          <w:sz w:val="24"/>
          <w:szCs w:val="24"/>
        </w:rPr>
        <w:t>Dostawa wyrobów medycznych (</w:t>
      </w:r>
      <w:proofErr w:type="spellStart"/>
      <w:r w:rsidR="00C92751" w:rsidRPr="00C92751">
        <w:rPr>
          <w:b/>
          <w:sz w:val="24"/>
          <w:szCs w:val="24"/>
        </w:rPr>
        <w:t>mopy</w:t>
      </w:r>
      <w:proofErr w:type="spellEnd"/>
      <w:r w:rsidR="00C92751" w:rsidRPr="00C92751">
        <w:rPr>
          <w:b/>
          <w:sz w:val="24"/>
          <w:szCs w:val="24"/>
        </w:rPr>
        <w:t xml:space="preserve"> jednorazowe, mata podłogowa, zestaw śródoperacyjnej osłony na sondę USG, osłona na aparaturę RTG, kieszeń dwukomorowa samoprzylepna do ssaka, kompresy</w:t>
      </w:r>
      <w:r w:rsidR="00086B77" w:rsidRPr="00C92751">
        <w:rPr>
          <w:rFonts w:eastAsia="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5F7ADDBC" w:rsidR="00F351A8" w:rsidRPr="00505BA1" w:rsidRDefault="00C92751"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33141000-0, 33140000-3, 33141119-7</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bookmarkStart w:id="0" w:name="_GoBack"/>
      <w:bookmarkEnd w:id="0"/>
    </w:p>
    <w:p w14:paraId="37C10984" w14:textId="2FE605A1"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r w:rsidR="00306CE0">
        <w:rPr>
          <w:color w:val="FF0000"/>
          <w:sz w:val="22"/>
          <w:szCs w:val="22"/>
        </w:rPr>
        <w:t xml:space="preserve">Modyfikacja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71F0FF9A" w:rsidR="00047EFC" w:rsidRPr="003C5D0F" w:rsidRDefault="00E061D8"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26.</w:t>
      </w:r>
      <w:r w:rsidR="00306CE0">
        <w:rPr>
          <w:rFonts w:ascii="Cambria" w:eastAsia="Tahoma" w:hAnsi="Cambria" w:cs="Tahoma"/>
          <w:b/>
          <w:bCs/>
          <w:sz w:val="24"/>
          <w:szCs w:val="24"/>
        </w:rPr>
        <w:t>03</w:t>
      </w:r>
      <w:r w:rsidR="006A686B">
        <w:rPr>
          <w:rFonts w:ascii="Cambria" w:eastAsia="Tahoma" w:hAnsi="Cambria" w:cs="Tahoma"/>
          <w:b/>
          <w:bCs/>
          <w:sz w:val="24"/>
          <w:szCs w:val="24"/>
        </w:rPr>
        <w:t>.</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E061D8"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E061D8"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20DBDA0C" w:rsidR="0096355D" w:rsidRPr="00C92751" w:rsidRDefault="0096355D" w:rsidP="0096355D">
      <w:pPr>
        <w:pBdr>
          <w:top w:val="nil"/>
          <w:left w:val="nil"/>
          <w:bottom w:val="nil"/>
          <w:right w:val="nil"/>
          <w:between w:val="nil"/>
        </w:pBdr>
        <w:jc w:val="both"/>
        <w:rPr>
          <w:rFonts w:eastAsia="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C92751" w:rsidRPr="00C92751">
        <w:rPr>
          <w:rFonts w:eastAsia="Cambria"/>
          <w:b/>
          <w:sz w:val="24"/>
          <w:szCs w:val="24"/>
        </w:rPr>
        <w:t>Dostawa wyrobów medycznych (</w:t>
      </w:r>
      <w:proofErr w:type="spellStart"/>
      <w:r w:rsidR="00C92751" w:rsidRPr="00C92751">
        <w:rPr>
          <w:b/>
          <w:sz w:val="24"/>
          <w:szCs w:val="24"/>
        </w:rPr>
        <w:t>mopy</w:t>
      </w:r>
      <w:proofErr w:type="spellEnd"/>
      <w:r w:rsidR="00C92751" w:rsidRPr="00C92751">
        <w:rPr>
          <w:b/>
          <w:sz w:val="24"/>
          <w:szCs w:val="24"/>
        </w:rPr>
        <w:t xml:space="preserve"> jednorazowe, mata podłogowa, zestaw śródoperacyjnej osłony na sondę USG, osłona na aparaturę RTG, kieszeń dwukomorowa samoprzylepna do ssaka, kompresy</w:t>
      </w:r>
      <w:r w:rsidR="00C92751" w:rsidRPr="00C92751">
        <w:rPr>
          <w:rFonts w:eastAsia="Cambria"/>
          <w:b/>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lastRenderedPageBreak/>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39C3830E"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C92751">
        <w:rPr>
          <w:rFonts w:ascii="Cambria" w:eastAsia="Cambria" w:hAnsi="Cambria" w:cs="Cambria"/>
          <w:sz w:val="24"/>
          <w:szCs w:val="24"/>
        </w:rPr>
        <w:t>6</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73321524"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r>
      <w:r w:rsidR="00401F0A" w:rsidRPr="00401F0A">
        <w:rPr>
          <w:rFonts w:ascii="Cambria" w:eastAsia="Tahoma" w:hAnsi="Cambria" w:cs="Tahoma"/>
          <w:color w:val="FF0000"/>
          <w:sz w:val="24"/>
          <w:szCs w:val="24"/>
        </w:rPr>
        <w:t>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18 miesięcy (słownie: osiemnastu). Zmiana umowy wymaga pisemnego aneksu, z tym, że Zamawiający jednostronnie 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lastRenderedPageBreak/>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Przedmiotowe środki dowodowe są środkami służącymi zweryfikowaniu poprawności merytorycznej złożonej oferty.</w:t>
      </w:r>
    </w:p>
    <w:p w14:paraId="2F8A32B0"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lastRenderedPageBreak/>
        <w:t>Zamawiający na mocy przysługujących mu uprawnień (</w:t>
      </w:r>
      <w:r w:rsidRPr="00565052">
        <w:rPr>
          <w:rFonts w:ascii="Cambria" w:hAnsi="Cambria" w:cs="Posterama"/>
          <w:b/>
          <w:bCs/>
          <w:sz w:val="22"/>
          <w:szCs w:val="22"/>
          <w:shd w:val="clear" w:color="auto" w:fill="FFFFFF"/>
        </w:rPr>
        <w:t xml:space="preserve">art. 106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565052">
        <w:rPr>
          <w:rFonts w:ascii="Cambria" w:hAnsi="Cambria" w:cs="Posterama"/>
          <w:b/>
          <w:bCs/>
          <w:sz w:val="22"/>
          <w:szCs w:val="22"/>
          <w:shd w:val="clear" w:color="auto" w:fill="FFFFFF"/>
        </w:rPr>
        <w:t>art. 137</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cechy oferowanego towaru z tymi wymaganymi.</w:t>
      </w:r>
    </w:p>
    <w:p w14:paraId="2CF220DE"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565052">
        <w:rPr>
          <w:rFonts w:ascii="Cambria" w:hAnsi="Cambria" w:cs="Posterama"/>
          <w:b/>
          <w:bCs/>
          <w:sz w:val="22"/>
          <w:szCs w:val="22"/>
          <w:shd w:val="clear" w:color="auto" w:fill="FFFFFF"/>
        </w:rPr>
        <w:t xml:space="preserve">art. 226 ust. 1 pkt 2 </w:t>
      </w:r>
      <w:proofErr w:type="spellStart"/>
      <w:r w:rsidRPr="00565052">
        <w:rPr>
          <w:rFonts w:ascii="Cambria" w:hAnsi="Cambria" w:cs="Posterama"/>
          <w:b/>
          <w:bCs/>
          <w:sz w:val="22"/>
          <w:szCs w:val="22"/>
          <w:shd w:val="clear" w:color="auto" w:fill="FFFFFF"/>
        </w:rPr>
        <w:t>ppkt</w:t>
      </w:r>
      <w:proofErr w:type="spellEnd"/>
      <w:r w:rsidRPr="00565052">
        <w:rPr>
          <w:rFonts w:ascii="Cambria" w:hAnsi="Cambria" w:cs="Posterama"/>
          <w:b/>
          <w:bCs/>
          <w:sz w:val="22"/>
          <w:szCs w:val="22"/>
          <w:shd w:val="clear" w:color="auto" w:fill="FFFFFF"/>
        </w:rPr>
        <w:t xml:space="preserve"> c</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E061D8"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E061D8"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w:t>
      </w:r>
      <w:r w:rsidRPr="004F4F0B">
        <w:rPr>
          <w:rFonts w:asciiTheme="minorHAnsi" w:eastAsia="Calibri" w:hAnsiTheme="minorHAnsi" w:cs="Posterama"/>
          <w:bCs/>
          <w:sz w:val="22"/>
          <w:szCs w:val="22"/>
          <w:lang w:eastAsia="en-US"/>
        </w:rPr>
        <w:lastRenderedPageBreak/>
        <w:t xml:space="preserve">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36C9F61"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6860C4" w:rsidRPr="006860C4">
        <w:rPr>
          <w:rFonts w:asciiTheme="minorHAnsi" w:eastAsia="Calibri" w:hAnsiTheme="minorHAnsi" w:cs="Posterama"/>
          <w:b/>
          <w:color w:val="FF0000"/>
          <w:sz w:val="22"/>
          <w:szCs w:val="22"/>
          <w:lang w:eastAsia="en-US"/>
        </w:rPr>
        <w:t>01.05</w:t>
      </w:r>
      <w:r w:rsidR="00565052" w:rsidRPr="006860C4">
        <w:rPr>
          <w:rFonts w:asciiTheme="minorHAnsi" w:eastAsia="Calibri" w:hAnsiTheme="minorHAnsi" w:cs="Posterama"/>
          <w:b/>
          <w:color w:val="FF0000"/>
          <w:sz w:val="22"/>
          <w:szCs w:val="22"/>
          <w:lang w:eastAsia="en-US"/>
        </w:rPr>
        <w:t>.</w:t>
      </w:r>
      <w:r w:rsidR="00BC09EC" w:rsidRPr="006860C4">
        <w:rPr>
          <w:rFonts w:asciiTheme="minorHAnsi" w:eastAsia="Calibri" w:hAnsiTheme="minorHAnsi" w:cs="Posterama"/>
          <w:b/>
          <w:color w:val="FF0000"/>
          <w:sz w:val="22"/>
          <w:szCs w:val="22"/>
          <w:lang w:eastAsia="en-US"/>
        </w:rPr>
        <w:t>2024</w:t>
      </w:r>
      <w:r w:rsidR="007B0C24" w:rsidRPr="006860C4">
        <w:rPr>
          <w:rFonts w:asciiTheme="minorHAnsi" w:eastAsia="Calibri" w:hAnsiTheme="minorHAnsi" w:cs="Posterama"/>
          <w:b/>
          <w:color w:val="FF0000"/>
          <w:sz w:val="22"/>
          <w:szCs w:val="22"/>
          <w:lang w:eastAsia="en-US"/>
        </w:rPr>
        <w:t xml:space="preserve"> </w:t>
      </w:r>
      <w:r w:rsidR="00C8152C" w:rsidRPr="006860C4">
        <w:rPr>
          <w:rFonts w:asciiTheme="minorHAnsi" w:eastAsia="Calibri" w:hAnsiTheme="minorHAnsi" w:cs="Posterama"/>
          <w:b/>
          <w:color w:val="FF0000"/>
          <w:sz w:val="22"/>
          <w:szCs w:val="22"/>
          <w:lang w:eastAsia="en-US"/>
        </w:rPr>
        <w:t>r</w:t>
      </w:r>
      <w:r w:rsidR="00C8152C" w:rsidRPr="006860C4">
        <w:rPr>
          <w:rFonts w:asciiTheme="minorHAnsi" w:eastAsia="Calibri" w:hAnsiTheme="minorHAnsi" w:cs="Posterama"/>
          <w:color w:val="FF0000"/>
          <w:sz w:val="22"/>
          <w:szCs w:val="22"/>
          <w:lang w:eastAsia="en-US"/>
        </w:rPr>
        <w:t xml:space="preserve">. </w:t>
      </w:r>
      <w:r w:rsidR="00C8152C" w:rsidRPr="00233882">
        <w:rPr>
          <w:rFonts w:asciiTheme="minorHAnsi" w:eastAsia="Calibri" w:hAnsiTheme="minorHAnsi" w:cs="Posterama"/>
          <w:sz w:val="22"/>
          <w:szCs w:val="22"/>
          <w:lang w:eastAsia="en-US"/>
        </w:rPr>
        <w:t>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2768E33C" w:rsidR="001B1DA3" w:rsidRPr="006B720D"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w:t>
      </w:r>
      <w:r w:rsidR="00982D54">
        <w:rPr>
          <w:rFonts w:asciiTheme="minorHAnsi" w:hAnsiTheme="minorHAnsi" w:cs="Posterama"/>
          <w:b/>
          <w:bCs/>
          <w:sz w:val="22"/>
          <w:szCs w:val="22"/>
        </w:rPr>
        <w:t>685,</w:t>
      </w:r>
      <w:r w:rsidR="009B1BEB">
        <w:rPr>
          <w:rFonts w:asciiTheme="minorHAnsi" w:hAnsiTheme="minorHAnsi" w:cs="Posterama"/>
          <w:b/>
          <w:bCs/>
          <w:sz w:val="22"/>
          <w:szCs w:val="22"/>
        </w:rPr>
        <w:t xml:space="preserve">00 zł </w:t>
      </w:r>
    </w:p>
    <w:p w14:paraId="239F5161" w14:textId="48B75A4D"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nie jest wymagane </w:t>
      </w:r>
    </w:p>
    <w:p w14:paraId="2A775E03" w14:textId="75D59192"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w:t>
      </w:r>
      <w:r w:rsidR="00505BA1">
        <w:rPr>
          <w:rFonts w:asciiTheme="minorHAnsi" w:hAnsiTheme="minorHAnsi" w:cs="Posterama"/>
          <w:b/>
          <w:bCs/>
          <w:sz w:val="22"/>
          <w:szCs w:val="22"/>
        </w:rPr>
        <w:t xml:space="preserve"> </w:t>
      </w:r>
      <w:r w:rsidR="00982D54">
        <w:rPr>
          <w:rFonts w:asciiTheme="minorHAnsi" w:hAnsiTheme="minorHAnsi" w:cs="Posterama"/>
          <w:b/>
          <w:bCs/>
          <w:sz w:val="22"/>
          <w:szCs w:val="22"/>
        </w:rPr>
        <w:t>202,00</w:t>
      </w:r>
      <w:r w:rsidR="009B1BEB">
        <w:rPr>
          <w:rFonts w:asciiTheme="minorHAnsi" w:hAnsiTheme="minorHAnsi" w:cs="Posterama"/>
          <w:b/>
          <w:bCs/>
          <w:sz w:val="22"/>
          <w:szCs w:val="22"/>
        </w:rPr>
        <w:t xml:space="preserve"> zł </w:t>
      </w:r>
    </w:p>
    <w:p w14:paraId="405E73D4" w14:textId="2F5AC4A1"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w:t>
      </w:r>
      <w:r w:rsidR="00505BA1">
        <w:rPr>
          <w:rFonts w:asciiTheme="minorHAnsi" w:hAnsiTheme="minorHAnsi" w:cs="Posterama"/>
          <w:b/>
          <w:bCs/>
          <w:sz w:val="22"/>
          <w:szCs w:val="22"/>
        </w:rPr>
        <w:t xml:space="preserve"> </w:t>
      </w:r>
      <w:r w:rsidR="009B1BEB">
        <w:rPr>
          <w:rFonts w:asciiTheme="minorHAnsi" w:hAnsiTheme="minorHAnsi" w:cs="Posterama"/>
          <w:b/>
          <w:bCs/>
          <w:sz w:val="22"/>
          <w:szCs w:val="22"/>
        </w:rPr>
        <w:t xml:space="preserve">nie jest wymagane </w:t>
      </w:r>
    </w:p>
    <w:p w14:paraId="05102C13" w14:textId="401CDCDA"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5- </w:t>
      </w:r>
      <w:r w:rsidR="009B1BEB">
        <w:rPr>
          <w:rFonts w:asciiTheme="minorHAnsi" w:hAnsiTheme="minorHAnsi" w:cs="Posterama"/>
          <w:b/>
          <w:bCs/>
          <w:sz w:val="22"/>
          <w:szCs w:val="22"/>
        </w:rPr>
        <w:t xml:space="preserve"> </w:t>
      </w:r>
      <w:r w:rsidR="00982D54">
        <w:rPr>
          <w:rFonts w:asciiTheme="minorHAnsi" w:hAnsiTheme="minorHAnsi" w:cs="Posterama"/>
          <w:b/>
          <w:bCs/>
          <w:sz w:val="22"/>
          <w:szCs w:val="22"/>
        </w:rPr>
        <w:t xml:space="preserve">nie jest wymagane </w:t>
      </w:r>
      <w:r w:rsidR="009B1BEB">
        <w:rPr>
          <w:rFonts w:asciiTheme="minorHAnsi" w:hAnsiTheme="minorHAnsi" w:cs="Posterama"/>
          <w:b/>
          <w:bCs/>
          <w:sz w:val="22"/>
          <w:szCs w:val="22"/>
        </w:rPr>
        <w:t xml:space="preserve"> </w:t>
      </w:r>
    </w:p>
    <w:p w14:paraId="53D80456" w14:textId="343B3D41"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6-</w:t>
      </w:r>
      <w:r w:rsidR="009B1BEB">
        <w:rPr>
          <w:rFonts w:asciiTheme="minorHAnsi" w:hAnsiTheme="minorHAnsi" w:cs="Posterama"/>
          <w:b/>
          <w:bCs/>
          <w:sz w:val="22"/>
          <w:szCs w:val="22"/>
        </w:rPr>
        <w:t xml:space="preserve">  </w:t>
      </w:r>
      <w:r w:rsidR="00982D54">
        <w:rPr>
          <w:rFonts w:asciiTheme="minorHAnsi" w:hAnsiTheme="minorHAnsi" w:cs="Posterama"/>
          <w:b/>
          <w:bCs/>
          <w:sz w:val="22"/>
          <w:szCs w:val="22"/>
        </w:rPr>
        <w:t xml:space="preserve">5.699,00 zł </w:t>
      </w:r>
      <w:r w:rsidR="009B1BEB">
        <w:rPr>
          <w:rFonts w:asciiTheme="minorHAnsi" w:hAnsiTheme="minorHAnsi" w:cs="Posterama"/>
          <w:b/>
          <w:bCs/>
          <w:sz w:val="22"/>
          <w:szCs w:val="22"/>
        </w:rPr>
        <w:t xml:space="preserve"> </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5A43664F"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6860C4" w:rsidRPr="006860C4">
        <w:rPr>
          <w:rFonts w:asciiTheme="minorHAnsi" w:hAnsiTheme="minorHAnsi" w:cs="Posterama"/>
          <w:b/>
          <w:color w:val="FF0000"/>
          <w:sz w:val="22"/>
          <w:szCs w:val="18"/>
          <w:lang w:eastAsia="x-none"/>
        </w:rPr>
        <w:t>02.04</w:t>
      </w:r>
      <w:r w:rsidR="00565052" w:rsidRPr="006860C4">
        <w:rPr>
          <w:rFonts w:asciiTheme="minorHAnsi" w:hAnsiTheme="minorHAnsi" w:cs="Posterama"/>
          <w:b/>
          <w:color w:val="FF0000"/>
          <w:sz w:val="22"/>
          <w:szCs w:val="18"/>
          <w:lang w:eastAsia="x-none"/>
        </w:rPr>
        <w:t>.</w:t>
      </w:r>
      <w:r w:rsidR="00086B77" w:rsidRPr="006860C4">
        <w:rPr>
          <w:rFonts w:asciiTheme="minorHAnsi" w:hAnsiTheme="minorHAnsi" w:cs="Posterama"/>
          <w:b/>
          <w:color w:val="FF0000"/>
          <w:sz w:val="22"/>
          <w:szCs w:val="18"/>
          <w:lang w:eastAsia="x-none"/>
        </w:rPr>
        <w:t>2024</w:t>
      </w:r>
      <w:r w:rsidR="003D1ADB" w:rsidRPr="006860C4">
        <w:rPr>
          <w:rFonts w:asciiTheme="minorHAnsi" w:hAnsiTheme="minorHAnsi" w:cs="Posterama"/>
          <w:b/>
          <w:color w:val="FF0000"/>
          <w:sz w:val="22"/>
          <w:szCs w:val="18"/>
          <w:lang w:eastAsia="x-none"/>
        </w:rPr>
        <w:t xml:space="preserve"> </w:t>
      </w:r>
      <w:r w:rsidRPr="006860C4">
        <w:rPr>
          <w:rFonts w:asciiTheme="minorHAnsi" w:hAnsiTheme="minorHAnsi" w:cs="Posterama"/>
          <w:b/>
          <w:color w:val="FF0000"/>
          <w:sz w:val="22"/>
          <w:szCs w:val="18"/>
          <w:lang w:val="x-none" w:eastAsia="x-none"/>
        </w:rPr>
        <w:t>r</w:t>
      </w:r>
      <w:r w:rsidRPr="00233882">
        <w:rPr>
          <w:rFonts w:asciiTheme="minorHAnsi" w:hAnsiTheme="minorHAnsi" w:cs="Posterama"/>
          <w:b/>
          <w:sz w:val="22"/>
          <w:szCs w:val="18"/>
          <w:lang w:val="x-none" w:eastAsia="x-none"/>
        </w:rPr>
        <w:t xml:space="preserve">.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63B8163C"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565052">
        <w:rPr>
          <w:rFonts w:asciiTheme="minorHAnsi" w:eastAsia="Cambria" w:hAnsiTheme="minorHAnsi" w:cs="Cambria"/>
          <w:b/>
          <w:sz w:val="22"/>
          <w:szCs w:val="22"/>
          <w:u w:val="single"/>
        </w:rPr>
        <w:t>20</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lastRenderedPageBreak/>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544FA2D9"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6860C4" w:rsidRPr="006860C4">
        <w:rPr>
          <w:rFonts w:asciiTheme="minorHAnsi" w:hAnsiTheme="minorHAnsi" w:cs="Posterama"/>
          <w:b/>
          <w:color w:val="FF0000"/>
          <w:sz w:val="22"/>
          <w:szCs w:val="22"/>
        </w:rPr>
        <w:t>02.04</w:t>
      </w:r>
      <w:r w:rsidR="00565052" w:rsidRPr="006860C4">
        <w:rPr>
          <w:rFonts w:asciiTheme="minorHAnsi" w:hAnsiTheme="minorHAnsi" w:cs="Posterama"/>
          <w:b/>
          <w:color w:val="FF0000"/>
          <w:sz w:val="22"/>
          <w:szCs w:val="22"/>
        </w:rPr>
        <w:t>.</w:t>
      </w:r>
      <w:r w:rsidR="00086B77" w:rsidRPr="006860C4">
        <w:rPr>
          <w:rFonts w:asciiTheme="minorHAnsi" w:hAnsiTheme="minorHAnsi" w:cs="Posterama"/>
          <w:b/>
          <w:color w:val="FF0000"/>
          <w:sz w:val="22"/>
          <w:szCs w:val="22"/>
        </w:rPr>
        <w:t>2024</w:t>
      </w:r>
      <w:r w:rsidR="00D63F5F" w:rsidRPr="006860C4">
        <w:rPr>
          <w:rFonts w:asciiTheme="minorHAnsi" w:hAnsiTheme="minorHAnsi" w:cs="Posterama"/>
          <w:b/>
          <w:color w:val="FF0000"/>
          <w:sz w:val="22"/>
          <w:szCs w:val="22"/>
        </w:rPr>
        <w:t xml:space="preserve"> </w:t>
      </w:r>
      <w:r w:rsidRPr="006860C4">
        <w:rPr>
          <w:rFonts w:asciiTheme="minorHAnsi" w:hAnsiTheme="minorHAnsi" w:cs="Posterama"/>
          <w:b/>
          <w:color w:val="FF0000"/>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4AF6B2FF"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6860C4" w:rsidRPr="006860C4">
        <w:rPr>
          <w:rFonts w:asciiTheme="minorHAnsi" w:hAnsiTheme="minorHAnsi" w:cs="Posterama"/>
          <w:b/>
          <w:color w:val="FF0000"/>
          <w:sz w:val="22"/>
          <w:szCs w:val="22"/>
        </w:rPr>
        <w:t>02.04</w:t>
      </w:r>
      <w:r w:rsidR="00565052" w:rsidRPr="006860C4">
        <w:rPr>
          <w:rFonts w:asciiTheme="minorHAnsi" w:hAnsiTheme="minorHAnsi" w:cs="Posterama"/>
          <w:b/>
          <w:color w:val="FF0000"/>
          <w:sz w:val="22"/>
          <w:szCs w:val="22"/>
        </w:rPr>
        <w:t>.</w:t>
      </w:r>
      <w:r w:rsidR="00086B77" w:rsidRPr="006860C4">
        <w:rPr>
          <w:rFonts w:asciiTheme="minorHAnsi" w:hAnsiTheme="minorHAnsi" w:cs="Posterama"/>
          <w:b/>
          <w:color w:val="FF0000"/>
          <w:sz w:val="22"/>
          <w:szCs w:val="22"/>
        </w:rPr>
        <w:t>2024</w:t>
      </w:r>
      <w:r w:rsidR="00A60BEC" w:rsidRPr="006860C4">
        <w:rPr>
          <w:rFonts w:asciiTheme="minorHAnsi" w:hAnsiTheme="minorHAnsi" w:cs="Posterama"/>
          <w:b/>
          <w:color w:val="FF0000"/>
          <w:sz w:val="22"/>
          <w:szCs w:val="22"/>
        </w:rPr>
        <w:t xml:space="preserve"> </w:t>
      </w:r>
      <w:r w:rsidRPr="006860C4">
        <w:rPr>
          <w:rFonts w:asciiTheme="minorHAnsi" w:hAnsiTheme="minorHAnsi" w:cs="Posterama"/>
          <w:b/>
          <w:color w:val="FF0000"/>
          <w:sz w:val="22"/>
          <w:szCs w:val="22"/>
        </w:rPr>
        <w:t>r.,</w:t>
      </w:r>
      <w:r w:rsidRPr="006860C4">
        <w:rPr>
          <w:rFonts w:asciiTheme="minorHAnsi" w:hAnsiTheme="minorHAnsi" w:cs="Posterama"/>
          <w:color w:val="FF0000"/>
          <w:sz w:val="22"/>
          <w:szCs w:val="22"/>
        </w:rPr>
        <w:t xml:space="preserve"> o </w:t>
      </w:r>
      <w:r w:rsidRPr="006B720D">
        <w:rPr>
          <w:rFonts w:asciiTheme="minorHAnsi" w:hAnsiTheme="minorHAnsi" w:cs="Posterama"/>
          <w:sz w:val="22"/>
          <w:szCs w:val="22"/>
        </w:rPr>
        <w:t xml:space="preserve">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 xml:space="preserve">Przepisy dotyczące Wykonawcy stosuje się odpowiednio do Wykonawców wspólnie </w:t>
      </w:r>
      <w:r w:rsidRPr="004F4F0B">
        <w:rPr>
          <w:color w:val="auto"/>
        </w:rPr>
        <w:lastRenderedPageBreak/>
        <w:t>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t>
      </w:r>
      <w:r w:rsidRPr="00F8439C">
        <w:rPr>
          <w:color w:val="auto"/>
        </w:rPr>
        <w:lastRenderedPageBreak/>
        <w:t xml:space="preserve">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w:t>
      </w:r>
      <w:r w:rsidRPr="004F4F0B">
        <w:rPr>
          <w:rFonts w:asciiTheme="minorHAnsi" w:eastAsia="Cambria" w:hAnsiTheme="minorHAnsi" w:cs="Cambria"/>
          <w:sz w:val="22"/>
          <w:szCs w:val="22"/>
        </w:rPr>
        <w:lastRenderedPageBreak/>
        <w:t xml:space="preserve">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lastRenderedPageBreak/>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w:t>
      </w:r>
      <w:r w:rsidRPr="004F4F0B">
        <w:rPr>
          <w:rFonts w:asciiTheme="minorHAnsi" w:hAnsiTheme="minorHAnsi" w:cs="Posterama"/>
          <w:sz w:val="22"/>
          <w:szCs w:val="22"/>
          <w:shd w:val="clear" w:color="auto" w:fill="FFFFFF"/>
        </w:rPr>
        <w:lastRenderedPageBreak/>
        <w:t xml:space="preserve">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lastRenderedPageBreak/>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44D3653E"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565052">
        <w:rPr>
          <w:rFonts w:ascii="Cambria" w:eastAsia="Cambria" w:hAnsi="Cambria" w:cs="Cambria"/>
          <w:b/>
          <w:bCs/>
          <w:sz w:val="22"/>
          <w:szCs w:val="22"/>
        </w:rPr>
        <w:t>20</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982D54" w:rsidRPr="00C92751">
        <w:rPr>
          <w:rFonts w:eastAsia="Cambria"/>
          <w:b/>
          <w:sz w:val="24"/>
          <w:szCs w:val="24"/>
        </w:rPr>
        <w:t>Dostawa wyrobów medycznych (</w:t>
      </w:r>
      <w:proofErr w:type="spellStart"/>
      <w:r w:rsidR="00982D54" w:rsidRPr="00C92751">
        <w:rPr>
          <w:b/>
          <w:sz w:val="24"/>
          <w:szCs w:val="24"/>
        </w:rPr>
        <w:t>mopy</w:t>
      </w:r>
      <w:proofErr w:type="spellEnd"/>
      <w:r w:rsidR="00982D54" w:rsidRPr="00C92751">
        <w:rPr>
          <w:b/>
          <w:sz w:val="24"/>
          <w:szCs w:val="24"/>
        </w:rPr>
        <w:t xml:space="preserve"> jednorazowe, mata podłogowa, zestaw śródoperacyjnej osłony na sondę USG, osłona na aparaturę RTG, kieszeń dwukomorowa samoprzylepna do ssaka, kompresy</w:t>
      </w:r>
      <w:r w:rsidR="00982D54" w:rsidRPr="00C92751">
        <w:rPr>
          <w:rFonts w:eastAsia="Cambria"/>
          <w:b/>
          <w:sz w:val="24"/>
          <w:szCs w:val="24"/>
        </w:rPr>
        <w:t>) dla Mazowieckiego Centrum Rehabilitacji STOCER Sp. z o.o.</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6232EC79" w14:textId="083FB18B" w:rsidR="0027258C" w:rsidRDefault="00F77481" w:rsidP="000D777D">
      <w:pPr>
        <w:pBdr>
          <w:top w:val="nil"/>
          <w:left w:val="nil"/>
          <w:bottom w:val="nil"/>
          <w:right w:val="nil"/>
          <w:between w:val="nil"/>
        </w:pBdr>
        <w:jc w:val="both"/>
        <w:rPr>
          <w:rFonts w:ascii="Cambria" w:eastAsia="Cambria" w:hAnsi="Cambria" w:cs="Cambria"/>
          <w:b/>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565052">
        <w:rPr>
          <w:rFonts w:ascii="Cambria" w:eastAsia="Cambria" w:hAnsi="Cambria" w:cs="Cambria"/>
          <w:b/>
          <w:bCs/>
          <w:sz w:val="22"/>
          <w:szCs w:val="22"/>
        </w:rPr>
        <w:t>20</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982D54" w:rsidRPr="00C92751">
        <w:rPr>
          <w:rFonts w:eastAsia="Cambria"/>
          <w:b/>
          <w:sz w:val="24"/>
          <w:szCs w:val="24"/>
        </w:rPr>
        <w:t>Dostawa wyrobów medycznych (</w:t>
      </w:r>
      <w:proofErr w:type="spellStart"/>
      <w:r w:rsidR="00982D54" w:rsidRPr="00C92751">
        <w:rPr>
          <w:b/>
          <w:sz w:val="24"/>
          <w:szCs w:val="24"/>
        </w:rPr>
        <w:t>mopy</w:t>
      </w:r>
      <w:proofErr w:type="spellEnd"/>
      <w:r w:rsidR="00982D54" w:rsidRPr="00C92751">
        <w:rPr>
          <w:b/>
          <w:sz w:val="24"/>
          <w:szCs w:val="24"/>
        </w:rPr>
        <w:t xml:space="preserve"> jednorazowe, mata podłogowa, zestaw śródoperacyjnej osłony na sondę USG, osłona na aparaturę RTG, kieszeń dwukomorowa samoprzylepna do ssaka, kompresy</w:t>
      </w:r>
      <w:r w:rsidR="00982D54" w:rsidRPr="00C92751">
        <w:rPr>
          <w:rFonts w:eastAsia="Cambria"/>
          <w:b/>
          <w:sz w:val="24"/>
          <w:szCs w:val="24"/>
        </w:rPr>
        <w:t>) dla Mazowieckiego Centrum Rehabilitacji STOCER Sp. z o.o.</w:t>
      </w:r>
    </w:p>
    <w:p w14:paraId="18DB8EEC" w14:textId="77777777"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8B8AA24" w14:textId="715F4A1E"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5</w:t>
      </w:r>
      <w:r w:rsidRPr="006B720D">
        <w:rPr>
          <w:rFonts w:ascii="Cambria" w:eastAsia="Cambria" w:hAnsi="Cambria" w:cs="Cambria"/>
          <w:sz w:val="22"/>
          <w:szCs w:val="22"/>
        </w:rPr>
        <w:t>-netto………………………………………….. *brutto………………………………………………..*</w:t>
      </w:r>
    </w:p>
    <w:p w14:paraId="4F63E38B"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528BF78" w14:textId="189723C9"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6</w:t>
      </w:r>
      <w:r w:rsidRPr="006B720D">
        <w:rPr>
          <w:rFonts w:ascii="Cambria" w:eastAsia="Cambria" w:hAnsi="Cambria" w:cs="Cambria"/>
          <w:sz w:val="22"/>
          <w:szCs w:val="22"/>
        </w:rPr>
        <w:t>-netto………………………………………….. *brutto………………………………………………..*</w:t>
      </w:r>
    </w:p>
    <w:p w14:paraId="7746350F"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lastRenderedPageBreak/>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53E90048" w14:textId="5C033E46" w:rsidR="0001765B" w:rsidRDefault="0001765B" w:rsidP="00F77481">
      <w:pPr>
        <w:pStyle w:val="Default"/>
        <w:rPr>
          <w:rFonts w:ascii="Cambria" w:hAnsi="Cambria"/>
          <w:color w:val="auto"/>
          <w:sz w:val="22"/>
          <w:szCs w:val="22"/>
        </w:rPr>
      </w:pPr>
      <w:r>
        <w:rPr>
          <w:rFonts w:ascii="Cambria" w:hAnsi="Cambria"/>
          <w:color w:val="auto"/>
          <w:sz w:val="22"/>
          <w:szCs w:val="22"/>
        </w:rPr>
        <w:t xml:space="preserve">Warszawa, ul. Barska 16/20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5A9E8870" w14:textId="77777777" w:rsidR="00505BA1" w:rsidRDefault="00505BA1" w:rsidP="006B720D">
      <w:pPr>
        <w:pBdr>
          <w:top w:val="nil"/>
          <w:left w:val="nil"/>
          <w:bottom w:val="nil"/>
          <w:right w:val="nil"/>
          <w:between w:val="nil"/>
        </w:pBdr>
      </w:pPr>
    </w:p>
    <w:p w14:paraId="0EE50942" w14:textId="77777777" w:rsidR="00505BA1" w:rsidRDefault="00505BA1" w:rsidP="006B720D">
      <w:pPr>
        <w:pBdr>
          <w:top w:val="nil"/>
          <w:left w:val="nil"/>
          <w:bottom w:val="nil"/>
          <w:right w:val="nil"/>
          <w:between w:val="nil"/>
        </w:pBdr>
      </w:pPr>
    </w:p>
    <w:p w14:paraId="03A0D0EB" w14:textId="77777777" w:rsidR="00505BA1" w:rsidRDefault="00505BA1" w:rsidP="006B720D">
      <w:pPr>
        <w:pBdr>
          <w:top w:val="nil"/>
          <w:left w:val="nil"/>
          <w:bottom w:val="nil"/>
          <w:right w:val="nil"/>
          <w:between w:val="nil"/>
        </w:pBdr>
      </w:pPr>
    </w:p>
    <w:p w14:paraId="4B7B73BA" w14:textId="77777777" w:rsidR="00505BA1" w:rsidRDefault="00505BA1" w:rsidP="006B720D">
      <w:pPr>
        <w:pBdr>
          <w:top w:val="nil"/>
          <w:left w:val="nil"/>
          <w:bottom w:val="nil"/>
          <w:right w:val="nil"/>
          <w:between w:val="nil"/>
        </w:pBdr>
      </w:pPr>
    </w:p>
    <w:p w14:paraId="5A1394CA" w14:textId="77777777" w:rsidR="00505BA1" w:rsidRDefault="00505BA1" w:rsidP="006B720D">
      <w:pPr>
        <w:pBdr>
          <w:top w:val="nil"/>
          <w:left w:val="nil"/>
          <w:bottom w:val="nil"/>
          <w:right w:val="nil"/>
          <w:between w:val="nil"/>
        </w:pBdr>
      </w:pPr>
    </w:p>
    <w:p w14:paraId="3C3FEAA4" w14:textId="77777777" w:rsidR="00505BA1" w:rsidRDefault="00505BA1" w:rsidP="006B720D">
      <w:pPr>
        <w:pBdr>
          <w:top w:val="nil"/>
          <w:left w:val="nil"/>
          <w:bottom w:val="nil"/>
          <w:right w:val="nil"/>
          <w:between w:val="nil"/>
        </w:pBdr>
      </w:pPr>
    </w:p>
    <w:p w14:paraId="7B196693" w14:textId="77777777" w:rsidR="00505BA1" w:rsidRDefault="00505BA1" w:rsidP="006B720D">
      <w:pPr>
        <w:pBdr>
          <w:top w:val="nil"/>
          <w:left w:val="nil"/>
          <w:bottom w:val="nil"/>
          <w:right w:val="nil"/>
          <w:between w:val="nil"/>
        </w:pBdr>
      </w:pPr>
    </w:p>
    <w:p w14:paraId="1880FCCE" w14:textId="77777777" w:rsidR="00505BA1" w:rsidRDefault="00505BA1" w:rsidP="006B720D">
      <w:pPr>
        <w:pBdr>
          <w:top w:val="nil"/>
          <w:left w:val="nil"/>
          <w:bottom w:val="nil"/>
          <w:right w:val="nil"/>
          <w:between w:val="nil"/>
        </w:pBdr>
      </w:pPr>
    </w:p>
    <w:p w14:paraId="276F37CA" w14:textId="77777777" w:rsidR="00505BA1" w:rsidRDefault="00505BA1" w:rsidP="006B720D">
      <w:pPr>
        <w:pBdr>
          <w:top w:val="nil"/>
          <w:left w:val="nil"/>
          <w:bottom w:val="nil"/>
          <w:right w:val="nil"/>
          <w:between w:val="nil"/>
        </w:pBdr>
      </w:pPr>
    </w:p>
    <w:p w14:paraId="70BC08C3" w14:textId="77777777" w:rsidR="00505BA1" w:rsidRDefault="00505BA1" w:rsidP="006B720D">
      <w:pPr>
        <w:pBdr>
          <w:top w:val="nil"/>
          <w:left w:val="nil"/>
          <w:bottom w:val="nil"/>
          <w:right w:val="nil"/>
          <w:between w:val="nil"/>
        </w:pBdr>
      </w:pPr>
    </w:p>
    <w:p w14:paraId="78A90C82" w14:textId="77777777" w:rsidR="00505BA1" w:rsidRDefault="00505BA1" w:rsidP="006B720D">
      <w:pPr>
        <w:pBdr>
          <w:top w:val="nil"/>
          <w:left w:val="nil"/>
          <w:bottom w:val="nil"/>
          <w:right w:val="nil"/>
          <w:between w:val="nil"/>
        </w:pBdr>
      </w:pPr>
    </w:p>
    <w:p w14:paraId="0851D82F" w14:textId="77777777" w:rsidR="00505BA1" w:rsidRDefault="00505BA1" w:rsidP="006B720D">
      <w:pPr>
        <w:pBdr>
          <w:top w:val="nil"/>
          <w:left w:val="nil"/>
          <w:bottom w:val="nil"/>
          <w:right w:val="nil"/>
          <w:between w:val="nil"/>
        </w:pBdr>
      </w:pPr>
    </w:p>
    <w:p w14:paraId="46DF276A" w14:textId="77777777" w:rsidR="00505BA1" w:rsidRDefault="00505BA1" w:rsidP="006B720D">
      <w:pPr>
        <w:pBdr>
          <w:top w:val="nil"/>
          <w:left w:val="nil"/>
          <w:bottom w:val="nil"/>
          <w:right w:val="nil"/>
          <w:between w:val="nil"/>
        </w:pBdr>
      </w:pPr>
    </w:p>
    <w:p w14:paraId="79F7EB04" w14:textId="77777777" w:rsidR="00505BA1" w:rsidRDefault="00505BA1" w:rsidP="006B720D">
      <w:pPr>
        <w:pBdr>
          <w:top w:val="nil"/>
          <w:left w:val="nil"/>
          <w:bottom w:val="nil"/>
          <w:right w:val="nil"/>
          <w:between w:val="nil"/>
        </w:pBdr>
      </w:pPr>
    </w:p>
    <w:p w14:paraId="36FFECAB" w14:textId="77777777" w:rsidR="00505BA1" w:rsidRDefault="00505BA1" w:rsidP="006B720D">
      <w:pPr>
        <w:pBdr>
          <w:top w:val="nil"/>
          <w:left w:val="nil"/>
          <w:bottom w:val="nil"/>
          <w:right w:val="nil"/>
          <w:between w:val="nil"/>
        </w:pBdr>
      </w:pPr>
    </w:p>
    <w:p w14:paraId="13272B79" w14:textId="77777777" w:rsidR="00505BA1" w:rsidRDefault="00505BA1" w:rsidP="006B720D">
      <w:pPr>
        <w:pBdr>
          <w:top w:val="nil"/>
          <w:left w:val="nil"/>
          <w:bottom w:val="nil"/>
          <w:right w:val="nil"/>
          <w:between w:val="nil"/>
        </w:pBdr>
      </w:pPr>
    </w:p>
    <w:p w14:paraId="60BB8225" w14:textId="77777777" w:rsidR="00505BA1" w:rsidRDefault="00505BA1" w:rsidP="006B720D">
      <w:pPr>
        <w:pBdr>
          <w:top w:val="nil"/>
          <w:left w:val="nil"/>
          <w:bottom w:val="nil"/>
          <w:right w:val="nil"/>
          <w:between w:val="nil"/>
        </w:pBdr>
      </w:pPr>
    </w:p>
    <w:p w14:paraId="147CA055" w14:textId="77777777" w:rsidR="00505BA1" w:rsidRDefault="00505BA1" w:rsidP="006B720D">
      <w:pPr>
        <w:pBdr>
          <w:top w:val="nil"/>
          <w:left w:val="nil"/>
          <w:bottom w:val="nil"/>
          <w:right w:val="nil"/>
          <w:between w:val="nil"/>
        </w:pBdr>
      </w:pPr>
    </w:p>
    <w:p w14:paraId="0C1F9D05" w14:textId="77777777" w:rsidR="00505BA1" w:rsidRDefault="00505BA1" w:rsidP="006B720D">
      <w:pPr>
        <w:pBdr>
          <w:top w:val="nil"/>
          <w:left w:val="nil"/>
          <w:bottom w:val="nil"/>
          <w:right w:val="nil"/>
          <w:between w:val="nil"/>
        </w:pBdr>
      </w:pPr>
    </w:p>
    <w:p w14:paraId="33D78EE0" w14:textId="77777777" w:rsidR="00505BA1" w:rsidRDefault="00505BA1" w:rsidP="006B720D">
      <w:pPr>
        <w:pBdr>
          <w:top w:val="nil"/>
          <w:left w:val="nil"/>
          <w:bottom w:val="nil"/>
          <w:right w:val="nil"/>
          <w:between w:val="nil"/>
        </w:pBdr>
      </w:pPr>
    </w:p>
    <w:p w14:paraId="6F90FAD8" w14:textId="77777777" w:rsidR="00505BA1" w:rsidRDefault="00505BA1" w:rsidP="006B720D">
      <w:pPr>
        <w:pBdr>
          <w:top w:val="nil"/>
          <w:left w:val="nil"/>
          <w:bottom w:val="nil"/>
          <w:right w:val="nil"/>
          <w:between w:val="nil"/>
        </w:pBdr>
      </w:pPr>
    </w:p>
    <w:p w14:paraId="27F417A6" w14:textId="77777777" w:rsidR="00505BA1" w:rsidRDefault="00505BA1" w:rsidP="006B720D">
      <w:pPr>
        <w:pBdr>
          <w:top w:val="nil"/>
          <w:left w:val="nil"/>
          <w:bottom w:val="nil"/>
          <w:right w:val="nil"/>
          <w:between w:val="nil"/>
        </w:pBdr>
      </w:pPr>
    </w:p>
    <w:p w14:paraId="5A3BF36D" w14:textId="77777777" w:rsidR="00505BA1" w:rsidRDefault="00505BA1" w:rsidP="006B720D">
      <w:pPr>
        <w:pBdr>
          <w:top w:val="nil"/>
          <w:left w:val="nil"/>
          <w:bottom w:val="nil"/>
          <w:right w:val="nil"/>
          <w:between w:val="nil"/>
        </w:pBdr>
      </w:pPr>
    </w:p>
    <w:p w14:paraId="48F6784F" w14:textId="77777777" w:rsidR="00505BA1" w:rsidRDefault="00505BA1" w:rsidP="006B720D">
      <w:pPr>
        <w:pBdr>
          <w:top w:val="nil"/>
          <w:left w:val="nil"/>
          <w:bottom w:val="nil"/>
          <w:right w:val="nil"/>
          <w:between w:val="nil"/>
        </w:pBdr>
      </w:pPr>
    </w:p>
    <w:p w14:paraId="32725521" w14:textId="77777777" w:rsidR="00505BA1" w:rsidRDefault="00505BA1" w:rsidP="006B720D">
      <w:pPr>
        <w:pBdr>
          <w:top w:val="nil"/>
          <w:left w:val="nil"/>
          <w:bottom w:val="nil"/>
          <w:right w:val="nil"/>
          <w:between w:val="nil"/>
        </w:pBdr>
      </w:pPr>
    </w:p>
    <w:p w14:paraId="67389213" w14:textId="77777777" w:rsidR="00505BA1" w:rsidRDefault="00505BA1" w:rsidP="006B720D">
      <w:pPr>
        <w:pBdr>
          <w:top w:val="nil"/>
          <w:left w:val="nil"/>
          <w:bottom w:val="nil"/>
          <w:right w:val="nil"/>
          <w:between w:val="nil"/>
        </w:pBdr>
      </w:pPr>
    </w:p>
    <w:p w14:paraId="693E382D" w14:textId="77777777" w:rsidR="00982D54" w:rsidRDefault="00982D54" w:rsidP="006B720D">
      <w:pPr>
        <w:pBdr>
          <w:top w:val="nil"/>
          <w:left w:val="nil"/>
          <w:bottom w:val="nil"/>
          <w:right w:val="nil"/>
          <w:between w:val="nil"/>
        </w:pBdr>
      </w:pPr>
    </w:p>
    <w:p w14:paraId="12FE12E2" w14:textId="77777777" w:rsidR="00982D54" w:rsidRDefault="00982D54" w:rsidP="006B720D">
      <w:pPr>
        <w:pBdr>
          <w:top w:val="nil"/>
          <w:left w:val="nil"/>
          <w:bottom w:val="nil"/>
          <w:right w:val="nil"/>
          <w:between w:val="nil"/>
        </w:pBdr>
      </w:pPr>
    </w:p>
    <w:p w14:paraId="3827173B" w14:textId="77777777" w:rsidR="00982D54" w:rsidRDefault="00982D54" w:rsidP="006B720D">
      <w:pPr>
        <w:pBdr>
          <w:top w:val="nil"/>
          <w:left w:val="nil"/>
          <w:bottom w:val="nil"/>
          <w:right w:val="nil"/>
          <w:between w:val="nil"/>
        </w:pBdr>
      </w:pPr>
    </w:p>
    <w:p w14:paraId="50564725" w14:textId="77777777" w:rsidR="00505BA1" w:rsidRPr="0001765B" w:rsidRDefault="00505BA1" w:rsidP="006B720D">
      <w:pPr>
        <w:pBdr>
          <w:top w:val="nil"/>
          <w:left w:val="nil"/>
          <w:bottom w:val="nil"/>
          <w:right w:val="nil"/>
          <w:between w:val="nil"/>
        </w:pBdr>
        <w:rPr>
          <w:color w:val="FF0000"/>
        </w:rPr>
      </w:pPr>
    </w:p>
    <w:p w14:paraId="18F446B0" w14:textId="77777777" w:rsidR="00505BA1" w:rsidRPr="0001765B" w:rsidRDefault="00505BA1" w:rsidP="006B720D">
      <w:pPr>
        <w:pBdr>
          <w:top w:val="nil"/>
          <w:left w:val="nil"/>
          <w:bottom w:val="nil"/>
          <w:right w:val="nil"/>
          <w:between w:val="nil"/>
        </w:pBdr>
        <w:rPr>
          <w:color w:val="FF0000"/>
        </w:rPr>
      </w:pPr>
    </w:p>
    <w:p w14:paraId="6E488528" w14:textId="77777777" w:rsidR="00505BA1" w:rsidRPr="0001765B" w:rsidRDefault="00505BA1" w:rsidP="006B720D">
      <w:pPr>
        <w:pBdr>
          <w:top w:val="nil"/>
          <w:left w:val="nil"/>
          <w:bottom w:val="nil"/>
          <w:right w:val="nil"/>
          <w:between w:val="nil"/>
        </w:pBdr>
        <w:rPr>
          <w:color w:val="FF0000"/>
        </w:rPr>
      </w:pPr>
    </w:p>
    <w:p w14:paraId="6F294AB6" w14:textId="77777777" w:rsidR="00505BA1" w:rsidRPr="0001765B" w:rsidRDefault="00505BA1" w:rsidP="006B720D">
      <w:pPr>
        <w:pBdr>
          <w:top w:val="nil"/>
          <w:left w:val="nil"/>
          <w:bottom w:val="nil"/>
          <w:right w:val="nil"/>
          <w:between w:val="nil"/>
        </w:pBdr>
        <w:rPr>
          <w:color w:val="FF0000"/>
        </w:rPr>
      </w:pPr>
    </w:p>
    <w:p w14:paraId="400F0CEB" w14:textId="23C78C75" w:rsidR="00794752" w:rsidRDefault="0022458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lastRenderedPageBreak/>
        <w:t xml:space="preserve"> </w:t>
      </w:r>
      <w:r w:rsidR="00794752">
        <w:rPr>
          <w:rFonts w:asciiTheme="minorHAnsi" w:eastAsia="Cambria" w:hAnsiTheme="minorHAnsi" w:cs="Cambria"/>
          <w:b/>
          <w:sz w:val="22"/>
          <w:szCs w:val="22"/>
        </w:rPr>
        <w:t xml:space="preserve">Załącznik nr 4 do SWZ </w:t>
      </w:r>
    </w:p>
    <w:p w14:paraId="1C6F59A8" w14:textId="5F46500D"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565052">
        <w:rPr>
          <w:rFonts w:asciiTheme="minorHAnsi" w:eastAsia="Garamond" w:hAnsiTheme="minorHAnsi" w:cs="Garamond"/>
          <w:b/>
          <w:sz w:val="22"/>
          <w:szCs w:val="22"/>
        </w:rPr>
        <w:t>20</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lastRenderedPageBreak/>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7"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7"/>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8" w:name="_30j0zll"/>
      <w:bookmarkStart w:id="9" w:name="_Hlk102136891"/>
      <w:bookmarkEnd w:id="8"/>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9"/>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zgodnie postanawiają, iż zmiana adresów przez Strony dla celów przesyłania faktur w formie elektronicznej nie stanowi zmiany Umowy. Strony zobowiązują się, iż zmiana </w:t>
      </w:r>
      <w:r>
        <w:rPr>
          <w:rFonts w:asciiTheme="minorHAnsi" w:eastAsia="Garamond" w:hAnsiTheme="minorHAnsi" w:cs="Garamond"/>
          <w:sz w:val="22"/>
          <w:szCs w:val="22"/>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1" w:name="_Hlk150515244"/>
      <w:bookmarkEnd w:id="10"/>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1"/>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2"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2"/>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3B52CC1A"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3" w:name="_Hlk150516729"/>
      <w:r w:rsidRPr="00FA597C">
        <w:rPr>
          <w:rFonts w:cs="TimesNewRomanPS-ItalicMT"/>
          <w:color w:val="auto"/>
        </w:rPr>
        <w:t>Wykonawca jest zobowiązany do przestrzegania postanowień instrumentu dzielenia ryzyka przez cały okres obowiązywania Umowy</w:t>
      </w:r>
      <w:bookmarkEnd w:id="13"/>
      <w:r w:rsidR="00982D54">
        <w:rPr>
          <w:rFonts w:cs="TimesNewRomanPS-ItalicMT"/>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przypadku stwierdzenia przez Zamawiającego wad ukrytych (w ciągu całego okresu użytkowania produktu/wyrobu, jednak nie dłużej niż w terminie ważności </w:t>
      </w:r>
      <w:r>
        <w:rPr>
          <w:rFonts w:asciiTheme="minorHAnsi" w:eastAsia="Garamond" w:hAnsiTheme="minorHAnsi" w:cs="Garamond"/>
          <w:sz w:val="22"/>
          <w:szCs w:val="22"/>
        </w:rPr>
        <w:lastRenderedPageBreak/>
        <w:t>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4"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4"/>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w:t>
      </w:r>
      <w:r w:rsidRPr="00041E85">
        <w:rPr>
          <w:rFonts w:eastAsia="Garamond"/>
          <w:color w:val="auto"/>
        </w:rPr>
        <w:lastRenderedPageBreak/>
        <w:t xml:space="preserve">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5"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w:t>
      </w:r>
      <w:r w:rsidRPr="009F05DB">
        <w:rPr>
          <w:rFonts w:cstheme="minorHAnsi"/>
          <w:color w:val="auto"/>
        </w:rPr>
        <w:lastRenderedPageBreak/>
        <w:t>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5"/>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w:t>
      </w:r>
      <w:r>
        <w:rPr>
          <w:rFonts w:asciiTheme="minorHAnsi" w:hAnsiTheme="minorHAnsi"/>
          <w:sz w:val="22"/>
          <w:szCs w:val="22"/>
        </w:rPr>
        <w:lastRenderedPageBreak/>
        <w:t xml:space="preserve">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726CC242" w14:textId="77777777" w:rsidR="00982D54" w:rsidRDefault="00982D54"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354B7E42"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565052">
        <w:rPr>
          <w:rFonts w:ascii="Cambria" w:eastAsia="Cambria" w:hAnsi="Cambria" w:cs="Cambria"/>
          <w:b/>
          <w:bCs/>
          <w:sz w:val="22"/>
          <w:szCs w:val="22"/>
        </w:rPr>
        <w:t>20</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982D54" w:rsidRPr="00C92751">
        <w:rPr>
          <w:rFonts w:eastAsia="Cambria"/>
          <w:b/>
          <w:sz w:val="24"/>
          <w:szCs w:val="24"/>
        </w:rPr>
        <w:t>Dostawa wyrobów medycznych (</w:t>
      </w:r>
      <w:proofErr w:type="spellStart"/>
      <w:r w:rsidR="00982D54" w:rsidRPr="00C92751">
        <w:rPr>
          <w:b/>
          <w:sz w:val="24"/>
          <w:szCs w:val="24"/>
        </w:rPr>
        <w:t>mopy</w:t>
      </w:r>
      <w:proofErr w:type="spellEnd"/>
      <w:r w:rsidR="00982D54" w:rsidRPr="00C92751">
        <w:rPr>
          <w:b/>
          <w:sz w:val="24"/>
          <w:szCs w:val="24"/>
        </w:rPr>
        <w:t xml:space="preserve"> jednorazowe, mata podłogowa, zestaw śródoperacyjnej osłony na sondę USG, osłona na aparaturę RTG, kieszeń dwukomorowa samoprzylepna do ssaka, kompresy</w:t>
      </w:r>
      <w:r w:rsidR="00982D54" w:rsidRPr="00C92751">
        <w:rPr>
          <w:rFonts w:eastAsia="Cambria"/>
          <w:b/>
          <w:sz w:val="24"/>
          <w:szCs w:val="24"/>
        </w:rPr>
        <w:t>) dla Mazowieckiego Centrum Rehabilitacji STOCER Sp. z o.o.</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75BC8279"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 xml:space="preserve">Pani/Pana dane osobowe przetwarzane </w:t>
      </w:r>
      <w:r w:rsidRPr="00982D54">
        <w:rPr>
          <w:rFonts w:ascii="Cambria" w:hAnsi="Cambria"/>
        </w:rPr>
        <w:t>będą na podstawie art. 6 ust. 1 lit. c</w:t>
      </w:r>
      <w:r w:rsidRPr="00982D54">
        <w:rPr>
          <w:rFonts w:ascii="Cambria" w:hAnsi="Cambria"/>
          <w:i/>
        </w:rPr>
        <w:t xml:space="preserve"> </w:t>
      </w:r>
      <w:r w:rsidRPr="00982D54">
        <w:rPr>
          <w:rFonts w:ascii="Cambria" w:hAnsi="Cambria"/>
        </w:rPr>
        <w:t xml:space="preserve">RODO w celu związanym z postępowaniem o udzielenie zamówienia publicznego na </w:t>
      </w:r>
      <w:r w:rsidR="00982D54" w:rsidRPr="00982D54">
        <w:rPr>
          <w:rFonts w:eastAsia="Cambria"/>
          <w:b/>
        </w:rPr>
        <w:t>Dostawa wyrobów medycznych (</w:t>
      </w:r>
      <w:proofErr w:type="spellStart"/>
      <w:r w:rsidR="00982D54" w:rsidRPr="00982D54">
        <w:rPr>
          <w:b/>
        </w:rPr>
        <w:t>mopy</w:t>
      </w:r>
      <w:proofErr w:type="spellEnd"/>
      <w:r w:rsidR="00982D54" w:rsidRPr="00982D54">
        <w:rPr>
          <w:b/>
        </w:rPr>
        <w:t xml:space="preserve"> jednorazowe, mata podłogowa, zestaw śródoperacyjnej osłony na sondę USG, osłona na aparaturę RTG, kieszeń dwukomorowa samoprzylepna do ssaka, kompresy</w:t>
      </w:r>
      <w:r w:rsidR="00982D54" w:rsidRPr="00982D54">
        <w:rPr>
          <w:rFonts w:eastAsia="Cambria"/>
          <w:b/>
        </w:rPr>
        <w:t>) dla Mazowieckiego Centrum Rehabilitacji STOCER Sp. z o.o.</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48EDF17A"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565052">
        <w:rPr>
          <w:rFonts w:ascii="Cambria" w:eastAsia="Cambria" w:hAnsi="Cambria" w:cs="Cambria"/>
          <w:b/>
          <w:bCs/>
          <w:sz w:val="22"/>
          <w:szCs w:val="22"/>
        </w:rPr>
        <w:t>20</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982D54" w:rsidRPr="00982D54">
        <w:rPr>
          <w:rFonts w:eastAsia="Cambria"/>
          <w:b/>
        </w:rPr>
        <w:t>Dostawa wyrobów medycznych (</w:t>
      </w:r>
      <w:proofErr w:type="spellStart"/>
      <w:r w:rsidR="00982D54" w:rsidRPr="00982D54">
        <w:rPr>
          <w:b/>
        </w:rPr>
        <w:t>mopy</w:t>
      </w:r>
      <w:proofErr w:type="spellEnd"/>
      <w:r w:rsidR="00982D54" w:rsidRPr="00982D54">
        <w:rPr>
          <w:b/>
        </w:rPr>
        <w:t xml:space="preserve"> jednorazowe, mata podłogowa, zestaw śródoperacyjnej osłony na sondę USG, osłona na aparaturę RTG, kieszeń dwukomorowa samoprzylepna do ssaka, kompresy</w:t>
      </w:r>
      <w:r w:rsidR="00982D54" w:rsidRPr="00982D54">
        <w:rPr>
          <w:rFonts w:eastAsia="Cambria"/>
          <w:b/>
        </w:rPr>
        <w:t>) 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53298E98"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565052">
        <w:rPr>
          <w:rFonts w:ascii="Cambria" w:eastAsia="Cambria" w:hAnsi="Cambria" w:cs="Cambria"/>
          <w:b/>
          <w:bCs/>
          <w:sz w:val="22"/>
          <w:szCs w:val="22"/>
        </w:rPr>
        <w:t>20</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982D54" w:rsidRPr="00982D54">
        <w:rPr>
          <w:rFonts w:eastAsia="Cambria"/>
          <w:b/>
          <w:sz w:val="22"/>
          <w:szCs w:val="22"/>
        </w:rPr>
        <w:t>Dostawa wyrobów medycznych (</w:t>
      </w:r>
      <w:proofErr w:type="spellStart"/>
      <w:r w:rsidR="00982D54" w:rsidRPr="00982D54">
        <w:rPr>
          <w:b/>
          <w:sz w:val="22"/>
          <w:szCs w:val="22"/>
        </w:rPr>
        <w:t>mopy</w:t>
      </w:r>
      <w:proofErr w:type="spellEnd"/>
      <w:r w:rsidR="00982D54" w:rsidRPr="00982D54">
        <w:rPr>
          <w:b/>
          <w:sz w:val="22"/>
          <w:szCs w:val="22"/>
        </w:rPr>
        <w:t xml:space="preserve"> jednorazowe, mata podłogowa, zestaw śródoperacyjnej osłony na sondę USG, osłona na aparaturę RTG, kieszeń dwukomorowa samoprzylepna do ssaka, kompresy</w:t>
      </w:r>
      <w:r w:rsidR="00982D54" w:rsidRPr="00982D54">
        <w:rPr>
          <w:rFonts w:eastAsia="Cambria"/>
          <w:b/>
          <w:sz w:val="22"/>
          <w:szCs w:val="22"/>
        </w:rPr>
        <w:t>) dla Mazowieckiego Centrum Rehabilitacji STOCER Sp. z o.o.</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C92751" w:rsidRDefault="00C92751">
      <w:r>
        <w:separator/>
      </w:r>
    </w:p>
  </w:endnote>
  <w:endnote w:type="continuationSeparator" w:id="0">
    <w:p w14:paraId="43F374F4" w14:textId="77777777" w:rsidR="00C92751" w:rsidRDefault="00C9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C92751" w:rsidRDefault="00C92751">
        <w:pPr>
          <w:pStyle w:val="Stopka"/>
          <w:jc w:val="right"/>
        </w:pPr>
        <w:r>
          <w:fldChar w:fldCharType="begin"/>
        </w:r>
        <w:r>
          <w:instrText>PAGE   \* MERGEFORMAT</w:instrText>
        </w:r>
        <w:r>
          <w:fldChar w:fldCharType="separate"/>
        </w:r>
        <w:r w:rsidR="00E061D8">
          <w:rPr>
            <w:noProof/>
          </w:rPr>
          <w:t>21</w:t>
        </w:r>
        <w:r>
          <w:fldChar w:fldCharType="end"/>
        </w:r>
      </w:p>
    </w:sdtContent>
  </w:sdt>
  <w:p w14:paraId="7FF6FBAF" w14:textId="6F5D3BBC" w:rsidR="00C92751" w:rsidRDefault="00C9275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C92751" w:rsidRDefault="00C9275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C92751" w:rsidRDefault="00C92751">
      <w:r>
        <w:separator/>
      </w:r>
    </w:p>
  </w:footnote>
  <w:footnote w:type="continuationSeparator" w:id="0">
    <w:p w14:paraId="1A9ED8EA" w14:textId="77777777" w:rsidR="00C92751" w:rsidRDefault="00C92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06CE0"/>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01F0A"/>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65052"/>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60C4"/>
    <w:rsid w:val="00687118"/>
    <w:rsid w:val="00694AF9"/>
    <w:rsid w:val="0069743F"/>
    <w:rsid w:val="00697DD0"/>
    <w:rsid w:val="006A0B26"/>
    <w:rsid w:val="006A5F5C"/>
    <w:rsid w:val="006A686B"/>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2D54"/>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2751"/>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061D8"/>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1C43-B531-47B0-8228-86D69403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11909</Words>
  <Characters>71460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2024-03-20T12:59:00Z</cp:lastPrinted>
  <dcterms:created xsi:type="dcterms:W3CDTF">2024-03-26T07:30:00Z</dcterms:created>
  <dcterms:modified xsi:type="dcterms:W3CDTF">2024-03-26T13:03:00Z</dcterms:modified>
</cp:coreProperties>
</file>