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95" w:rsidRPr="001E54F7" w:rsidRDefault="00D17E95" w:rsidP="00D17E95">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D17E95" w:rsidRPr="001E54F7" w:rsidRDefault="00D17E95" w:rsidP="00D17E95">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D17E95" w:rsidRPr="001E54F7" w:rsidRDefault="00D17E95" w:rsidP="00D17E95">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D17E95" w:rsidRPr="001E54F7" w:rsidRDefault="00D17E95" w:rsidP="00D17E95">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D17E95" w:rsidRPr="001E54F7" w:rsidRDefault="00D17E95" w:rsidP="00D17E95">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6"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7" w:history="1">
        <w:r w:rsidRPr="001E54F7">
          <w:rPr>
            <w:rStyle w:val="Hipercze"/>
            <w:rFonts w:ascii="Century" w:hAnsi="Century"/>
            <w:color w:val="000099"/>
            <w:sz w:val="18"/>
            <w:szCs w:val="18"/>
            <w:lang w:val="en-US"/>
          </w:rPr>
          <w:t>www.centrumpluc.com.pl</w:t>
        </w:r>
      </w:hyperlink>
    </w:p>
    <w:p w:rsidR="00D17E95" w:rsidRDefault="00D17E95" w:rsidP="00D17E95">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D17E95" w:rsidRDefault="00D17E95" w:rsidP="00D17E95">
      <w:pPr>
        <w:ind w:left="4956"/>
        <w:jc w:val="right"/>
        <w:rPr>
          <w:sz w:val="20"/>
          <w:szCs w:val="20"/>
        </w:rPr>
      </w:pPr>
      <w:r>
        <w:rPr>
          <w:sz w:val="20"/>
          <w:szCs w:val="20"/>
        </w:rPr>
        <w:t xml:space="preserve">    Łódź, dnia </w:t>
      </w:r>
      <w:r w:rsidR="00A552FB">
        <w:rPr>
          <w:sz w:val="20"/>
          <w:szCs w:val="20"/>
        </w:rPr>
        <w:t>29.11.</w:t>
      </w:r>
      <w:r>
        <w:rPr>
          <w:sz w:val="20"/>
          <w:szCs w:val="20"/>
        </w:rPr>
        <w:t>2021 r.</w:t>
      </w:r>
    </w:p>
    <w:p w:rsidR="00D17E95" w:rsidRDefault="00D17E95" w:rsidP="00D17E95">
      <w:pPr>
        <w:rPr>
          <w:b/>
          <w:sz w:val="16"/>
          <w:szCs w:val="16"/>
        </w:rPr>
      </w:pPr>
      <w:r>
        <w:rPr>
          <w:sz w:val="16"/>
          <w:szCs w:val="16"/>
        </w:rPr>
        <w:t xml:space="preserve">l.dz. </w:t>
      </w:r>
      <w:proofErr w:type="spellStart"/>
      <w:r>
        <w:rPr>
          <w:sz w:val="16"/>
          <w:szCs w:val="16"/>
        </w:rPr>
        <w:t>WZZOZCLChPłiR</w:t>
      </w:r>
      <w:proofErr w:type="spellEnd"/>
      <w:r>
        <w:rPr>
          <w:sz w:val="16"/>
          <w:szCs w:val="16"/>
        </w:rPr>
        <w:t>/ZP/</w:t>
      </w:r>
      <w:r w:rsidR="00BD7E03">
        <w:rPr>
          <w:sz w:val="16"/>
          <w:szCs w:val="16"/>
        </w:rPr>
        <w:t>32</w:t>
      </w:r>
      <w:r>
        <w:rPr>
          <w:sz w:val="16"/>
          <w:szCs w:val="16"/>
        </w:rPr>
        <w:t>-1/21</w:t>
      </w:r>
    </w:p>
    <w:p w:rsidR="00D17E95" w:rsidRDefault="00D17E95" w:rsidP="00D17E95">
      <w:pPr>
        <w:pStyle w:val="Tekstpodstawowy"/>
        <w:ind w:left="851" w:hanging="851"/>
        <w:rPr>
          <w:rFonts w:ascii="Calibri" w:hAnsi="Calibri" w:cs="Calibri"/>
          <w:i/>
          <w:sz w:val="20"/>
          <w:szCs w:val="20"/>
        </w:rPr>
      </w:pPr>
    </w:p>
    <w:p w:rsidR="00D17E95" w:rsidRDefault="00D17E95" w:rsidP="00D17E95">
      <w:pPr>
        <w:pStyle w:val="Tekstpodstawowy"/>
        <w:ind w:left="851" w:hanging="851"/>
        <w:rPr>
          <w:rFonts w:ascii="Calibri" w:hAnsi="Calibri" w:cs="Tahoma"/>
          <w:i/>
          <w:sz w:val="20"/>
        </w:rPr>
      </w:pPr>
      <w:r>
        <w:rPr>
          <w:rFonts w:ascii="Calibri" w:hAnsi="Calibri" w:cs="Calibri"/>
          <w:i/>
          <w:sz w:val="20"/>
        </w:rPr>
        <w:t>Dotyczy:</w:t>
      </w:r>
      <w:r w:rsidR="00BD7E03">
        <w:rPr>
          <w:rFonts w:ascii="Calibri" w:hAnsi="Calibri" w:cs="Calibri"/>
          <w:i/>
          <w:sz w:val="20"/>
        </w:rPr>
        <w:t xml:space="preserve"> </w:t>
      </w:r>
      <w:r>
        <w:rPr>
          <w:rFonts w:ascii="Calibri" w:hAnsi="Calibri" w:cs="Calibri"/>
          <w:i/>
          <w:sz w:val="20"/>
        </w:rPr>
        <w:t xml:space="preserve">postępowania o udzielenie zamówienia pn. </w:t>
      </w:r>
      <w:r w:rsidR="00BD7E03">
        <w:rPr>
          <w:rFonts w:ascii="Calibri" w:hAnsi="Calibri" w:cs="Calibri"/>
          <w:i/>
          <w:sz w:val="20"/>
        </w:rPr>
        <w:t xml:space="preserve">Sukcesywna dostawa produktów leczniczych do </w:t>
      </w:r>
      <w:r>
        <w:rPr>
          <w:rFonts w:ascii="Calibri" w:hAnsi="Calibri" w:cs="Calibri"/>
          <w:i/>
          <w:sz w:val="20"/>
        </w:rPr>
        <w:t xml:space="preserve"> </w:t>
      </w:r>
      <w:r>
        <w:rPr>
          <w:rFonts w:ascii="Calibri" w:hAnsi="Calibri" w:cs="Tahoma"/>
          <w:i/>
          <w:sz w:val="20"/>
        </w:rPr>
        <w:t>Wojewódzkiego Zespołu Zakładów Opieki Zdrowotnej Centrum Leczenia Chorób Płuc i Rehabilitacji w Łodzi</w:t>
      </w:r>
    </w:p>
    <w:p w:rsidR="00D17E95" w:rsidRDefault="00D17E95" w:rsidP="00D17E95">
      <w:pPr>
        <w:pStyle w:val="Tekstpodstawowy"/>
        <w:ind w:left="851" w:hanging="851"/>
        <w:rPr>
          <w:rFonts w:cs="Arial"/>
          <w:i/>
          <w:sz w:val="20"/>
        </w:rPr>
      </w:pPr>
    </w:p>
    <w:p w:rsidR="00D17E95" w:rsidRDefault="00D17E95" w:rsidP="00D17E95">
      <w:pPr>
        <w:keepNext/>
        <w:spacing w:after="0" w:line="240" w:lineRule="auto"/>
        <w:jc w:val="both"/>
        <w:outlineLvl w:val="1"/>
        <w:rPr>
          <w:rFonts w:cs="Arial"/>
          <w:b/>
          <w:i/>
          <w:sz w:val="20"/>
          <w:szCs w:val="20"/>
        </w:rPr>
      </w:pPr>
      <w:r>
        <w:rPr>
          <w:rFonts w:cs="Arial"/>
          <w:b/>
          <w:i/>
          <w:sz w:val="20"/>
          <w:szCs w:val="20"/>
        </w:rPr>
        <w:t xml:space="preserve">Znak sprawy: </w:t>
      </w:r>
      <w:r w:rsidR="00BD7E03">
        <w:rPr>
          <w:rFonts w:cs="Arial"/>
          <w:b/>
          <w:i/>
          <w:sz w:val="20"/>
          <w:szCs w:val="20"/>
        </w:rPr>
        <w:t>32</w:t>
      </w:r>
      <w:r>
        <w:rPr>
          <w:rFonts w:cs="Arial"/>
          <w:b/>
          <w:i/>
          <w:sz w:val="20"/>
          <w:szCs w:val="20"/>
        </w:rPr>
        <w:t>/ZP/TP/21</w:t>
      </w:r>
    </w:p>
    <w:p w:rsidR="00D17E95" w:rsidRDefault="00D17E95" w:rsidP="00D17E95">
      <w:pPr>
        <w:keepNext/>
        <w:spacing w:after="0" w:line="240" w:lineRule="auto"/>
        <w:jc w:val="both"/>
        <w:outlineLvl w:val="1"/>
        <w:rPr>
          <w:rFonts w:cs="Arial"/>
          <w:b/>
          <w:i/>
          <w:sz w:val="20"/>
          <w:szCs w:val="20"/>
        </w:rPr>
      </w:pPr>
    </w:p>
    <w:p w:rsidR="00D17E95" w:rsidRDefault="00D17E95" w:rsidP="00D17E95">
      <w:pPr>
        <w:keepNext/>
        <w:spacing w:after="0" w:line="240" w:lineRule="auto"/>
        <w:jc w:val="both"/>
        <w:outlineLvl w:val="1"/>
        <w:rPr>
          <w:rFonts w:cs="Arial"/>
          <w:b/>
          <w:i/>
          <w:sz w:val="20"/>
          <w:szCs w:val="20"/>
        </w:rPr>
      </w:pPr>
    </w:p>
    <w:p w:rsidR="00D17E95" w:rsidRDefault="00D17E95" w:rsidP="00D17E95">
      <w:pPr>
        <w:pStyle w:val="Bezodstpw"/>
        <w:ind w:firstLine="709"/>
        <w:jc w:val="both"/>
        <w:rPr>
          <w:rFonts w:ascii="Calibri" w:hAnsi="Calibri" w:cs="Calibri"/>
          <w:sz w:val="20"/>
          <w:szCs w:val="20"/>
        </w:rPr>
      </w:pPr>
      <w:proofErr w:type="spellStart"/>
      <w:r>
        <w:rPr>
          <w:rFonts w:ascii="Calibri" w:hAnsi="Calibri" w:cs="Calibri"/>
          <w:sz w:val="20"/>
          <w:szCs w:val="20"/>
        </w:rPr>
        <w:t>WZZOZCLChPłiR</w:t>
      </w:r>
      <w:proofErr w:type="spellEnd"/>
      <w:r>
        <w:rPr>
          <w:rFonts w:ascii="Calibri" w:hAnsi="Calibri" w:cs="Calibri"/>
          <w:sz w:val="20"/>
          <w:szCs w:val="20"/>
        </w:rPr>
        <w:t xml:space="preserve"> w Łodzi na podstawie art. 284 ust. 2 ustawy Prawo zamówień publicznych udziela odpowiedzi na zadane przez wykonawców pytania dotyczące zapisów treści SWZ w/w postępowania.  </w:t>
      </w:r>
    </w:p>
    <w:p w:rsidR="00D17E95" w:rsidRDefault="00D17E95" w:rsidP="00D17E95">
      <w:pPr>
        <w:spacing w:after="0" w:line="240" w:lineRule="auto"/>
        <w:jc w:val="both"/>
        <w:rPr>
          <w:sz w:val="20"/>
          <w:szCs w:val="20"/>
        </w:rPr>
      </w:pPr>
    </w:p>
    <w:p w:rsidR="00D17E95" w:rsidRPr="00BD7E03" w:rsidRDefault="00D17E95" w:rsidP="00D17E95">
      <w:pPr>
        <w:spacing w:after="0" w:line="240" w:lineRule="auto"/>
        <w:jc w:val="both"/>
        <w:rPr>
          <w:rFonts w:cs="Calibri"/>
          <w:b/>
          <w:bCs/>
          <w:sz w:val="20"/>
          <w:szCs w:val="20"/>
        </w:rPr>
      </w:pPr>
      <w:r w:rsidRPr="00BD7E03">
        <w:rPr>
          <w:rFonts w:cs="Calibri"/>
          <w:b/>
          <w:sz w:val="20"/>
          <w:szCs w:val="20"/>
        </w:rPr>
        <w:t xml:space="preserve">Pytanie 1 </w:t>
      </w:r>
    </w:p>
    <w:p w:rsidR="00D17E95" w:rsidRPr="00BD7E03" w:rsidRDefault="00BD7E03" w:rsidP="00BD7E03">
      <w:pPr>
        <w:spacing w:after="0" w:line="240" w:lineRule="auto"/>
        <w:jc w:val="both"/>
        <w:rPr>
          <w:rFonts w:cs="Calibri"/>
          <w:sz w:val="20"/>
          <w:szCs w:val="20"/>
        </w:rPr>
      </w:pPr>
      <w:r w:rsidRPr="00BD7E03">
        <w:rPr>
          <w:rFonts w:cs="Calibri"/>
          <w:sz w:val="20"/>
          <w:szCs w:val="20"/>
        </w:rPr>
        <w:t xml:space="preserve">Czy Zamawiający wyrazi zgodę na przeliczenie ilości leku </w:t>
      </w:r>
      <w:proofErr w:type="spellStart"/>
      <w:r w:rsidRPr="00BD7E03">
        <w:rPr>
          <w:rFonts w:cs="Calibri"/>
          <w:sz w:val="20"/>
          <w:szCs w:val="20"/>
        </w:rPr>
        <w:t>Enoxaparinum</w:t>
      </w:r>
      <w:proofErr w:type="spellEnd"/>
      <w:r w:rsidRPr="00BD7E03">
        <w:rPr>
          <w:rFonts w:cs="Calibri"/>
          <w:sz w:val="20"/>
          <w:szCs w:val="20"/>
        </w:rPr>
        <w:t xml:space="preserve"> </w:t>
      </w:r>
      <w:proofErr w:type="spellStart"/>
      <w:r w:rsidRPr="00BD7E03">
        <w:rPr>
          <w:rFonts w:cs="Calibri"/>
          <w:sz w:val="20"/>
          <w:szCs w:val="20"/>
        </w:rPr>
        <w:t>natricum</w:t>
      </w:r>
      <w:proofErr w:type="spellEnd"/>
      <w:r w:rsidRPr="00BD7E03">
        <w:rPr>
          <w:rFonts w:cs="Calibri"/>
          <w:sz w:val="20"/>
          <w:szCs w:val="20"/>
        </w:rPr>
        <w:t xml:space="preserve"> w Części 2 (dawka 20mg/0,2ml, 40mg/0,4ml, 60mg/0,6ml, 80mg/0,8ml) z postaci ampułkostrzykawkowej na </w:t>
      </w:r>
      <w:proofErr w:type="spellStart"/>
      <w:r w:rsidRPr="00BD7E03">
        <w:rPr>
          <w:rFonts w:cs="Calibri"/>
          <w:sz w:val="20"/>
          <w:szCs w:val="20"/>
        </w:rPr>
        <w:t>wielodawkową</w:t>
      </w:r>
      <w:proofErr w:type="spellEnd"/>
      <w:r w:rsidRPr="00BD7E03">
        <w:rPr>
          <w:rFonts w:cs="Calibri"/>
          <w:sz w:val="20"/>
          <w:szCs w:val="20"/>
        </w:rPr>
        <w:t xml:space="preserve"> postać </w:t>
      </w:r>
      <w:proofErr w:type="spellStart"/>
      <w:r w:rsidRPr="00BD7E03">
        <w:rPr>
          <w:rFonts w:cs="Calibri"/>
          <w:sz w:val="20"/>
          <w:szCs w:val="20"/>
        </w:rPr>
        <w:t>Enoxaparinum</w:t>
      </w:r>
      <w:proofErr w:type="spellEnd"/>
      <w:r w:rsidRPr="00BD7E03">
        <w:rPr>
          <w:rFonts w:cs="Calibri"/>
          <w:sz w:val="20"/>
          <w:szCs w:val="20"/>
        </w:rPr>
        <w:t xml:space="preserve"> </w:t>
      </w:r>
      <w:proofErr w:type="spellStart"/>
      <w:r w:rsidRPr="00BD7E03">
        <w:rPr>
          <w:rFonts w:cs="Calibri"/>
          <w:sz w:val="20"/>
          <w:szCs w:val="20"/>
        </w:rPr>
        <w:t>natricum</w:t>
      </w:r>
      <w:proofErr w:type="spellEnd"/>
      <w:r w:rsidRPr="00BD7E03">
        <w:rPr>
          <w:rFonts w:cs="Calibri"/>
          <w:sz w:val="20"/>
          <w:szCs w:val="20"/>
        </w:rPr>
        <w:t xml:space="preserve"> 300 mg/3 ml x 1 fiol. (+ zestaw do podawania: 1 </w:t>
      </w:r>
      <w:proofErr w:type="spellStart"/>
      <w:r w:rsidRPr="00BD7E03">
        <w:rPr>
          <w:rFonts w:cs="Calibri"/>
          <w:sz w:val="20"/>
          <w:szCs w:val="20"/>
        </w:rPr>
        <w:t>MiniSpike</w:t>
      </w:r>
      <w:proofErr w:type="spellEnd"/>
      <w:r w:rsidRPr="00BD7E03">
        <w:rPr>
          <w:rFonts w:cs="Calibri"/>
          <w:sz w:val="20"/>
          <w:szCs w:val="20"/>
        </w:rPr>
        <w:t xml:space="preserve"> + 10 strzykawek tuberkulinowych) w ilości 6 220 fiol. + zestaw?</w:t>
      </w:r>
    </w:p>
    <w:p w:rsidR="00D17E95" w:rsidRPr="00050184" w:rsidRDefault="00D17E95" w:rsidP="00D17E95">
      <w:pPr>
        <w:pStyle w:val="Tekstpodstawowy"/>
        <w:rPr>
          <w:rFonts w:ascii="Calibri" w:hAnsi="Calibri" w:cs="Calibri"/>
          <w:sz w:val="20"/>
          <w:szCs w:val="20"/>
        </w:rPr>
      </w:pPr>
      <w:r w:rsidRPr="00BD7E03">
        <w:rPr>
          <w:rFonts w:ascii="Calibri" w:hAnsi="Calibri" w:cs="Calibri"/>
          <w:b/>
          <w:sz w:val="20"/>
          <w:szCs w:val="20"/>
        </w:rPr>
        <w:t xml:space="preserve">Odpowiedź: </w:t>
      </w:r>
      <w:r w:rsidRPr="00BD7E03">
        <w:rPr>
          <w:rFonts w:ascii="Calibri" w:hAnsi="Calibri" w:cs="Calibri"/>
          <w:sz w:val="20"/>
          <w:szCs w:val="20"/>
        </w:rPr>
        <w:t xml:space="preserve">Zamawiający </w:t>
      </w:r>
      <w:r w:rsidR="00050184">
        <w:rPr>
          <w:rFonts w:ascii="Calibri" w:hAnsi="Calibri" w:cs="Calibri"/>
          <w:sz w:val="20"/>
          <w:szCs w:val="20"/>
        </w:rPr>
        <w:t xml:space="preserve">dopuszcza zaoferowanie w części 2 </w:t>
      </w:r>
      <w:r w:rsidR="00050184" w:rsidRPr="00050184">
        <w:rPr>
          <w:rFonts w:ascii="Calibri" w:hAnsi="Calibri" w:cs="Calibri"/>
          <w:sz w:val="20"/>
          <w:szCs w:val="20"/>
        </w:rPr>
        <w:t xml:space="preserve">leku </w:t>
      </w:r>
      <w:proofErr w:type="spellStart"/>
      <w:r w:rsidR="00050184" w:rsidRPr="00050184">
        <w:rPr>
          <w:rFonts w:ascii="Calibri" w:hAnsi="Calibri" w:cs="Calibri"/>
          <w:sz w:val="20"/>
          <w:szCs w:val="20"/>
        </w:rPr>
        <w:t>Enoxaparinum</w:t>
      </w:r>
      <w:proofErr w:type="spellEnd"/>
      <w:r w:rsidR="00050184" w:rsidRPr="00050184">
        <w:rPr>
          <w:rFonts w:ascii="Calibri" w:hAnsi="Calibri" w:cs="Calibri"/>
          <w:sz w:val="20"/>
          <w:szCs w:val="20"/>
        </w:rPr>
        <w:t xml:space="preserve"> </w:t>
      </w:r>
      <w:proofErr w:type="spellStart"/>
      <w:r w:rsidR="00050184" w:rsidRPr="00050184">
        <w:rPr>
          <w:rFonts w:ascii="Calibri" w:hAnsi="Calibri" w:cs="Calibri"/>
          <w:sz w:val="20"/>
          <w:szCs w:val="20"/>
        </w:rPr>
        <w:t>natricum</w:t>
      </w:r>
      <w:proofErr w:type="spellEnd"/>
      <w:r w:rsidR="00050184" w:rsidRPr="00050184">
        <w:rPr>
          <w:rFonts w:ascii="Calibri" w:hAnsi="Calibri" w:cs="Calibri"/>
          <w:sz w:val="20"/>
          <w:szCs w:val="20"/>
        </w:rPr>
        <w:t xml:space="preserve"> </w:t>
      </w:r>
      <w:r w:rsidR="00050184">
        <w:rPr>
          <w:rFonts w:ascii="Calibri" w:hAnsi="Calibri" w:cs="Calibri"/>
          <w:sz w:val="20"/>
          <w:szCs w:val="20"/>
        </w:rPr>
        <w:t>(</w:t>
      </w:r>
      <w:r w:rsidR="00050184" w:rsidRPr="00050184">
        <w:rPr>
          <w:rFonts w:ascii="Calibri" w:hAnsi="Calibri" w:cs="Calibri"/>
          <w:sz w:val="20"/>
          <w:szCs w:val="20"/>
        </w:rPr>
        <w:t xml:space="preserve">dawka 20mg/0,2ml, 40mg/0,4ml, 60mg/0,6ml, 80mg/0,8ml) z postaci ampułkostrzykawkowej na </w:t>
      </w:r>
      <w:proofErr w:type="spellStart"/>
      <w:r w:rsidR="00050184" w:rsidRPr="00050184">
        <w:rPr>
          <w:rFonts w:ascii="Calibri" w:hAnsi="Calibri" w:cs="Calibri"/>
          <w:sz w:val="20"/>
          <w:szCs w:val="20"/>
        </w:rPr>
        <w:t>wielodawkową</w:t>
      </w:r>
      <w:proofErr w:type="spellEnd"/>
      <w:r w:rsidR="00050184" w:rsidRPr="00050184">
        <w:rPr>
          <w:rFonts w:ascii="Calibri" w:hAnsi="Calibri" w:cs="Calibri"/>
          <w:sz w:val="20"/>
          <w:szCs w:val="20"/>
        </w:rPr>
        <w:t xml:space="preserve"> postać </w:t>
      </w:r>
      <w:proofErr w:type="spellStart"/>
      <w:r w:rsidR="00050184" w:rsidRPr="00050184">
        <w:rPr>
          <w:rFonts w:ascii="Calibri" w:hAnsi="Calibri" w:cs="Calibri"/>
          <w:sz w:val="20"/>
          <w:szCs w:val="20"/>
        </w:rPr>
        <w:t>Enoxaparinum</w:t>
      </w:r>
      <w:proofErr w:type="spellEnd"/>
      <w:r w:rsidR="00050184" w:rsidRPr="00050184">
        <w:rPr>
          <w:rFonts w:ascii="Calibri" w:hAnsi="Calibri" w:cs="Calibri"/>
          <w:sz w:val="20"/>
          <w:szCs w:val="20"/>
        </w:rPr>
        <w:t xml:space="preserve"> </w:t>
      </w:r>
      <w:proofErr w:type="spellStart"/>
      <w:r w:rsidR="00050184" w:rsidRPr="00050184">
        <w:rPr>
          <w:rFonts w:ascii="Calibri" w:hAnsi="Calibri" w:cs="Calibri"/>
          <w:sz w:val="20"/>
          <w:szCs w:val="20"/>
        </w:rPr>
        <w:t>natricum</w:t>
      </w:r>
      <w:proofErr w:type="spellEnd"/>
      <w:r w:rsidR="00050184" w:rsidRPr="00050184">
        <w:rPr>
          <w:rFonts w:ascii="Calibri" w:hAnsi="Calibri" w:cs="Calibri"/>
          <w:sz w:val="20"/>
          <w:szCs w:val="20"/>
        </w:rPr>
        <w:t xml:space="preserve"> 300 mg/3 ml x 1 fiol. (+ zestaw do podawania: 1 </w:t>
      </w:r>
      <w:proofErr w:type="spellStart"/>
      <w:r w:rsidR="00050184" w:rsidRPr="00050184">
        <w:rPr>
          <w:rFonts w:ascii="Calibri" w:hAnsi="Calibri" w:cs="Calibri"/>
          <w:sz w:val="20"/>
          <w:szCs w:val="20"/>
        </w:rPr>
        <w:t>MiniSpike</w:t>
      </w:r>
      <w:proofErr w:type="spellEnd"/>
      <w:r w:rsidR="00050184" w:rsidRPr="00050184">
        <w:rPr>
          <w:rFonts w:ascii="Calibri" w:hAnsi="Calibri" w:cs="Calibri"/>
          <w:sz w:val="20"/>
          <w:szCs w:val="20"/>
        </w:rPr>
        <w:t xml:space="preserve"> + 10 strzykawek tuberkulinowych) w ilości 6 220 fiol. + zestaw</w:t>
      </w:r>
      <w:r w:rsidR="00050184">
        <w:rPr>
          <w:rFonts w:ascii="Calibri" w:hAnsi="Calibri" w:cs="Calibri"/>
          <w:sz w:val="20"/>
          <w:szCs w:val="20"/>
        </w:rPr>
        <w:t>.</w:t>
      </w:r>
    </w:p>
    <w:p w:rsidR="00D17E95" w:rsidRPr="00BD7E03" w:rsidRDefault="00D17E95" w:rsidP="00D17E95">
      <w:pPr>
        <w:spacing w:after="0" w:line="240" w:lineRule="auto"/>
        <w:jc w:val="both"/>
        <w:rPr>
          <w:rFonts w:cs="Calibri"/>
          <w:b/>
          <w:sz w:val="20"/>
          <w:szCs w:val="20"/>
          <w:u w:val="single"/>
        </w:rPr>
      </w:pPr>
    </w:p>
    <w:p w:rsidR="00BD7E03" w:rsidRPr="00BD7E03" w:rsidRDefault="00D17E95" w:rsidP="00BD7E03">
      <w:pPr>
        <w:spacing w:after="0" w:line="240" w:lineRule="auto"/>
        <w:jc w:val="both"/>
        <w:rPr>
          <w:rFonts w:cs="Calibri"/>
          <w:bCs/>
          <w:iCs/>
          <w:sz w:val="20"/>
          <w:szCs w:val="20"/>
        </w:rPr>
      </w:pPr>
      <w:r w:rsidRPr="00BD7E03">
        <w:rPr>
          <w:rFonts w:cs="Calibri"/>
          <w:b/>
          <w:sz w:val="20"/>
          <w:szCs w:val="20"/>
        </w:rPr>
        <w:t xml:space="preserve">Pytanie 2 </w:t>
      </w:r>
    </w:p>
    <w:p w:rsidR="00D17E95" w:rsidRPr="00BD7E03" w:rsidRDefault="00BD7E03" w:rsidP="00BD7E03">
      <w:pPr>
        <w:spacing w:after="0" w:line="240" w:lineRule="auto"/>
        <w:jc w:val="both"/>
        <w:rPr>
          <w:rFonts w:cs="Calibri"/>
          <w:sz w:val="20"/>
          <w:szCs w:val="20"/>
        </w:rPr>
      </w:pPr>
      <w:r w:rsidRPr="00BD7E03">
        <w:rPr>
          <w:rFonts w:cs="Calibri"/>
          <w:sz w:val="20"/>
          <w:szCs w:val="20"/>
        </w:rPr>
        <w:t xml:space="preserve">Czy Zamawiający w par. 3.2 wydłuży termin załatwienia reklamacji do 3 dni roboczych? Zgłoszona reklamacja wymaga rozpatrzenia z uwzględnieniem wyjaśnień firmy kurierskiej dostarczającej leki bądź zbadania jakościowo wadliwego towaru, a następnie (przy uwzględnieniu reklamacji) dostarczenia towaru. Wykonanie tego w krótszym czasie jest niemożliwe. </w:t>
      </w:r>
    </w:p>
    <w:p w:rsidR="00D17E95" w:rsidRDefault="00D17E95" w:rsidP="00050184">
      <w:pPr>
        <w:pStyle w:val="Tekstpodstawowy"/>
        <w:rPr>
          <w:rFonts w:ascii="Calibri" w:hAnsi="Calibri" w:cs="Calibri"/>
          <w:sz w:val="20"/>
          <w:szCs w:val="20"/>
        </w:rPr>
      </w:pPr>
      <w:r w:rsidRPr="00BD7E03">
        <w:rPr>
          <w:rFonts w:ascii="Calibri" w:hAnsi="Calibri" w:cs="Calibri"/>
          <w:b/>
          <w:sz w:val="20"/>
          <w:szCs w:val="20"/>
        </w:rPr>
        <w:t xml:space="preserve">Odpowiedź: </w:t>
      </w:r>
      <w:r w:rsidRPr="00BD7E03">
        <w:rPr>
          <w:rFonts w:ascii="Calibri" w:hAnsi="Calibri" w:cs="Calibri"/>
          <w:sz w:val="20"/>
          <w:szCs w:val="20"/>
        </w:rPr>
        <w:t xml:space="preserve">Zamawiający </w:t>
      </w:r>
      <w:r w:rsidR="00050184">
        <w:rPr>
          <w:rFonts w:ascii="Calibri" w:hAnsi="Calibri" w:cs="Calibri"/>
          <w:sz w:val="20"/>
          <w:szCs w:val="20"/>
        </w:rPr>
        <w:t>modyfikuje zapisy § 3 ust. 2, który otrzymuje brzmienie:</w:t>
      </w:r>
    </w:p>
    <w:p w:rsidR="00050184" w:rsidRPr="00050184" w:rsidRDefault="00050184" w:rsidP="00050184">
      <w:pPr>
        <w:pStyle w:val="Tekstpodstawowy"/>
        <w:rPr>
          <w:rFonts w:ascii="Calibri" w:hAnsi="Calibri" w:cs="Calibri"/>
          <w:i/>
          <w:sz w:val="20"/>
          <w:szCs w:val="20"/>
        </w:rPr>
      </w:pPr>
      <w:r w:rsidRPr="00050184">
        <w:rPr>
          <w:rFonts w:ascii="Calibri" w:hAnsi="Calibri" w:cs="Calibri"/>
          <w:i/>
          <w:sz w:val="20"/>
          <w:szCs w:val="20"/>
        </w:rPr>
        <w:t>„§ 3 Reklamacje</w:t>
      </w:r>
    </w:p>
    <w:p w:rsidR="00050184" w:rsidRPr="00050184" w:rsidRDefault="00050184" w:rsidP="00050184">
      <w:pPr>
        <w:numPr>
          <w:ilvl w:val="0"/>
          <w:numId w:val="3"/>
        </w:numPr>
        <w:suppressAutoHyphens/>
        <w:spacing w:after="0" w:line="240" w:lineRule="auto"/>
        <w:jc w:val="both"/>
        <w:textAlignment w:val="baseline"/>
        <w:rPr>
          <w:rFonts w:cs="Calibri"/>
          <w:i/>
          <w:sz w:val="20"/>
          <w:szCs w:val="20"/>
        </w:rPr>
      </w:pPr>
      <w:r w:rsidRPr="00050184">
        <w:rPr>
          <w:rFonts w:cs="Calibri"/>
          <w:i/>
          <w:sz w:val="20"/>
          <w:szCs w:val="20"/>
        </w:rPr>
        <w:t>Wykonawca jest zobowiązany do udzielenia odpowiedzi w formie pisemnej pod rygorem nieważności takiego oświadczenia na złożoną reklamację w ciągu 48h od chwili złożenia reklamacji, a w przypadku braku odpowiedzi reklamację uważać się będzie w całości uznaną przez Wykonawcę.”</w:t>
      </w:r>
    </w:p>
    <w:p w:rsidR="00050184" w:rsidRPr="00050184" w:rsidRDefault="00050184" w:rsidP="00050184">
      <w:pPr>
        <w:pStyle w:val="Tekstpodstawowy"/>
        <w:rPr>
          <w:rFonts w:ascii="Calibri" w:hAnsi="Calibri" w:cs="Calibri"/>
          <w:sz w:val="20"/>
          <w:szCs w:val="20"/>
        </w:rPr>
      </w:pPr>
    </w:p>
    <w:p w:rsidR="00D17E95" w:rsidRPr="00BD7E03" w:rsidRDefault="00BD7E03" w:rsidP="00D17E95">
      <w:pPr>
        <w:spacing w:after="0" w:line="240" w:lineRule="auto"/>
        <w:jc w:val="both"/>
        <w:rPr>
          <w:rFonts w:cs="Calibri"/>
          <w:b/>
          <w:bCs/>
          <w:sz w:val="20"/>
          <w:szCs w:val="20"/>
        </w:rPr>
      </w:pPr>
      <w:r w:rsidRPr="00BD7E03">
        <w:rPr>
          <w:rFonts w:cs="Calibri"/>
          <w:b/>
          <w:sz w:val="20"/>
          <w:szCs w:val="20"/>
        </w:rPr>
        <w:t xml:space="preserve">Pytanie 3 </w:t>
      </w:r>
    </w:p>
    <w:p w:rsidR="00D17E95" w:rsidRPr="00BD7E03" w:rsidRDefault="00BD7E03" w:rsidP="00BD7E03">
      <w:pPr>
        <w:spacing w:after="0" w:line="240" w:lineRule="auto"/>
        <w:jc w:val="both"/>
        <w:rPr>
          <w:rFonts w:cs="Calibri"/>
          <w:sz w:val="20"/>
          <w:szCs w:val="20"/>
        </w:rPr>
      </w:pPr>
      <w:r w:rsidRPr="00BD7E03">
        <w:rPr>
          <w:rFonts w:cs="Calibri"/>
          <w:sz w:val="20"/>
          <w:szCs w:val="20"/>
        </w:rPr>
        <w:t xml:space="preserve">Czy w świetle treści par. 5.2 Zamawiający dopuszcza, aby faktura dostarczana była wraz z dostawą? Jest to u Wykonawcy jedyny dokument towarzyszący dostawie. </w:t>
      </w:r>
    </w:p>
    <w:p w:rsidR="00D17E95" w:rsidRPr="00BD7E03" w:rsidRDefault="00D17E95" w:rsidP="00BD7E03">
      <w:pPr>
        <w:pStyle w:val="Tekstpodstawowy"/>
        <w:rPr>
          <w:rFonts w:ascii="Calibri" w:hAnsi="Calibri" w:cs="Calibri"/>
          <w:i/>
          <w:sz w:val="20"/>
          <w:szCs w:val="20"/>
        </w:rPr>
      </w:pPr>
      <w:r w:rsidRPr="00BD7E03">
        <w:rPr>
          <w:rFonts w:ascii="Calibri" w:hAnsi="Calibri" w:cs="Calibri"/>
          <w:b/>
          <w:sz w:val="20"/>
          <w:szCs w:val="20"/>
        </w:rPr>
        <w:t xml:space="preserve">Odpowiedź: </w:t>
      </w:r>
      <w:r w:rsidRPr="00BD7E03">
        <w:rPr>
          <w:rFonts w:ascii="Calibri" w:hAnsi="Calibri" w:cs="Calibri"/>
          <w:sz w:val="20"/>
          <w:szCs w:val="20"/>
        </w:rPr>
        <w:t xml:space="preserve">Zamawiający </w:t>
      </w:r>
      <w:r w:rsidR="00C74970">
        <w:rPr>
          <w:rFonts w:ascii="Calibri" w:hAnsi="Calibri" w:cs="Calibri"/>
          <w:sz w:val="20"/>
          <w:szCs w:val="20"/>
        </w:rPr>
        <w:t>dopuszcza dos</w:t>
      </w:r>
      <w:r w:rsidR="00601AE5">
        <w:rPr>
          <w:rFonts w:ascii="Calibri" w:hAnsi="Calibri" w:cs="Calibri"/>
          <w:sz w:val="20"/>
          <w:szCs w:val="20"/>
        </w:rPr>
        <w:t>tarczenie faktury wraz z dostawą</w:t>
      </w:r>
      <w:r w:rsidR="00C74970">
        <w:rPr>
          <w:rFonts w:ascii="Calibri" w:hAnsi="Calibri" w:cs="Calibri"/>
          <w:sz w:val="20"/>
          <w:szCs w:val="20"/>
        </w:rPr>
        <w:t xml:space="preserve"> produktów leczniczych.</w:t>
      </w:r>
    </w:p>
    <w:p w:rsidR="00D17E95" w:rsidRPr="00BD7E03" w:rsidRDefault="00D17E95" w:rsidP="00D17E95">
      <w:pPr>
        <w:spacing w:after="0" w:line="240" w:lineRule="auto"/>
        <w:jc w:val="both"/>
        <w:rPr>
          <w:rFonts w:cs="Calibri"/>
          <w:sz w:val="20"/>
          <w:szCs w:val="20"/>
        </w:rPr>
      </w:pPr>
    </w:p>
    <w:p w:rsidR="00BD7E03" w:rsidRPr="00BD7E03" w:rsidRDefault="00BD7E03" w:rsidP="00BD7E03">
      <w:pPr>
        <w:spacing w:after="0" w:line="240" w:lineRule="auto"/>
        <w:jc w:val="both"/>
        <w:rPr>
          <w:rFonts w:cs="Calibri"/>
          <w:b/>
          <w:bCs/>
          <w:sz w:val="20"/>
          <w:szCs w:val="20"/>
        </w:rPr>
      </w:pPr>
      <w:r w:rsidRPr="00BD7E03">
        <w:rPr>
          <w:rFonts w:cs="Calibri"/>
          <w:b/>
          <w:sz w:val="20"/>
          <w:szCs w:val="20"/>
        </w:rPr>
        <w:t xml:space="preserve">Pytanie 4 </w:t>
      </w:r>
    </w:p>
    <w:p w:rsidR="00BD7E03" w:rsidRPr="00BD7E03" w:rsidRDefault="00BD7E03" w:rsidP="00BD7E03">
      <w:pPr>
        <w:suppressAutoHyphens/>
        <w:autoSpaceDN w:val="0"/>
        <w:spacing w:after="0" w:line="240" w:lineRule="auto"/>
        <w:jc w:val="both"/>
        <w:rPr>
          <w:rFonts w:cs="Calibri"/>
          <w:sz w:val="20"/>
          <w:szCs w:val="20"/>
        </w:rPr>
      </w:pPr>
      <w:r w:rsidRPr="00BD7E03">
        <w:rPr>
          <w:rFonts w:cs="Calibri"/>
          <w:sz w:val="20"/>
          <w:szCs w:val="20"/>
        </w:rPr>
        <w:t>Czy Zamawiający w par 6.3 oraz 6.9 wprowadzi automatyzm zmiany stawki VAT, bez konieczności uzyskiwania zgody Zamawiającego na taką zmianę? Odmowa zgody na zmianę stawki lub oczekiwanie na wyrażenie takiej zgody grozi Wykonawcy rażącą stratą.</w:t>
      </w:r>
    </w:p>
    <w:p w:rsidR="00707B33" w:rsidRPr="00707B33" w:rsidRDefault="00BD7E03" w:rsidP="00BD7E03">
      <w:pPr>
        <w:pStyle w:val="Tekstpodstawowy"/>
        <w:rPr>
          <w:rFonts w:ascii="Calibri" w:hAnsi="Calibri" w:cs="Calibri"/>
          <w:sz w:val="20"/>
          <w:szCs w:val="20"/>
        </w:rPr>
      </w:pPr>
      <w:r w:rsidRPr="00BD7E03">
        <w:rPr>
          <w:rFonts w:ascii="Calibri" w:hAnsi="Calibri" w:cs="Calibri"/>
          <w:b/>
          <w:sz w:val="20"/>
          <w:szCs w:val="20"/>
        </w:rPr>
        <w:t xml:space="preserve">Odpowiedź: </w:t>
      </w:r>
      <w:r w:rsidR="00707B33">
        <w:rPr>
          <w:rFonts w:ascii="Calibri" w:hAnsi="Calibri" w:cs="Calibri"/>
          <w:sz w:val="20"/>
          <w:szCs w:val="20"/>
        </w:rPr>
        <w:t>Zamawiający nie wyraża zgody na zaproponowaną zmianę zapisów § 6 ust. 3 i podtrzymuje zapisy SWZ.</w:t>
      </w:r>
    </w:p>
    <w:p w:rsidR="00BD7E03" w:rsidRPr="00BD7E03" w:rsidRDefault="00707B33" w:rsidP="00BD7E03">
      <w:pPr>
        <w:pStyle w:val="Tekstpodstawowy"/>
        <w:rPr>
          <w:rFonts w:ascii="Calibri" w:hAnsi="Calibri" w:cs="Calibri"/>
          <w:i/>
          <w:sz w:val="20"/>
          <w:szCs w:val="20"/>
        </w:rPr>
      </w:pPr>
      <w:r>
        <w:rPr>
          <w:rFonts w:ascii="Calibri" w:hAnsi="Calibri" w:cs="Calibri"/>
          <w:sz w:val="20"/>
          <w:szCs w:val="20"/>
        </w:rPr>
        <w:t xml:space="preserve">Jednocześnie </w:t>
      </w:r>
      <w:r w:rsidR="00BD7E03" w:rsidRPr="00BD7E03">
        <w:rPr>
          <w:rFonts w:ascii="Calibri" w:hAnsi="Calibri" w:cs="Calibri"/>
          <w:sz w:val="20"/>
          <w:szCs w:val="20"/>
        </w:rPr>
        <w:t xml:space="preserve">Zamawiający </w:t>
      </w:r>
      <w:r w:rsidR="00C74970">
        <w:rPr>
          <w:rFonts w:ascii="Calibri" w:hAnsi="Calibri" w:cs="Calibri"/>
          <w:sz w:val="20"/>
          <w:szCs w:val="20"/>
        </w:rPr>
        <w:t xml:space="preserve">informuje, ze w projekcie umowy stanowiącej załącznik nr 4 do SWZ nie ma § 6 ust. 9. </w:t>
      </w:r>
    </w:p>
    <w:p w:rsidR="00BD7E03" w:rsidRPr="00BD7E03" w:rsidRDefault="00BD7E03" w:rsidP="00BD7E03">
      <w:pPr>
        <w:spacing w:after="0" w:line="240" w:lineRule="auto"/>
        <w:jc w:val="both"/>
        <w:rPr>
          <w:rFonts w:cs="Calibri"/>
          <w:b/>
          <w:sz w:val="20"/>
          <w:szCs w:val="20"/>
        </w:rPr>
      </w:pPr>
    </w:p>
    <w:p w:rsidR="00BD7E03" w:rsidRPr="00BD7E03" w:rsidRDefault="00BD7E03" w:rsidP="00BD7E03">
      <w:pPr>
        <w:spacing w:after="0" w:line="240" w:lineRule="auto"/>
        <w:jc w:val="both"/>
        <w:rPr>
          <w:rFonts w:cs="Calibri"/>
          <w:b/>
          <w:bCs/>
          <w:sz w:val="20"/>
          <w:szCs w:val="20"/>
        </w:rPr>
      </w:pPr>
      <w:r w:rsidRPr="00BD7E03">
        <w:rPr>
          <w:rFonts w:cs="Calibri"/>
          <w:b/>
          <w:sz w:val="20"/>
          <w:szCs w:val="20"/>
        </w:rPr>
        <w:t xml:space="preserve">Pytanie 5 </w:t>
      </w:r>
    </w:p>
    <w:p w:rsidR="00BD7E03" w:rsidRPr="00BD7E03" w:rsidRDefault="00BD7E03" w:rsidP="00BD7E03">
      <w:pPr>
        <w:suppressAutoHyphens/>
        <w:autoSpaceDN w:val="0"/>
        <w:spacing w:after="0" w:line="240" w:lineRule="auto"/>
        <w:jc w:val="both"/>
        <w:rPr>
          <w:rFonts w:cs="Calibri"/>
          <w:sz w:val="20"/>
          <w:szCs w:val="20"/>
        </w:rPr>
      </w:pPr>
      <w:r w:rsidRPr="00BD7E03">
        <w:rPr>
          <w:rFonts w:cs="Calibri"/>
          <w:sz w:val="20"/>
          <w:szCs w:val="20"/>
        </w:rPr>
        <w:t xml:space="preserve">Czy Zamawiający w par. 6.1.a zamiast obowiązku wprowadzi prawo do dostarczenia zamiennika? Wykonawca oferuje towary wskazane w ofercie i tylko one są przedmiotem zamówienia publicznego w niniejszym postępowaniu. Zdefiniowanie przedmiotu zamówienia powoduje, że tylko co do niego strony zawierają umowę </w:t>
      </w:r>
      <w:r w:rsidRPr="00BD7E03">
        <w:rPr>
          <w:rFonts w:cs="Calibri"/>
          <w:sz w:val="20"/>
          <w:szCs w:val="20"/>
        </w:rPr>
        <w:lastRenderedPageBreak/>
        <w:t>objętą obowiązkiem dostaw. Wykonawca nie jest w stanie zapewnić, że  w każdym przypadku zaoferuje produkt zamienny, tym bardziej, że może się to wiązać z rażącą stratą po stronie Wykonawcy.</w:t>
      </w:r>
    </w:p>
    <w:p w:rsidR="00BD7E03" w:rsidRPr="00BD7E03" w:rsidRDefault="00BD7E03" w:rsidP="00BD7E03">
      <w:pPr>
        <w:pStyle w:val="Tekstpodstawowy"/>
        <w:rPr>
          <w:rFonts w:ascii="Calibri" w:hAnsi="Calibri" w:cs="Calibri"/>
          <w:i/>
          <w:sz w:val="20"/>
          <w:szCs w:val="20"/>
        </w:rPr>
      </w:pPr>
      <w:r w:rsidRPr="00BD7E03">
        <w:rPr>
          <w:rFonts w:ascii="Calibri" w:hAnsi="Calibri" w:cs="Calibri"/>
          <w:b/>
          <w:sz w:val="20"/>
          <w:szCs w:val="20"/>
        </w:rPr>
        <w:t xml:space="preserve">Odpowiedź: </w:t>
      </w:r>
      <w:r w:rsidR="00707B33" w:rsidRPr="00BD7E03">
        <w:rPr>
          <w:rFonts w:ascii="Calibri" w:hAnsi="Calibri" w:cs="Calibri"/>
          <w:sz w:val="20"/>
          <w:szCs w:val="20"/>
        </w:rPr>
        <w:t xml:space="preserve">Zamawiający </w:t>
      </w:r>
      <w:r w:rsidR="00707B33">
        <w:rPr>
          <w:rFonts w:ascii="Calibri" w:hAnsi="Calibri" w:cs="Calibri"/>
          <w:sz w:val="20"/>
          <w:szCs w:val="20"/>
        </w:rPr>
        <w:t>nie wyraża zgody na zaproponowaną zmianę zapisów § 6 ust. 1 lit. a) i podtrzymuje zapisy SWZ.</w:t>
      </w:r>
    </w:p>
    <w:p w:rsidR="00BD7E03" w:rsidRPr="00BD7E03" w:rsidRDefault="00BD7E03" w:rsidP="00BD7E03">
      <w:pPr>
        <w:spacing w:after="0" w:line="240" w:lineRule="auto"/>
        <w:jc w:val="both"/>
        <w:rPr>
          <w:rFonts w:cs="Calibri"/>
          <w:b/>
          <w:sz w:val="20"/>
          <w:szCs w:val="20"/>
        </w:rPr>
      </w:pPr>
    </w:p>
    <w:p w:rsidR="00BD7E03" w:rsidRPr="00BD7E03" w:rsidRDefault="00BD7E03" w:rsidP="00BD7E03">
      <w:pPr>
        <w:spacing w:after="0" w:line="240" w:lineRule="auto"/>
        <w:jc w:val="both"/>
        <w:rPr>
          <w:rFonts w:cs="Calibri"/>
          <w:b/>
          <w:bCs/>
          <w:sz w:val="20"/>
          <w:szCs w:val="20"/>
        </w:rPr>
      </w:pPr>
      <w:r w:rsidRPr="00BD7E03">
        <w:rPr>
          <w:rFonts w:cs="Calibri"/>
          <w:b/>
          <w:sz w:val="20"/>
          <w:szCs w:val="20"/>
        </w:rPr>
        <w:t xml:space="preserve">Pytanie 6 </w:t>
      </w:r>
    </w:p>
    <w:p w:rsidR="00BD7E03" w:rsidRPr="00BD7E03" w:rsidRDefault="00BD7E03" w:rsidP="00BD7E03">
      <w:pPr>
        <w:spacing w:after="0" w:line="240" w:lineRule="auto"/>
        <w:jc w:val="both"/>
        <w:rPr>
          <w:rFonts w:cs="Calibri"/>
          <w:sz w:val="20"/>
          <w:szCs w:val="20"/>
        </w:rPr>
      </w:pPr>
      <w:r w:rsidRPr="00BD7E03">
        <w:rPr>
          <w:rFonts w:cs="Calibri"/>
          <w:sz w:val="20"/>
          <w:szCs w:val="20"/>
        </w:rPr>
        <w:t>Czy Zamawiający w par. 6.1.e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BD7E03" w:rsidRPr="00BD7E03" w:rsidRDefault="00BD7E03" w:rsidP="00BD7E03">
      <w:pPr>
        <w:pStyle w:val="Tekstpodstawowy"/>
        <w:rPr>
          <w:rFonts w:ascii="Calibri" w:hAnsi="Calibri" w:cs="Calibri"/>
          <w:i/>
          <w:sz w:val="20"/>
          <w:szCs w:val="20"/>
        </w:rPr>
      </w:pPr>
      <w:r w:rsidRPr="00BD7E03">
        <w:rPr>
          <w:rFonts w:ascii="Calibri" w:hAnsi="Calibri" w:cs="Calibri"/>
          <w:b/>
          <w:sz w:val="20"/>
          <w:szCs w:val="20"/>
        </w:rPr>
        <w:t xml:space="preserve">Odpowiedź: </w:t>
      </w:r>
      <w:r w:rsidRPr="00BD7E03">
        <w:rPr>
          <w:rFonts w:ascii="Calibri" w:hAnsi="Calibri" w:cs="Calibri"/>
          <w:sz w:val="20"/>
          <w:szCs w:val="20"/>
        </w:rPr>
        <w:t xml:space="preserve">Zamawiający </w:t>
      </w:r>
      <w:r w:rsidR="00D0241E">
        <w:rPr>
          <w:rFonts w:ascii="Calibri" w:hAnsi="Calibri" w:cs="Calibri"/>
          <w:sz w:val="20"/>
          <w:szCs w:val="20"/>
        </w:rPr>
        <w:t>nie wyraża zgody na zaproponowaną zmianę zapisów § 6 ust. 1 lit. e) i podtrzymuje zapisy SWZ.</w:t>
      </w:r>
    </w:p>
    <w:p w:rsidR="00BD7E03" w:rsidRPr="00BD7E03" w:rsidRDefault="00BD7E03" w:rsidP="00BD7E03">
      <w:pPr>
        <w:spacing w:after="0" w:line="240" w:lineRule="auto"/>
        <w:jc w:val="both"/>
        <w:rPr>
          <w:rFonts w:cs="Calibri"/>
          <w:b/>
          <w:sz w:val="20"/>
          <w:szCs w:val="20"/>
        </w:rPr>
      </w:pPr>
    </w:p>
    <w:p w:rsidR="00BD7E03" w:rsidRPr="00BD7E03" w:rsidRDefault="00BD7E03" w:rsidP="00BD7E03">
      <w:pPr>
        <w:spacing w:after="0" w:line="240" w:lineRule="auto"/>
        <w:jc w:val="both"/>
        <w:rPr>
          <w:rFonts w:cs="Calibri"/>
          <w:b/>
          <w:bCs/>
          <w:sz w:val="20"/>
          <w:szCs w:val="20"/>
        </w:rPr>
      </w:pPr>
      <w:r w:rsidRPr="00BD7E03">
        <w:rPr>
          <w:rFonts w:cs="Calibri"/>
          <w:b/>
          <w:sz w:val="20"/>
          <w:szCs w:val="20"/>
        </w:rPr>
        <w:t xml:space="preserve">Pytanie 7 </w:t>
      </w:r>
    </w:p>
    <w:p w:rsidR="00BD7E03" w:rsidRPr="00BD7E03" w:rsidRDefault="00BD7E03" w:rsidP="00BD7E03">
      <w:pPr>
        <w:spacing w:after="0" w:line="240" w:lineRule="auto"/>
        <w:jc w:val="both"/>
        <w:rPr>
          <w:rFonts w:cs="Calibri"/>
          <w:sz w:val="20"/>
          <w:szCs w:val="20"/>
        </w:rPr>
      </w:pPr>
      <w:r w:rsidRPr="00BD7E03">
        <w:rPr>
          <w:rFonts w:cs="Calibri"/>
          <w:sz w:val="20"/>
          <w:szCs w:val="20"/>
        </w:rPr>
        <w:t xml:space="preserve">Czy Zamawiający zmniejszy wartość kary umownej określonej w par. 7.1.a z 3% do wartości </w:t>
      </w:r>
      <w:proofErr w:type="spellStart"/>
      <w:r w:rsidRPr="00BD7E03">
        <w:rPr>
          <w:rFonts w:cs="Calibri"/>
          <w:sz w:val="20"/>
          <w:szCs w:val="20"/>
        </w:rPr>
        <w:t>max</w:t>
      </w:r>
      <w:proofErr w:type="spellEnd"/>
      <w:r w:rsidRPr="00BD7E03">
        <w:rPr>
          <w:rFonts w:cs="Calibri"/>
          <w:sz w:val="20"/>
          <w:szCs w:val="20"/>
        </w:rPr>
        <w:t>. 0,2%, także naliczać ją będzie za dzień, a nie godzinę opóźnienia? Obecna kara umowna – 72% wartości zamówienia dziennie -  jest rażąco wygórowana.</w:t>
      </w:r>
    </w:p>
    <w:p w:rsidR="00BD7E03" w:rsidRPr="00BD7E03" w:rsidRDefault="00BD7E03" w:rsidP="00BD7E03">
      <w:pPr>
        <w:pStyle w:val="Tekstpodstawowy"/>
        <w:rPr>
          <w:rFonts w:ascii="Calibri" w:hAnsi="Calibri" w:cs="Calibri"/>
          <w:i/>
          <w:sz w:val="20"/>
          <w:szCs w:val="20"/>
        </w:rPr>
      </w:pPr>
      <w:r w:rsidRPr="00BD7E03">
        <w:rPr>
          <w:rFonts w:ascii="Calibri" w:hAnsi="Calibri" w:cs="Calibri"/>
          <w:b/>
          <w:sz w:val="20"/>
          <w:szCs w:val="20"/>
        </w:rPr>
        <w:t xml:space="preserve">Odpowiedź: </w:t>
      </w:r>
      <w:r w:rsidRPr="00BD7E03">
        <w:rPr>
          <w:rFonts w:ascii="Calibri" w:hAnsi="Calibri" w:cs="Calibri"/>
          <w:sz w:val="20"/>
          <w:szCs w:val="20"/>
        </w:rPr>
        <w:t xml:space="preserve">Zamawiający </w:t>
      </w:r>
      <w:r w:rsidR="00A552FB">
        <w:rPr>
          <w:rFonts w:ascii="Calibri" w:hAnsi="Calibri" w:cs="Calibri"/>
          <w:sz w:val="20"/>
          <w:szCs w:val="20"/>
        </w:rPr>
        <w:t>nie wyraża zgody na zaproponowaną zmianę</w:t>
      </w:r>
      <w:r w:rsidR="00DF0FEE">
        <w:rPr>
          <w:rFonts w:ascii="Calibri" w:hAnsi="Calibri" w:cs="Calibri"/>
          <w:sz w:val="20"/>
          <w:szCs w:val="20"/>
        </w:rPr>
        <w:t xml:space="preserve"> zapisów w § 7 ust. 1 lit. a)</w:t>
      </w:r>
      <w:r w:rsidR="00A552FB">
        <w:rPr>
          <w:rFonts w:ascii="Calibri" w:hAnsi="Calibri" w:cs="Calibri"/>
          <w:sz w:val="20"/>
          <w:szCs w:val="20"/>
        </w:rPr>
        <w:t xml:space="preserve"> i podtrzymuje zapisy SWZ.</w:t>
      </w:r>
    </w:p>
    <w:p w:rsidR="00BD7E03" w:rsidRPr="00BD7E03" w:rsidRDefault="00BD7E03" w:rsidP="00BD7E03">
      <w:pPr>
        <w:spacing w:after="0" w:line="240" w:lineRule="auto"/>
        <w:jc w:val="both"/>
        <w:rPr>
          <w:rFonts w:cs="Calibri"/>
          <w:b/>
          <w:sz w:val="20"/>
          <w:szCs w:val="20"/>
        </w:rPr>
      </w:pPr>
    </w:p>
    <w:p w:rsidR="00BD7E03" w:rsidRPr="00BD7E03" w:rsidRDefault="00BD7E03" w:rsidP="00BD7E03">
      <w:pPr>
        <w:spacing w:after="0" w:line="240" w:lineRule="auto"/>
        <w:jc w:val="both"/>
        <w:rPr>
          <w:rFonts w:cs="Calibri"/>
          <w:b/>
          <w:bCs/>
          <w:sz w:val="20"/>
          <w:szCs w:val="20"/>
        </w:rPr>
      </w:pPr>
      <w:r w:rsidRPr="00BD7E03">
        <w:rPr>
          <w:rFonts w:cs="Calibri"/>
          <w:b/>
          <w:sz w:val="20"/>
          <w:szCs w:val="20"/>
        </w:rPr>
        <w:t>Pytanie 8</w:t>
      </w:r>
    </w:p>
    <w:p w:rsidR="00BD7E03" w:rsidRPr="00BD7E03" w:rsidRDefault="00BD7E03" w:rsidP="00BD7E03">
      <w:pPr>
        <w:spacing w:after="0" w:line="240" w:lineRule="auto"/>
        <w:jc w:val="both"/>
        <w:rPr>
          <w:rFonts w:cs="Calibri"/>
          <w:sz w:val="20"/>
          <w:szCs w:val="20"/>
        </w:rPr>
      </w:pPr>
      <w:r w:rsidRPr="00BD7E03">
        <w:rPr>
          <w:rFonts w:cs="Calibri"/>
          <w:sz w:val="20"/>
          <w:szCs w:val="20"/>
        </w:rPr>
        <w:t xml:space="preserve">Czy Zamawiający zmniejszy wartość kary umownej określonej w par. 7.1.c z 3% do wartości </w:t>
      </w:r>
      <w:proofErr w:type="spellStart"/>
      <w:r w:rsidRPr="00BD7E03">
        <w:rPr>
          <w:rFonts w:cs="Calibri"/>
          <w:sz w:val="20"/>
          <w:szCs w:val="20"/>
        </w:rPr>
        <w:t>max</w:t>
      </w:r>
      <w:proofErr w:type="spellEnd"/>
      <w:r w:rsidRPr="00BD7E03">
        <w:rPr>
          <w:rFonts w:cs="Calibri"/>
          <w:sz w:val="20"/>
          <w:szCs w:val="20"/>
        </w:rPr>
        <w:t>. 0,2%? Obecna kara umowna jest rażąco wygórowana.</w:t>
      </w:r>
    </w:p>
    <w:p w:rsidR="00BD7E03" w:rsidRPr="00BD7E03" w:rsidRDefault="00BD7E03" w:rsidP="00BD7E03">
      <w:pPr>
        <w:pStyle w:val="Tekstpodstawowy"/>
        <w:rPr>
          <w:rFonts w:ascii="Calibri" w:hAnsi="Calibri" w:cs="Calibri"/>
          <w:i/>
          <w:sz w:val="20"/>
          <w:szCs w:val="20"/>
        </w:rPr>
      </w:pPr>
      <w:r w:rsidRPr="00BD7E03">
        <w:rPr>
          <w:rFonts w:ascii="Calibri" w:hAnsi="Calibri" w:cs="Calibri"/>
          <w:b/>
          <w:sz w:val="20"/>
          <w:szCs w:val="20"/>
        </w:rPr>
        <w:t xml:space="preserve">Odpowiedź: </w:t>
      </w:r>
      <w:r w:rsidRPr="00BD7E03">
        <w:rPr>
          <w:rFonts w:ascii="Calibri" w:hAnsi="Calibri" w:cs="Calibri"/>
          <w:sz w:val="20"/>
          <w:szCs w:val="20"/>
        </w:rPr>
        <w:t xml:space="preserve">Zamawiający </w:t>
      </w:r>
      <w:r w:rsidR="00A552FB">
        <w:rPr>
          <w:rFonts w:ascii="Calibri" w:hAnsi="Calibri" w:cs="Calibri"/>
          <w:sz w:val="20"/>
          <w:szCs w:val="20"/>
        </w:rPr>
        <w:t>nie wyraża zgody na zaproponowaną zmianę</w:t>
      </w:r>
      <w:r w:rsidR="00DF0FEE">
        <w:rPr>
          <w:rFonts w:ascii="Calibri" w:hAnsi="Calibri" w:cs="Calibri"/>
          <w:sz w:val="20"/>
          <w:szCs w:val="20"/>
        </w:rPr>
        <w:t xml:space="preserve"> zapisów § 7 ust. 1 lit. c)</w:t>
      </w:r>
      <w:r w:rsidR="00A552FB">
        <w:rPr>
          <w:rFonts w:ascii="Calibri" w:hAnsi="Calibri" w:cs="Calibri"/>
          <w:sz w:val="20"/>
          <w:szCs w:val="20"/>
        </w:rPr>
        <w:t xml:space="preserve"> i podtrzymuje zapisy SWZ.</w:t>
      </w:r>
    </w:p>
    <w:p w:rsidR="00D17E95" w:rsidRDefault="00D17E95" w:rsidP="00D17E95">
      <w:pPr>
        <w:spacing w:after="0" w:line="240" w:lineRule="auto"/>
        <w:jc w:val="both"/>
        <w:rPr>
          <w:rFonts w:cs="Calibri"/>
          <w:sz w:val="20"/>
          <w:szCs w:val="20"/>
        </w:rPr>
      </w:pPr>
    </w:p>
    <w:p w:rsidR="00D17E95" w:rsidRPr="000821C4" w:rsidRDefault="00D17E95" w:rsidP="00D17E95">
      <w:pPr>
        <w:spacing w:after="0" w:line="240" w:lineRule="auto"/>
        <w:jc w:val="both"/>
        <w:rPr>
          <w:rFonts w:cs="Calibri"/>
          <w:b/>
          <w:sz w:val="20"/>
          <w:szCs w:val="20"/>
          <w:u w:val="single"/>
        </w:rPr>
      </w:pPr>
    </w:p>
    <w:p w:rsidR="00D17E95" w:rsidRPr="000821C4" w:rsidRDefault="00D17E95" w:rsidP="00D17E95">
      <w:pPr>
        <w:spacing w:after="0" w:line="240" w:lineRule="auto"/>
        <w:jc w:val="both"/>
        <w:rPr>
          <w:rFonts w:cs="Calibri"/>
          <w:sz w:val="20"/>
          <w:szCs w:val="20"/>
        </w:rPr>
      </w:pPr>
      <w:r w:rsidRPr="000821C4">
        <w:rPr>
          <w:rFonts w:cs="Calibri"/>
          <w:b/>
          <w:sz w:val="20"/>
          <w:szCs w:val="20"/>
          <w:u w:val="single"/>
        </w:rPr>
        <w:t>Pozostałe zapisy SWZ pozostają bez zmian.</w:t>
      </w:r>
    </w:p>
    <w:p w:rsidR="00D17E95" w:rsidRPr="000821C4" w:rsidRDefault="00D17E95" w:rsidP="00D17E95">
      <w:pPr>
        <w:spacing w:after="0" w:line="240" w:lineRule="auto"/>
        <w:jc w:val="both"/>
        <w:rPr>
          <w:rFonts w:cs="Calibri"/>
          <w:bCs/>
          <w:sz w:val="20"/>
          <w:szCs w:val="20"/>
        </w:rPr>
      </w:pPr>
    </w:p>
    <w:p w:rsidR="00D17E95" w:rsidRDefault="00D17E95" w:rsidP="00D17E95">
      <w:pPr>
        <w:spacing w:after="0" w:line="240" w:lineRule="auto"/>
        <w:ind w:left="5664"/>
        <w:rPr>
          <w:rFonts w:cs="Arial"/>
          <w:i/>
          <w:sz w:val="20"/>
          <w:szCs w:val="20"/>
        </w:rPr>
      </w:pPr>
      <w:r>
        <w:rPr>
          <w:rFonts w:cs="Arial"/>
          <w:i/>
          <w:sz w:val="20"/>
          <w:szCs w:val="20"/>
        </w:rPr>
        <w:t xml:space="preserve">                     </w:t>
      </w:r>
    </w:p>
    <w:p w:rsidR="00D17E95" w:rsidRDefault="00D17E95" w:rsidP="00D17E95">
      <w:pPr>
        <w:spacing w:after="0" w:line="240" w:lineRule="auto"/>
        <w:ind w:left="5664"/>
        <w:rPr>
          <w:rFonts w:cs="Arial"/>
          <w:i/>
          <w:sz w:val="20"/>
          <w:szCs w:val="20"/>
        </w:rPr>
      </w:pPr>
      <w:r>
        <w:rPr>
          <w:rFonts w:cs="Arial"/>
          <w:i/>
          <w:sz w:val="20"/>
          <w:szCs w:val="20"/>
        </w:rPr>
        <w:t xml:space="preserve">                                   Inspektor </w:t>
      </w:r>
    </w:p>
    <w:p w:rsidR="00D17E95" w:rsidRDefault="00D17E95" w:rsidP="00D17E95">
      <w:pPr>
        <w:spacing w:after="0" w:line="240" w:lineRule="auto"/>
        <w:ind w:left="5664"/>
        <w:rPr>
          <w:rFonts w:cs="Arial"/>
          <w:i/>
          <w:sz w:val="20"/>
          <w:szCs w:val="20"/>
        </w:rPr>
      </w:pPr>
      <w:r>
        <w:rPr>
          <w:rFonts w:cs="Arial"/>
          <w:i/>
          <w:sz w:val="20"/>
          <w:szCs w:val="20"/>
        </w:rPr>
        <w:t xml:space="preserve">              Działu Zamówień Publicznych</w:t>
      </w:r>
    </w:p>
    <w:p w:rsidR="00D17E95" w:rsidRDefault="00D17E95" w:rsidP="00D17E95">
      <w:pPr>
        <w:spacing w:after="0" w:line="240" w:lineRule="auto"/>
        <w:ind w:left="5664"/>
        <w:rPr>
          <w:rFonts w:cs="Arial"/>
          <w:i/>
          <w:sz w:val="20"/>
          <w:szCs w:val="20"/>
        </w:rPr>
      </w:pPr>
    </w:p>
    <w:p w:rsidR="00D17E95" w:rsidRDefault="00D17E95" w:rsidP="00D17E95">
      <w:pPr>
        <w:spacing w:after="0" w:line="240" w:lineRule="auto"/>
        <w:ind w:left="5664"/>
        <w:rPr>
          <w:bCs/>
          <w:sz w:val="20"/>
          <w:szCs w:val="20"/>
        </w:rPr>
      </w:pPr>
      <w:r>
        <w:rPr>
          <w:rFonts w:cs="Arial"/>
          <w:i/>
          <w:sz w:val="20"/>
          <w:szCs w:val="20"/>
        </w:rPr>
        <w:t xml:space="preserve">                           Mariola Jędrzejczak</w:t>
      </w:r>
    </w:p>
    <w:p w:rsidR="000F38CE" w:rsidRDefault="000F38CE"/>
    <w:sectPr w:rsidR="000F38CE" w:rsidSect="00BD7E03">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611E"/>
    <w:multiLevelType w:val="hybridMultilevel"/>
    <w:tmpl w:val="0466FB28"/>
    <w:lvl w:ilvl="0" w:tplc="BB0C4A28">
      <w:start w:val="5"/>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5D1393B"/>
    <w:multiLevelType w:val="hybridMultilevel"/>
    <w:tmpl w:val="12F496BA"/>
    <w:lvl w:ilvl="0" w:tplc="0415000F">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15A7E40"/>
    <w:multiLevelType w:val="multilevel"/>
    <w:tmpl w:val="C97ADC20"/>
    <w:lvl w:ilvl="0">
      <w:start w:val="2"/>
      <w:numFmt w:val="decimal"/>
      <w:lvlText w:val="%1."/>
      <w:lvlJc w:val="left"/>
      <w:pPr>
        <w:tabs>
          <w:tab w:val="num" w:pos="420"/>
        </w:tabs>
        <w:ind w:left="420" w:hanging="360"/>
      </w:pPr>
      <w:rPr>
        <w:rFonts w:ascii="Calibri" w:hAnsi="Calibri" w:hint="default"/>
        <w:b w:val="0"/>
        <w:sz w:val="20"/>
      </w:rPr>
    </w:lvl>
    <w:lvl w:ilvl="1">
      <w:start w:val="1"/>
      <w:numFmt w:val="lowerLetter"/>
      <w:lvlText w:val="%2."/>
      <w:lvlJc w:val="left"/>
      <w:pPr>
        <w:tabs>
          <w:tab w:val="num" w:pos="1140"/>
        </w:tabs>
        <w:ind w:left="1140" w:hanging="360"/>
      </w:pPr>
      <w:rPr>
        <w:rFonts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7E95"/>
    <w:rsid w:val="00050184"/>
    <w:rsid w:val="0008174B"/>
    <w:rsid w:val="000F38CE"/>
    <w:rsid w:val="00416E0D"/>
    <w:rsid w:val="00601AE5"/>
    <w:rsid w:val="00707B33"/>
    <w:rsid w:val="00A552FB"/>
    <w:rsid w:val="00BD7E03"/>
    <w:rsid w:val="00C74970"/>
    <w:rsid w:val="00D0241E"/>
    <w:rsid w:val="00D17E95"/>
    <w:rsid w:val="00DF0F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E9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17E95"/>
    <w:rPr>
      <w:rFonts w:cs="Times New Roman"/>
      <w:color w:val="0000FF"/>
      <w:u w:val="single"/>
    </w:rPr>
  </w:style>
  <w:style w:type="paragraph" w:styleId="Bezodstpw">
    <w:name w:val="No Spacing"/>
    <w:link w:val="BezodstpwZnak"/>
    <w:uiPriority w:val="1"/>
    <w:qFormat/>
    <w:rsid w:val="00D17E95"/>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D17E95"/>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D17E95"/>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D17E95"/>
    <w:rPr>
      <w:rFonts w:ascii="Calibri" w:eastAsia="Times New Roman" w:hAnsi="Calibri" w:cs="Times New Roman"/>
      <w:lang w:eastAsia="pl-PL"/>
    </w:rPr>
  </w:style>
  <w:style w:type="character" w:customStyle="1" w:styleId="BezodstpwZnak">
    <w:name w:val="Bez odstępów Znak"/>
    <w:basedOn w:val="Domylnaczcionkaakapitu"/>
    <w:link w:val="Bezodstpw"/>
    <w:uiPriority w:val="1"/>
    <w:locked/>
    <w:rsid w:val="00D17E95"/>
    <w:rPr>
      <w:rFonts w:ascii="Times New Roman" w:eastAsia="Times New Roman" w:hAnsi="Times New Roman" w:cs="Times New Roman"/>
      <w:color w:val="00000A"/>
      <w:sz w:val="24"/>
      <w:szCs w:val="24"/>
      <w:lang w:eastAsia="zh-CN"/>
    </w:rPr>
  </w:style>
  <w:style w:type="paragraph" w:customStyle="1" w:styleId="Standard">
    <w:name w:val="Standard"/>
    <w:rsid w:val="00D17E95"/>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Akapitzlist">
    <w:name w:val="List Paragraph"/>
    <w:aliases w:val="sw tekst,normalny tekst,CW_Lista,Podsis rysunku,Normalny1,Akapit z listą3,Akapit z listą31,Wypunktowanie,Normal2,Akapit z listą1,zwykły tekst,List Paragraph1,BulletC,Obiekt,Numerowanie,L1,Akapit z listą5,Akapit z listą BS,Nagłowek 3"/>
    <w:basedOn w:val="Normalny"/>
    <w:link w:val="AkapitzlistZnak"/>
    <w:uiPriority w:val="34"/>
    <w:qFormat/>
    <w:rsid w:val="00D17E95"/>
    <w:pPr>
      <w:spacing w:after="160" w:line="259" w:lineRule="auto"/>
      <w:ind w:left="720"/>
      <w:contextualSpacing/>
    </w:pPr>
    <w:rPr>
      <w:rFonts w:asciiTheme="minorHAnsi" w:eastAsiaTheme="minorHAnsi" w:hAnsiTheme="minorHAnsi" w:cstheme="minorBidi"/>
      <w:lang w:val="en-US" w:eastAsia="en-US"/>
    </w:rPr>
  </w:style>
  <w:style w:type="character" w:customStyle="1" w:styleId="AkapitzlistZnak">
    <w:name w:val="Akapit z listą Znak"/>
    <w:aliases w:val="sw tekst Znak,normalny tekst Znak,CW_Lista Znak,Podsis rysunku Znak,Normalny1 Znak,Akapit z listą3 Znak,Akapit z listą31 Znak,Wypunktowanie Znak,Normal2 Znak,Akapit z listą1 Znak,zwykły tekst Znak,List Paragraph1 Znak,BulletC Znak"/>
    <w:link w:val="Akapitzlist"/>
    <w:uiPriority w:val="34"/>
    <w:qFormat/>
    <w:locked/>
    <w:rsid w:val="00D17E95"/>
    <w:rPr>
      <w:lang w:val="en-US"/>
    </w:rPr>
  </w:style>
  <w:style w:type="paragraph" w:styleId="Tekstdymka">
    <w:name w:val="Balloon Text"/>
    <w:basedOn w:val="Normalny"/>
    <w:link w:val="TekstdymkaZnak"/>
    <w:uiPriority w:val="99"/>
    <w:semiHidden/>
    <w:unhideWhenUsed/>
    <w:rsid w:val="00D17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7E95"/>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umpluc.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chp@centrumpluc.com.p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738</Words>
  <Characters>4429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32.21 Wyjaśnienia do SWZ</dc:title>
  <dc:creator>annpilarska</dc:creator>
  <cp:lastModifiedBy>annpilarska</cp:lastModifiedBy>
  <cp:revision>8</cp:revision>
  <dcterms:created xsi:type="dcterms:W3CDTF">2021-11-26T09:49:00Z</dcterms:created>
  <dcterms:modified xsi:type="dcterms:W3CDTF">2021-11-29T10:27:00Z</dcterms:modified>
</cp:coreProperties>
</file>