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48113753" w14:textId="06C807ED" w:rsidR="008360FA"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8360FA">
        <w:rPr>
          <w:rFonts w:ascii="Arial" w:hAnsi="Arial" w:cs="Arial"/>
          <w:b/>
          <w:sz w:val="22"/>
          <w:szCs w:val="22"/>
        </w:rPr>
        <w:t>wz. kpt. Kamil RAMUS</w:t>
      </w:r>
    </w:p>
    <w:p w14:paraId="5A555603" w14:textId="18F347AB"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715D5DB6"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Pr>
          <w:rFonts w:ascii="Arial" w:hAnsi="Arial" w:cs="Arial"/>
          <w:b/>
          <w:sz w:val="28"/>
          <w:szCs w:val="28"/>
        </w:rPr>
        <w:t xml:space="preserve">Sukcesywna dostawa </w:t>
      </w:r>
      <w:r w:rsidR="00E12D07">
        <w:rPr>
          <w:rFonts w:ascii="Arial" w:hAnsi="Arial" w:cs="Arial"/>
          <w:b/>
          <w:sz w:val="28"/>
          <w:szCs w:val="28"/>
        </w:rPr>
        <w:t xml:space="preserve">różnych produktów spożywczych </w:t>
      </w:r>
      <w:r>
        <w:rPr>
          <w:rFonts w:ascii="Arial" w:hAnsi="Arial" w:cs="Arial"/>
          <w:b/>
          <w:sz w:val="28"/>
          <w:szCs w:val="28"/>
        </w:rPr>
        <w:t xml:space="preserve">do magazynów 33 Wojskowego Oddziału Gospodarczego zlokalizowanych w m. Nowa Dęba, Kielce oraz Sandomierz </w:t>
      </w:r>
      <w:r>
        <w:rPr>
          <w:rFonts w:ascii="Arial" w:hAnsi="Arial" w:cs="Arial"/>
          <w:b/>
          <w:sz w:val="28"/>
          <w:szCs w:val="28"/>
        </w:rPr>
        <w:br/>
        <w:t xml:space="preserve">(zamówienie z podziałem na </w:t>
      </w:r>
      <w:r w:rsidR="00E12D07">
        <w:rPr>
          <w:rFonts w:ascii="Arial" w:hAnsi="Arial" w:cs="Arial"/>
          <w:b/>
          <w:sz w:val="28"/>
          <w:szCs w:val="28"/>
        </w:rPr>
        <w:t>5</w:t>
      </w:r>
      <w:r>
        <w:rPr>
          <w:rFonts w:ascii="Arial" w:hAnsi="Arial" w:cs="Arial"/>
          <w:b/>
          <w:sz w:val="28"/>
          <w:szCs w:val="28"/>
        </w:rPr>
        <w:t xml:space="preserve"> części)”</w:t>
      </w:r>
    </w:p>
    <w:bookmarkEnd w:id="0"/>
    <w:p w14:paraId="70F384D9" w14:textId="4C7C7A43"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E12D07">
        <w:rPr>
          <w:rFonts w:ascii="Arial" w:hAnsi="Arial" w:cs="Arial"/>
          <w:b/>
          <w:sz w:val="28"/>
          <w:szCs w:val="28"/>
        </w:rPr>
        <w:t>70</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77777777" w:rsidR="00822B6E" w:rsidRDefault="00822B6E"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0B4925"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332C0A13" w:rsidR="00822B6E" w:rsidRPr="00AA255C"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3274CBF2" w14:textId="2D8E6CD3" w:rsidR="00232F4C" w:rsidRPr="009F074B" w:rsidRDefault="000B4925" w:rsidP="00822B6E">
      <w:pPr>
        <w:spacing w:after="0" w:line="276" w:lineRule="auto"/>
        <w:ind w:right="-2"/>
        <w:jc w:val="both"/>
        <w:rPr>
          <w:rFonts w:ascii="Arial" w:hAnsi="Arial" w:cs="Arial"/>
          <w:b/>
          <w:color w:val="0000FF"/>
          <w:sz w:val="22"/>
          <w:szCs w:val="22"/>
        </w:rPr>
      </w:pPr>
      <w:hyperlink r:id="rId11" w:history="1">
        <w:r w:rsidR="00AA255C" w:rsidRPr="009F074B">
          <w:rPr>
            <w:rStyle w:val="Hipercze"/>
            <w:rFonts w:ascii="Arial" w:hAnsi="Arial" w:cs="Arial"/>
            <w:b/>
            <w:sz w:val="22"/>
            <w:szCs w:val="22"/>
            <w:shd w:val="clear" w:color="auto" w:fill="FFFFFF"/>
          </w:rPr>
          <w:t>https://platformazakupowa.pl/transakcja/975651</w:t>
        </w:r>
      </w:hyperlink>
    </w:p>
    <w:p w14:paraId="7A8FA92B" w14:textId="77777777" w:rsidR="00232F4C" w:rsidRDefault="00232F4C" w:rsidP="00822B6E">
      <w:pPr>
        <w:spacing w:after="0" w:line="276" w:lineRule="auto"/>
        <w:ind w:right="-2"/>
        <w:jc w:val="both"/>
        <w:rPr>
          <w:rFonts w:ascii="Arial" w:hAnsi="Arial" w:cs="Arial"/>
          <w:b/>
          <w:sz w:val="22"/>
          <w:szCs w:val="22"/>
        </w:rPr>
      </w:pPr>
    </w:p>
    <w:p w14:paraId="0F588E61" w14:textId="77777777" w:rsidR="00EF78E6" w:rsidRDefault="00EF78E6" w:rsidP="004B7E57">
      <w:pPr>
        <w:spacing w:after="0" w:line="276" w:lineRule="auto"/>
        <w:ind w:right="-2"/>
        <w:jc w:val="both"/>
        <w:rPr>
          <w:rFonts w:ascii="Arial" w:hAnsi="Arial" w:cs="Arial"/>
          <w:i/>
          <w:color w:val="FF0000"/>
          <w:sz w:val="20"/>
          <w:szCs w:val="20"/>
        </w:rPr>
      </w:pPr>
    </w:p>
    <w:p w14:paraId="70A78963" w14:textId="4721B7E5"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008AC66" w14:textId="77777777" w:rsidR="008E6DC9" w:rsidRDefault="008E6DC9" w:rsidP="00232F4C">
      <w:pPr>
        <w:pStyle w:val="Akapitzlist"/>
        <w:spacing w:line="276" w:lineRule="auto"/>
        <w:ind w:left="284"/>
        <w:jc w:val="both"/>
        <w:rPr>
          <w:rFonts w:ascii="Arial" w:hAnsi="Arial" w:cs="Arial"/>
          <w:sz w:val="22"/>
          <w:szCs w:val="22"/>
        </w:rPr>
      </w:pPr>
    </w:p>
    <w:p w14:paraId="3BA634A5" w14:textId="109BEA62"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C05219">
        <w:rPr>
          <w:rFonts w:ascii="Arial" w:hAnsi="Arial" w:cs="Arial"/>
          <w:b/>
          <w:sz w:val="22"/>
          <w:szCs w:val="22"/>
        </w:rPr>
        <w:t>pięć</w:t>
      </w:r>
      <w:r w:rsidRPr="008E6DC9">
        <w:rPr>
          <w:rFonts w:ascii="Arial" w:hAnsi="Arial" w:cs="Arial"/>
          <w:b/>
          <w:sz w:val="22"/>
          <w:szCs w:val="22"/>
        </w:rPr>
        <w:t xml:space="preserve"> następując</w:t>
      </w:r>
      <w:r w:rsidR="00C05219">
        <w:rPr>
          <w:rFonts w:ascii="Arial" w:hAnsi="Arial" w:cs="Arial"/>
          <w:b/>
          <w:sz w:val="22"/>
          <w:szCs w:val="22"/>
        </w:rPr>
        <w:t>ych</w:t>
      </w:r>
      <w:r w:rsidRPr="008E6DC9">
        <w:rPr>
          <w:rFonts w:ascii="Arial" w:hAnsi="Arial" w:cs="Arial"/>
          <w:b/>
          <w:sz w:val="22"/>
          <w:szCs w:val="22"/>
        </w:rPr>
        <w:t xml:space="preserve"> części:</w:t>
      </w:r>
    </w:p>
    <w:p w14:paraId="625A0225" w14:textId="77777777"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kawy oraz herbaty do magazynu zlokalizowanego </w:t>
      </w:r>
      <w:r w:rsidRPr="000C2F35">
        <w:rPr>
          <w:rFonts w:ascii="Arial" w:hAnsi="Arial" w:cs="Arial"/>
          <w:b/>
          <w:sz w:val="22"/>
          <w:szCs w:val="22"/>
        </w:rPr>
        <w:br/>
        <w:t>w m. Nowa Dęba, Kielce oraz Sandomierz;</w:t>
      </w:r>
    </w:p>
    <w:p w14:paraId="259BBACD" w14:textId="26254E45"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Sukcesywna dostawa miodu do magazynu zlokalizowanego w m. Nowa Dęba, Kielce oraz Sandomierz</w:t>
      </w:r>
      <w:r w:rsidR="00B70E0C">
        <w:rPr>
          <w:rFonts w:ascii="Arial" w:hAnsi="Arial" w:cs="Arial"/>
          <w:b/>
          <w:sz w:val="22"/>
          <w:szCs w:val="22"/>
        </w:rPr>
        <w:t>;</w:t>
      </w:r>
    </w:p>
    <w:p w14:paraId="21F102F7" w14:textId="5E16D27D"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3</w:t>
      </w:r>
      <w:r w:rsidRPr="000C2F35">
        <w:rPr>
          <w:rFonts w:ascii="Arial" w:hAnsi="Arial" w:cs="Arial"/>
          <w:b/>
          <w:sz w:val="22"/>
          <w:szCs w:val="22"/>
        </w:rPr>
        <w:t xml:space="preserve"> - Sukcesywna dostawa zup, sosów oraz przypraw do magazynu zlokalizowanego w m. Nowa Dęba, Kielce oraz Sandomierz</w:t>
      </w:r>
      <w:r w:rsidR="00B70E0C">
        <w:rPr>
          <w:rFonts w:ascii="Arial" w:hAnsi="Arial" w:cs="Arial"/>
          <w:b/>
          <w:sz w:val="22"/>
          <w:szCs w:val="22"/>
        </w:rPr>
        <w:t>;</w:t>
      </w:r>
    </w:p>
    <w:p w14:paraId="0DE45D71" w14:textId="3E5B4BC6" w:rsidR="00B70E0C" w:rsidRPr="000C2F35" w:rsidRDefault="00B70E0C" w:rsidP="00B70E0C">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4</w:t>
      </w:r>
      <w:r w:rsidRPr="000C2F35">
        <w:rPr>
          <w:rFonts w:ascii="Arial" w:hAnsi="Arial" w:cs="Arial"/>
          <w:b/>
          <w:sz w:val="22"/>
          <w:szCs w:val="22"/>
        </w:rPr>
        <w:t xml:space="preserve"> - Sukcesywna dostawa </w:t>
      </w:r>
      <w:r>
        <w:rPr>
          <w:rFonts w:ascii="Arial" w:hAnsi="Arial" w:cs="Arial"/>
          <w:b/>
          <w:sz w:val="22"/>
          <w:szCs w:val="22"/>
        </w:rPr>
        <w:t xml:space="preserve">soków </w:t>
      </w:r>
      <w:r w:rsidRPr="000C2F35">
        <w:rPr>
          <w:rFonts w:ascii="Arial" w:hAnsi="Arial" w:cs="Arial"/>
          <w:b/>
          <w:sz w:val="22"/>
          <w:szCs w:val="22"/>
        </w:rPr>
        <w:t>do magazynu zlokalizowanego w m. Nowa Dęba, Kielce oraz Sandomierz</w:t>
      </w:r>
      <w:r>
        <w:rPr>
          <w:rFonts w:ascii="Arial" w:hAnsi="Arial" w:cs="Arial"/>
          <w:b/>
          <w:sz w:val="22"/>
          <w:szCs w:val="22"/>
        </w:rPr>
        <w:t>;</w:t>
      </w:r>
    </w:p>
    <w:p w14:paraId="2C95E7A5" w14:textId="1AA9A844" w:rsidR="00B70E0C" w:rsidRPr="00B70E0C" w:rsidRDefault="00B70E0C" w:rsidP="00B70E0C">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5</w:t>
      </w:r>
      <w:r w:rsidRPr="000C2F35">
        <w:rPr>
          <w:rFonts w:ascii="Arial" w:hAnsi="Arial" w:cs="Arial"/>
          <w:b/>
          <w:sz w:val="22"/>
          <w:szCs w:val="22"/>
        </w:rPr>
        <w:t xml:space="preserve"> - Sukcesywna dostawa </w:t>
      </w:r>
      <w:r>
        <w:rPr>
          <w:rFonts w:ascii="Arial" w:hAnsi="Arial" w:cs="Arial"/>
          <w:b/>
          <w:sz w:val="22"/>
          <w:szCs w:val="22"/>
        </w:rPr>
        <w:t xml:space="preserve">produktów roślinnych </w:t>
      </w:r>
      <w:r w:rsidRPr="000C2F35">
        <w:rPr>
          <w:rFonts w:ascii="Arial" w:hAnsi="Arial" w:cs="Arial"/>
          <w:b/>
          <w:sz w:val="22"/>
          <w:szCs w:val="22"/>
        </w:rPr>
        <w:t>do magazynu zlokalizowanego w m. Nowa Dęba</w:t>
      </w:r>
      <w:r>
        <w:rPr>
          <w:rFonts w:ascii="Arial" w:hAnsi="Arial" w:cs="Arial"/>
          <w:b/>
          <w:sz w:val="22"/>
          <w:szCs w:val="22"/>
        </w:rPr>
        <w:t>.</w:t>
      </w:r>
    </w:p>
    <w:p w14:paraId="5F1268A9" w14:textId="0A775424"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3F3EB9">
        <w:rPr>
          <w:rFonts w:ascii="Arial" w:hAnsi="Arial" w:cs="Arial"/>
          <w:sz w:val="22"/>
          <w:szCs w:val="22"/>
        </w:rPr>
        <w:t>, dwóch</w:t>
      </w:r>
      <w:r w:rsidR="008E6DC9">
        <w:rPr>
          <w:rFonts w:ascii="Arial" w:hAnsi="Arial" w:cs="Arial"/>
          <w:sz w:val="22"/>
          <w:szCs w:val="22"/>
        </w:rPr>
        <w:t xml:space="preserve"> lub wszystkich części postępowania.</w:t>
      </w:r>
    </w:p>
    <w:p w14:paraId="10E0107F" w14:textId="77777777" w:rsidR="00232F4C" w:rsidRDefault="00232F4C" w:rsidP="00232F4C">
      <w:pPr>
        <w:pStyle w:val="Akapitzlist"/>
        <w:spacing w:line="276" w:lineRule="auto"/>
        <w:ind w:left="284"/>
        <w:jc w:val="both"/>
        <w:rPr>
          <w:rFonts w:ascii="Arial" w:hAnsi="Arial" w:cs="Arial"/>
          <w:sz w:val="22"/>
          <w:szCs w:val="22"/>
        </w:rPr>
      </w:pPr>
    </w:p>
    <w:p w14:paraId="122885E5" w14:textId="366D23E1" w:rsidR="00B5476F" w:rsidRDefault="00B5476F" w:rsidP="00B5476F">
      <w:pPr>
        <w:pStyle w:val="Akapitzlist"/>
        <w:spacing w:line="276" w:lineRule="auto"/>
        <w:ind w:left="284"/>
        <w:jc w:val="both"/>
        <w:rPr>
          <w:rFonts w:ascii="Arial" w:hAnsi="Arial" w:cs="Arial"/>
          <w:b/>
          <w:sz w:val="22"/>
          <w:szCs w:val="22"/>
          <w:u w:val="single"/>
        </w:rPr>
      </w:pPr>
    </w:p>
    <w:p w14:paraId="14064C1A" w14:textId="6764EFCB" w:rsidR="008E6DC9" w:rsidRDefault="008E6DC9" w:rsidP="00B5476F">
      <w:pPr>
        <w:pStyle w:val="Akapitzlist"/>
        <w:spacing w:line="276" w:lineRule="auto"/>
        <w:ind w:left="284"/>
        <w:jc w:val="both"/>
        <w:rPr>
          <w:rFonts w:ascii="Arial" w:hAnsi="Arial" w:cs="Arial"/>
          <w:b/>
          <w:sz w:val="22"/>
          <w:szCs w:val="22"/>
          <w:u w:val="single"/>
        </w:rPr>
      </w:pPr>
    </w:p>
    <w:p w14:paraId="74B0A5F1" w14:textId="4D53C044" w:rsidR="008E6DC9" w:rsidRDefault="008E6DC9" w:rsidP="008E6DC9">
      <w:pPr>
        <w:spacing w:line="276" w:lineRule="auto"/>
        <w:jc w:val="both"/>
        <w:rPr>
          <w:rFonts w:ascii="Arial" w:hAnsi="Arial" w:cs="Arial"/>
          <w:b/>
          <w:sz w:val="22"/>
          <w:szCs w:val="22"/>
          <w:u w:val="single"/>
        </w:rPr>
      </w:pP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2658DC7A" w14:textId="0F73A50F" w:rsidR="000C2F35" w:rsidRDefault="000C2F35" w:rsidP="000C2F35">
      <w:pPr>
        <w:spacing w:after="0" w:line="276" w:lineRule="auto"/>
        <w:ind w:left="360"/>
        <w:jc w:val="both"/>
        <w:rPr>
          <w:rFonts w:ascii="Arial" w:hAnsi="Arial" w:cs="Arial"/>
          <w:sz w:val="22"/>
          <w:szCs w:val="22"/>
        </w:rPr>
      </w:pPr>
      <w:r w:rsidRPr="00455AD0">
        <w:rPr>
          <w:rFonts w:ascii="Arial" w:hAnsi="Arial" w:cs="Arial"/>
          <w:sz w:val="22"/>
          <w:szCs w:val="22"/>
        </w:rPr>
        <w:t xml:space="preserve">„Sukcesywna dostawa </w:t>
      </w:r>
      <w:r w:rsidR="00B70E0C">
        <w:rPr>
          <w:rFonts w:ascii="Arial" w:hAnsi="Arial" w:cs="Arial"/>
          <w:sz w:val="22"/>
          <w:szCs w:val="22"/>
        </w:rPr>
        <w:t xml:space="preserve">różnych produktów spożywczych </w:t>
      </w:r>
      <w:r w:rsidRPr="00455AD0">
        <w:rPr>
          <w:rFonts w:ascii="Arial" w:hAnsi="Arial" w:cs="Arial"/>
          <w:sz w:val="22"/>
          <w:szCs w:val="22"/>
        </w:rPr>
        <w:t xml:space="preserve">do magazynów 33 Wojskowego Oddziału Gospodarczego zlokalizowanych w m. Nowa Dęba, Kielce oraz Sandomierz (zamówienie z podziałem na </w:t>
      </w:r>
      <w:r w:rsidR="00B70E0C">
        <w:rPr>
          <w:rFonts w:ascii="Arial" w:hAnsi="Arial" w:cs="Arial"/>
          <w:sz w:val="22"/>
          <w:szCs w:val="22"/>
        </w:rPr>
        <w:t>5</w:t>
      </w:r>
      <w:r w:rsidRPr="00455AD0">
        <w:rPr>
          <w:rFonts w:ascii="Arial" w:hAnsi="Arial" w:cs="Arial"/>
          <w:sz w:val="22"/>
          <w:szCs w:val="22"/>
        </w:rPr>
        <w:t xml:space="preserve"> części)”</w:t>
      </w:r>
      <w:r>
        <w:rPr>
          <w:rFonts w:ascii="Arial" w:hAnsi="Arial" w:cs="Arial"/>
          <w:sz w:val="22"/>
          <w:szCs w:val="22"/>
        </w:rPr>
        <w:t>.</w:t>
      </w:r>
    </w:p>
    <w:p w14:paraId="658F67DA" w14:textId="77777777" w:rsidR="00270C9C" w:rsidRPr="00EF78E6" w:rsidRDefault="00270C9C"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t>Nr referencyjny</w:t>
      </w:r>
      <w:r w:rsidR="005077AB" w:rsidRPr="00F03869">
        <w:rPr>
          <w:rFonts w:ascii="Arial" w:hAnsi="Arial" w:cs="Arial"/>
          <w:b/>
          <w:sz w:val="22"/>
          <w:szCs w:val="22"/>
        </w:rPr>
        <w:t xml:space="preserve">: </w:t>
      </w:r>
    </w:p>
    <w:p w14:paraId="2106D7F3" w14:textId="5B6590FC"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B70E0C">
        <w:rPr>
          <w:rFonts w:ascii="Arial" w:hAnsi="Arial" w:cs="Arial"/>
          <w:sz w:val="22"/>
          <w:szCs w:val="22"/>
        </w:rPr>
        <w:t>70</w:t>
      </w:r>
      <w:r w:rsidRPr="00F03869">
        <w:rPr>
          <w:rFonts w:ascii="Arial" w:hAnsi="Arial" w:cs="Arial"/>
          <w:sz w:val="22"/>
          <w:szCs w:val="22"/>
        </w:rPr>
        <w:t>/202</w:t>
      </w:r>
      <w:r w:rsidR="00321BC5">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4D643C30"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0B7637" w:rsidRPr="00C107D6">
        <w:rPr>
          <w:rFonts w:ascii="Arial" w:hAnsi="Arial" w:cs="Arial"/>
          <w:sz w:val="22"/>
          <w:szCs w:val="22"/>
        </w:rPr>
        <w:t xml:space="preserve">sukcesywna dostawa kawy, herbaty, </w:t>
      </w:r>
      <w:r w:rsidR="00C107D6">
        <w:rPr>
          <w:rFonts w:ascii="Arial" w:hAnsi="Arial" w:cs="Arial"/>
          <w:sz w:val="22"/>
          <w:szCs w:val="22"/>
        </w:rPr>
        <w:t xml:space="preserve">miodu, </w:t>
      </w:r>
      <w:r w:rsidR="000B7637" w:rsidRPr="00C107D6">
        <w:rPr>
          <w:rFonts w:ascii="Arial" w:hAnsi="Arial" w:cs="Arial"/>
          <w:sz w:val="22"/>
          <w:szCs w:val="22"/>
        </w:rPr>
        <w:t>zup, sosów</w:t>
      </w:r>
      <w:r w:rsidR="00B70E0C">
        <w:rPr>
          <w:rFonts w:ascii="Arial" w:hAnsi="Arial" w:cs="Arial"/>
          <w:sz w:val="22"/>
          <w:szCs w:val="22"/>
        </w:rPr>
        <w:t xml:space="preserve">, </w:t>
      </w:r>
      <w:r w:rsidR="000B7637" w:rsidRPr="00C107D6">
        <w:rPr>
          <w:rFonts w:ascii="Arial" w:hAnsi="Arial" w:cs="Arial"/>
          <w:sz w:val="22"/>
          <w:szCs w:val="22"/>
        </w:rPr>
        <w:t>przypraw</w:t>
      </w:r>
      <w:r w:rsidR="00B70E0C">
        <w:rPr>
          <w:rFonts w:ascii="Arial" w:hAnsi="Arial" w:cs="Arial"/>
          <w:sz w:val="22"/>
          <w:szCs w:val="22"/>
        </w:rPr>
        <w:t>, soków oraz produktów roślinnych</w:t>
      </w:r>
      <w:r w:rsidR="000B7637" w:rsidRPr="00C107D6">
        <w:rPr>
          <w:rFonts w:ascii="Arial" w:hAnsi="Arial" w:cs="Arial"/>
          <w:sz w:val="22"/>
          <w:szCs w:val="22"/>
        </w:rPr>
        <w:t xml:space="preserve"> do magazynów 33 Wojskowego Oddziału Gospodarczego zlokalizowanych w następujących miejscowościach:</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2FBEADF2" w:rsidR="000B7637" w:rsidRPr="00C107D6"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Pr>
          <w:rFonts w:ascii="Arial" w:hAnsi="Arial" w:cs="Arial"/>
          <w:sz w:val="22"/>
          <w:szCs w:val="22"/>
        </w:rPr>
        <w:t>.</w:t>
      </w:r>
    </w:p>
    <w:p w14:paraId="74D7CB32" w14:textId="07F59E17"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Pr="00055B6A">
        <w:rPr>
          <w:rFonts w:ascii="Arial" w:hAnsi="Arial" w:cs="Arial"/>
          <w:b/>
          <w:sz w:val="22"/>
          <w:szCs w:val="22"/>
        </w:rPr>
        <w:br/>
      </w:r>
      <w:r w:rsidR="00FE1BA1">
        <w:rPr>
          <w:rFonts w:ascii="Arial" w:hAnsi="Arial" w:cs="Arial"/>
          <w:b/>
          <w:sz w:val="22"/>
          <w:szCs w:val="22"/>
        </w:rPr>
        <w:t>2 809 000,00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782543A3"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Pr>
          <w:rFonts w:ascii="Arial" w:hAnsi="Arial" w:cs="Arial"/>
          <w:sz w:val="22"/>
          <w:szCs w:val="22"/>
        </w:rPr>
        <w:t xml:space="preserve">- </w:t>
      </w:r>
      <w:r w:rsidRPr="00C77079">
        <w:rPr>
          <w:rFonts w:ascii="Arial" w:hAnsi="Arial" w:cs="Arial"/>
          <w:sz w:val="22"/>
          <w:szCs w:val="22"/>
        </w:rPr>
        <w:t xml:space="preserve">Sukcesywna dostawa </w:t>
      </w:r>
      <w:r>
        <w:rPr>
          <w:rFonts w:ascii="Arial" w:hAnsi="Arial" w:cs="Arial"/>
          <w:sz w:val="22"/>
          <w:szCs w:val="22"/>
        </w:rPr>
        <w:t xml:space="preserve">kawy oraz herbaty </w:t>
      </w:r>
      <w:r w:rsidRPr="00C77079">
        <w:rPr>
          <w:rFonts w:ascii="Arial" w:hAnsi="Arial" w:cs="Arial"/>
          <w:sz w:val="22"/>
          <w:szCs w:val="22"/>
        </w:rPr>
        <w:t xml:space="preserve">do magazynu </w:t>
      </w:r>
      <w:r>
        <w:rPr>
          <w:rFonts w:ascii="Arial" w:hAnsi="Arial" w:cs="Arial"/>
          <w:sz w:val="22"/>
          <w:szCs w:val="22"/>
        </w:rPr>
        <w:t xml:space="preserve">zlokalizowanego </w:t>
      </w:r>
      <w:r>
        <w:rPr>
          <w:rFonts w:ascii="Arial" w:hAnsi="Arial" w:cs="Arial"/>
          <w:sz w:val="22"/>
          <w:szCs w:val="22"/>
        </w:rPr>
        <w:br/>
      </w:r>
      <w:r w:rsidRPr="00C77079">
        <w:rPr>
          <w:rFonts w:ascii="Arial" w:hAnsi="Arial" w:cs="Arial"/>
          <w:sz w:val="22"/>
          <w:szCs w:val="22"/>
        </w:rPr>
        <w:t>w</w:t>
      </w:r>
      <w:r>
        <w:rPr>
          <w:rFonts w:ascii="Arial" w:hAnsi="Arial" w:cs="Arial"/>
          <w:sz w:val="22"/>
          <w:szCs w:val="22"/>
        </w:rPr>
        <w:t xml:space="preserve"> m.</w:t>
      </w:r>
      <w:r w:rsidRPr="00C77079">
        <w:rPr>
          <w:rFonts w:ascii="Arial" w:hAnsi="Arial" w:cs="Arial"/>
          <w:sz w:val="22"/>
          <w:szCs w:val="22"/>
        </w:rPr>
        <w:t xml:space="preserve"> Now</w:t>
      </w:r>
      <w:r>
        <w:rPr>
          <w:rFonts w:ascii="Arial" w:hAnsi="Arial" w:cs="Arial"/>
          <w:sz w:val="22"/>
          <w:szCs w:val="22"/>
        </w:rPr>
        <w:t>a</w:t>
      </w:r>
      <w:r w:rsidRPr="00C77079">
        <w:rPr>
          <w:rFonts w:ascii="Arial" w:hAnsi="Arial" w:cs="Arial"/>
          <w:sz w:val="22"/>
          <w:szCs w:val="22"/>
        </w:rPr>
        <w:t xml:space="preserve"> Dęb</w:t>
      </w:r>
      <w:r>
        <w:rPr>
          <w:rFonts w:ascii="Arial" w:hAnsi="Arial" w:cs="Arial"/>
          <w:sz w:val="22"/>
          <w:szCs w:val="22"/>
        </w:rPr>
        <w:t>a, Kielce oraz Sandomierz</w:t>
      </w:r>
      <w:r w:rsidRPr="00F03869">
        <w:rPr>
          <w:rFonts w:ascii="Arial" w:hAnsi="Arial" w:cs="Arial"/>
          <w:sz w:val="22"/>
          <w:szCs w:val="22"/>
        </w:rPr>
        <w:t xml:space="preserve"> –</w:t>
      </w:r>
      <w:r w:rsidR="00FE1BA1">
        <w:rPr>
          <w:rFonts w:ascii="Arial" w:hAnsi="Arial" w:cs="Arial"/>
          <w:sz w:val="22"/>
          <w:szCs w:val="22"/>
        </w:rPr>
        <w:t xml:space="preserve"> 1 289 000,00 </w:t>
      </w:r>
      <w:r w:rsidRPr="00F03869">
        <w:rPr>
          <w:rFonts w:ascii="Arial" w:hAnsi="Arial" w:cs="Arial"/>
          <w:sz w:val="22"/>
          <w:szCs w:val="22"/>
        </w:rPr>
        <w:t>zł brutto;</w:t>
      </w:r>
    </w:p>
    <w:p w14:paraId="434F647F" w14:textId="6943C21E"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00531C4C">
        <w:rPr>
          <w:rFonts w:ascii="Arial" w:hAnsi="Arial" w:cs="Arial"/>
          <w:sz w:val="22"/>
          <w:szCs w:val="22"/>
        </w:rPr>
        <w:t xml:space="preserve"> - </w:t>
      </w:r>
      <w:r w:rsidRPr="00C77079">
        <w:rPr>
          <w:rFonts w:ascii="Arial" w:hAnsi="Arial" w:cs="Arial"/>
          <w:sz w:val="22"/>
          <w:szCs w:val="22"/>
        </w:rPr>
        <w:t xml:space="preserve">Sukcesywna dostawa </w:t>
      </w:r>
      <w:r>
        <w:rPr>
          <w:rFonts w:ascii="Arial" w:hAnsi="Arial" w:cs="Arial"/>
          <w:sz w:val="22"/>
          <w:szCs w:val="22"/>
        </w:rPr>
        <w:t xml:space="preserve">miodu  </w:t>
      </w:r>
      <w:r w:rsidRPr="00C77079">
        <w:rPr>
          <w:rFonts w:ascii="Arial" w:hAnsi="Arial" w:cs="Arial"/>
          <w:sz w:val="22"/>
          <w:szCs w:val="22"/>
        </w:rPr>
        <w:t xml:space="preserve">do magazynu </w:t>
      </w:r>
      <w:r>
        <w:rPr>
          <w:rFonts w:ascii="Arial" w:hAnsi="Arial" w:cs="Arial"/>
          <w:sz w:val="22"/>
          <w:szCs w:val="22"/>
        </w:rPr>
        <w:t xml:space="preserve">zlokalizowanego </w:t>
      </w:r>
      <w:r>
        <w:rPr>
          <w:rFonts w:ascii="Arial" w:hAnsi="Arial" w:cs="Arial"/>
          <w:sz w:val="22"/>
          <w:szCs w:val="22"/>
        </w:rPr>
        <w:br/>
      </w:r>
      <w:r w:rsidRPr="00C77079">
        <w:rPr>
          <w:rFonts w:ascii="Arial" w:hAnsi="Arial" w:cs="Arial"/>
          <w:sz w:val="22"/>
          <w:szCs w:val="22"/>
        </w:rPr>
        <w:t>w</w:t>
      </w:r>
      <w:r>
        <w:rPr>
          <w:rFonts w:ascii="Arial" w:hAnsi="Arial" w:cs="Arial"/>
          <w:sz w:val="22"/>
          <w:szCs w:val="22"/>
        </w:rPr>
        <w:t xml:space="preserve"> m.</w:t>
      </w:r>
      <w:r w:rsidRPr="00C77079">
        <w:rPr>
          <w:rFonts w:ascii="Arial" w:hAnsi="Arial" w:cs="Arial"/>
          <w:sz w:val="22"/>
          <w:szCs w:val="22"/>
        </w:rPr>
        <w:t xml:space="preserve"> Now</w:t>
      </w:r>
      <w:r>
        <w:rPr>
          <w:rFonts w:ascii="Arial" w:hAnsi="Arial" w:cs="Arial"/>
          <w:sz w:val="22"/>
          <w:szCs w:val="22"/>
        </w:rPr>
        <w:t>a</w:t>
      </w:r>
      <w:r w:rsidRPr="00C77079">
        <w:rPr>
          <w:rFonts w:ascii="Arial" w:hAnsi="Arial" w:cs="Arial"/>
          <w:sz w:val="22"/>
          <w:szCs w:val="22"/>
        </w:rPr>
        <w:t xml:space="preserve"> Dęb</w:t>
      </w:r>
      <w:r>
        <w:rPr>
          <w:rFonts w:ascii="Arial" w:hAnsi="Arial" w:cs="Arial"/>
          <w:sz w:val="22"/>
          <w:szCs w:val="22"/>
        </w:rPr>
        <w:t>a, Kielce oraz Sandomierz</w:t>
      </w:r>
      <w:r w:rsidRPr="00F03869">
        <w:rPr>
          <w:rFonts w:ascii="Arial" w:hAnsi="Arial" w:cs="Arial"/>
          <w:sz w:val="22"/>
          <w:szCs w:val="22"/>
        </w:rPr>
        <w:t xml:space="preserve"> –</w:t>
      </w:r>
      <w:r w:rsidR="00FE1BA1">
        <w:rPr>
          <w:rFonts w:ascii="Arial" w:hAnsi="Arial" w:cs="Arial"/>
          <w:sz w:val="22"/>
          <w:szCs w:val="22"/>
        </w:rPr>
        <w:t xml:space="preserve"> 7 000,00 </w:t>
      </w:r>
      <w:r w:rsidRPr="00F03869">
        <w:rPr>
          <w:rFonts w:ascii="Arial" w:hAnsi="Arial" w:cs="Arial"/>
          <w:sz w:val="22"/>
          <w:szCs w:val="22"/>
        </w:rPr>
        <w:t>zł brutto</w:t>
      </w:r>
      <w:r>
        <w:rPr>
          <w:rFonts w:ascii="Arial" w:hAnsi="Arial" w:cs="Arial"/>
          <w:sz w:val="22"/>
          <w:szCs w:val="22"/>
        </w:rPr>
        <w:t>.</w:t>
      </w:r>
    </w:p>
    <w:p w14:paraId="6CC5A77B" w14:textId="5C847061" w:rsidR="00531C4C" w:rsidRDefault="00C107D6" w:rsidP="00531C4C">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3</w:t>
      </w:r>
      <w:r w:rsidR="00531C4C">
        <w:rPr>
          <w:rFonts w:ascii="Arial" w:hAnsi="Arial" w:cs="Arial"/>
          <w:sz w:val="22"/>
          <w:szCs w:val="22"/>
        </w:rPr>
        <w:t xml:space="preserve"> - </w:t>
      </w:r>
      <w:r w:rsidRPr="00C77079">
        <w:rPr>
          <w:rFonts w:ascii="Arial" w:hAnsi="Arial" w:cs="Arial"/>
          <w:sz w:val="22"/>
          <w:szCs w:val="22"/>
        </w:rPr>
        <w:t xml:space="preserve">Sukcesywna dostawa </w:t>
      </w:r>
      <w:r>
        <w:rPr>
          <w:rFonts w:ascii="Arial" w:hAnsi="Arial" w:cs="Arial"/>
          <w:sz w:val="22"/>
          <w:szCs w:val="22"/>
        </w:rPr>
        <w:t xml:space="preserve">zup, sosów oraz przypraw </w:t>
      </w:r>
      <w:r w:rsidRPr="00C77079">
        <w:rPr>
          <w:rFonts w:ascii="Arial" w:hAnsi="Arial" w:cs="Arial"/>
          <w:sz w:val="22"/>
          <w:szCs w:val="22"/>
        </w:rPr>
        <w:t xml:space="preserve">do magazynu </w:t>
      </w:r>
      <w:r>
        <w:rPr>
          <w:rFonts w:ascii="Arial" w:hAnsi="Arial" w:cs="Arial"/>
          <w:sz w:val="22"/>
          <w:szCs w:val="22"/>
        </w:rPr>
        <w:t xml:space="preserve">zlokalizowanego </w:t>
      </w:r>
      <w:r w:rsidRPr="00C77079">
        <w:rPr>
          <w:rFonts w:ascii="Arial" w:hAnsi="Arial" w:cs="Arial"/>
          <w:sz w:val="22"/>
          <w:szCs w:val="22"/>
        </w:rPr>
        <w:t>w</w:t>
      </w:r>
      <w:r>
        <w:rPr>
          <w:rFonts w:ascii="Arial" w:hAnsi="Arial" w:cs="Arial"/>
          <w:sz w:val="22"/>
          <w:szCs w:val="22"/>
        </w:rPr>
        <w:t xml:space="preserve"> m.</w:t>
      </w:r>
      <w:r w:rsidRPr="00C77079">
        <w:rPr>
          <w:rFonts w:ascii="Arial" w:hAnsi="Arial" w:cs="Arial"/>
          <w:sz w:val="22"/>
          <w:szCs w:val="22"/>
        </w:rPr>
        <w:t xml:space="preserve"> Now</w:t>
      </w:r>
      <w:r>
        <w:rPr>
          <w:rFonts w:ascii="Arial" w:hAnsi="Arial" w:cs="Arial"/>
          <w:sz w:val="22"/>
          <w:szCs w:val="22"/>
        </w:rPr>
        <w:t>a</w:t>
      </w:r>
      <w:r w:rsidRPr="00C77079">
        <w:rPr>
          <w:rFonts w:ascii="Arial" w:hAnsi="Arial" w:cs="Arial"/>
          <w:sz w:val="22"/>
          <w:szCs w:val="22"/>
        </w:rPr>
        <w:t xml:space="preserve"> Dęb</w:t>
      </w:r>
      <w:r>
        <w:rPr>
          <w:rFonts w:ascii="Arial" w:hAnsi="Arial" w:cs="Arial"/>
          <w:sz w:val="22"/>
          <w:szCs w:val="22"/>
        </w:rPr>
        <w:t>a, Kielce oraz Sandomierz</w:t>
      </w:r>
      <w:r w:rsidRPr="00F03869">
        <w:rPr>
          <w:rFonts w:ascii="Arial" w:hAnsi="Arial" w:cs="Arial"/>
          <w:sz w:val="22"/>
          <w:szCs w:val="22"/>
        </w:rPr>
        <w:t xml:space="preserve"> –</w:t>
      </w:r>
      <w:r w:rsidR="00FE1BA1">
        <w:rPr>
          <w:rFonts w:ascii="Arial" w:hAnsi="Arial" w:cs="Arial"/>
          <w:sz w:val="22"/>
          <w:szCs w:val="22"/>
        </w:rPr>
        <w:t xml:space="preserve"> 719 000,00 </w:t>
      </w:r>
      <w:r w:rsidRPr="00F03869">
        <w:rPr>
          <w:rFonts w:ascii="Arial" w:hAnsi="Arial" w:cs="Arial"/>
          <w:sz w:val="22"/>
          <w:szCs w:val="22"/>
        </w:rPr>
        <w:t>zł brutto</w:t>
      </w:r>
      <w:r>
        <w:rPr>
          <w:rFonts w:ascii="Arial" w:hAnsi="Arial" w:cs="Arial"/>
          <w:sz w:val="22"/>
          <w:szCs w:val="22"/>
        </w:rPr>
        <w:t>.</w:t>
      </w:r>
    </w:p>
    <w:p w14:paraId="6A06BBD8" w14:textId="587F26C3" w:rsidR="00531C4C" w:rsidRPr="00531C4C" w:rsidRDefault="00531C4C" w:rsidP="00531C4C">
      <w:pPr>
        <w:pStyle w:val="Akapitzlist"/>
        <w:spacing w:after="0" w:line="276" w:lineRule="auto"/>
        <w:jc w:val="both"/>
        <w:rPr>
          <w:rFonts w:ascii="Arial" w:hAnsi="Arial" w:cs="Arial"/>
          <w:sz w:val="22"/>
          <w:szCs w:val="22"/>
        </w:rPr>
      </w:pPr>
      <w:r w:rsidRPr="00531C4C">
        <w:rPr>
          <w:rFonts w:ascii="Arial" w:hAnsi="Arial" w:cs="Arial"/>
          <w:b/>
          <w:sz w:val="22"/>
          <w:szCs w:val="22"/>
        </w:rPr>
        <w:t xml:space="preserve">Część 4 </w:t>
      </w:r>
      <w:r w:rsidRPr="00531C4C">
        <w:rPr>
          <w:rFonts w:ascii="Arial" w:hAnsi="Arial" w:cs="Arial"/>
          <w:sz w:val="22"/>
          <w:szCs w:val="22"/>
        </w:rPr>
        <w:t>- Sukcesywna dostawa soków do magazynu zlokalizowanego w m. Nowa Dęba, Kielce oraz Sandomierz</w:t>
      </w:r>
      <w:r>
        <w:rPr>
          <w:rFonts w:ascii="Arial" w:hAnsi="Arial" w:cs="Arial"/>
          <w:sz w:val="22"/>
          <w:szCs w:val="22"/>
        </w:rPr>
        <w:t xml:space="preserve"> </w:t>
      </w:r>
      <w:r w:rsidRPr="00F03869">
        <w:rPr>
          <w:rFonts w:ascii="Arial" w:hAnsi="Arial" w:cs="Arial"/>
          <w:sz w:val="22"/>
          <w:szCs w:val="22"/>
        </w:rPr>
        <w:t>–</w:t>
      </w:r>
      <w:r w:rsidR="00FE1BA1">
        <w:rPr>
          <w:rFonts w:ascii="Arial" w:hAnsi="Arial" w:cs="Arial"/>
          <w:sz w:val="22"/>
          <w:szCs w:val="22"/>
        </w:rPr>
        <w:t xml:space="preserve"> 754 000,00 </w:t>
      </w:r>
      <w:r w:rsidRPr="00F03869">
        <w:rPr>
          <w:rFonts w:ascii="Arial" w:hAnsi="Arial" w:cs="Arial"/>
          <w:sz w:val="22"/>
          <w:szCs w:val="22"/>
        </w:rPr>
        <w:t>zł brutto</w:t>
      </w:r>
      <w:r>
        <w:rPr>
          <w:rFonts w:ascii="Arial" w:hAnsi="Arial" w:cs="Arial"/>
          <w:sz w:val="22"/>
          <w:szCs w:val="22"/>
        </w:rPr>
        <w:t>.</w:t>
      </w:r>
    </w:p>
    <w:p w14:paraId="1EE27FE8" w14:textId="5A552E28" w:rsidR="00531C4C" w:rsidRPr="00531C4C" w:rsidRDefault="00531C4C" w:rsidP="00531C4C">
      <w:pPr>
        <w:pStyle w:val="Akapitzlist"/>
        <w:spacing w:after="0" w:line="276" w:lineRule="auto"/>
        <w:jc w:val="both"/>
        <w:rPr>
          <w:rFonts w:ascii="Arial" w:hAnsi="Arial" w:cs="Arial"/>
          <w:sz w:val="22"/>
          <w:szCs w:val="22"/>
        </w:rPr>
      </w:pPr>
      <w:r w:rsidRPr="00531C4C">
        <w:rPr>
          <w:rFonts w:ascii="Arial" w:hAnsi="Arial" w:cs="Arial"/>
          <w:b/>
          <w:sz w:val="22"/>
          <w:szCs w:val="22"/>
        </w:rPr>
        <w:t>Część 5</w:t>
      </w:r>
      <w:r w:rsidRPr="00531C4C">
        <w:rPr>
          <w:rFonts w:ascii="Arial" w:hAnsi="Arial" w:cs="Arial"/>
          <w:sz w:val="22"/>
          <w:szCs w:val="22"/>
        </w:rPr>
        <w:t xml:space="preserve"> - Sukcesywna dostawa produktów roślinnych do magazynu zlokalizowanego w m. Nowa Dęba</w:t>
      </w:r>
      <w:r>
        <w:rPr>
          <w:rFonts w:ascii="Arial" w:hAnsi="Arial" w:cs="Arial"/>
          <w:sz w:val="22"/>
          <w:szCs w:val="22"/>
        </w:rPr>
        <w:t xml:space="preserve"> </w:t>
      </w:r>
      <w:r w:rsidRPr="00F03869">
        <w:rPr>
          <w:rFonts w:ascii="Arial" w:hAnsi="Arial" w:cs="Arial"/>
          <w:sz w:val="22"/>
          <w:szCs w:val="22"/>
        </w:rPr>
        <w:t xml:space="preserve">– </w:t>
      </w:r>
      <w:r w:rsidR="00FE1BA1">
        <w:rPr>
          <w:rFonts w:ascii="Arial" w:hAnsi="Arial" w:cs="Arial"/>
          <w:sz w:val="22"/>
          <w:szCs w:val="22"/>
        </w:rPr>
        <w:t>40 000,00</w:t>
      </w:r>
      <w:r>
        <w:rPr>
          <w:rFonts w:ascii="Arial" w:hAnsi="Arial" w:cs="Arial"/>
          <w:sz w:val="22"/>
          <w:szCs w:val="22"/>
        </w:rPr>
        <w:t xml:space="preserve"> </w:t>
      </w:r>
      <w:r w:rsidRPr="00F03869">
        <w:rPr>
          <w:rFonts w:ascii="Arial" w:hAnsi="Arial" w:cs="Arial"/>
          <w:sz w:val="22"/>
          <w:szCs w:val="22"/>
        </w:rPr>
        <w:t>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688F8632"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sidR="00DC21AA">
        <w:rPr>
          <w:rFonts w:ascii="Arial" w:hAnsi="Arial" w:cs="Arial"/>
          <w:sz w:val="22"/>
          <w:szCs w:val="22"/>
        </w:rPr>
        <w:t xml:space="preserve"> – Formularze szczegółowej wyceny (dla każdej części oddzielnie).</w:t>
      </w:r>
    </w:p>
    <w:p w14:paraId="16734CB3" w14:textId="77777777" w:rsidR="00A62F9B" w:rsidRPr="00170F9A" w:rsidRDefault="00A62F9B" w:rsidP="00A62F9B">
      <w:pPr>
        <w:pStyle w:val="Akapitzlist"/>
        <w:numPr>
          <w:ilvl w:val="0"/>
          <w:numId w:val="2"/>
        </w:numPr>
        <w:spacing w:after="0" w:line="276" w:lineRule="auto"/>
        <w:jc w:val="both"/>
        <w:rPr>
          <w:rFonts w:ascii="Arial" w:hAnsi="Arial" w:cs="Arial"/>
          <w:i/>
          <w:sz w:val="22"/>
          <w:szCs w:val="22"/>
        </w:rPr>
      </w:pPr>
      <w:r w:rsidRPr="00F3602B">
        <w:rPr>
          <w:rFonts w:ascii="Arial" w:hAnsi="Arial" w:cs="Arial"/>
          <w:sz w:val="22"/>
          <w:szCs w:val="22"/>
        </w:rPr>
        <w:t xml:space="preserve">Wykonawca jest zobowiązany </w:t>
      </w:r>
      <w:r>
        <w:rPr>
          <w:rFonts w:ascii="Arial" w:hAnsi="Arial" w:cs="Arial"/>
          <w:sz w:val="22"/>
          <w:szCs w:val="22"/>
        </w:rPr>
        <w:t xml:space="preserve">wskazać w Formularzu szczegółowej wyceny gramaturę opakowania jednostkowego, który będzie dostarczał </w:t>
      </w:r>
      <w:r w:rsidRPr="00F3602B">
        <w:rPr>
          <w:rFonts w:ascii="Arial" w:hAnsi="Arial" w:cs="Arial"/>
          <w:sz w:val="22"/>
          <w:szCs w:val="22"/>
        </w:rPr>
        <w:t>przez cały okres obowiązywania</w:t>
      </w:r>
      <w:r>
        <w:rPr>
          <w:rFonts w:ascii="Arial" w:hAnsi="Arial" w:cs="Arial"/>
          <w:sz w:val="22"/>
          <w:szCs w:val="22"/>
        </w:rPr>
        <w:t xml:space="preserve"> umowy</w:t>
      </w:r>
      <w:r w:rsidRPr="00F3602B">
        <w:rPr>
          <w:rFonts w:ascii="Arial" w:hAnsi="Arial" w:cs="Arial"/>
          <w:sz w:val="22"/>
          <w:szCs w:val="22"/>
        </w:rPr>
        <w:t xml:space="preserve">. </w:t>
      </w:r>
    </w:p>
    <w:p w14:paraId="1E1AB346" w14:textId="7BE6FF3B"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lastRenderedPageBreak/>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26ACB476" w14:textId="5D95571E" w:rsidR="00F57192" w:rsidRDefault="00F57192" w:rsidP="00F57192">
      <w:pPr>
        <w:spacing w:after="0" w:line="276" w:lineRule="auto"/>
        <w:jc w:val="both"/>
        <w:rPr>
          <w:rFonts w:ascii="Arial" w:hAnsi="Arial" w:cs="Arial"/>
          <w:i/>
          <w:sz w:val="22"/>
          <w:szCs w:val="22"/>
        </w:rPr>
      </w:pPr>
    </w:p>
    <w:p w14:paraId="453BF649" w14:textId="77777777" w:rsidR="00F57192" w:rsidRPr="00F57192" w:rsidRDefault="00F57192" w:rsidP="00F57192">
      <w:pPr>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lastRenderedPageBreak/>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448C593D" w:rsidR="008644E2" w:rsidRPr="003A2F7F" w:rsidRDefault="008644E2" w:rsidP="008644E2">
      <w:pPr>
        <w:pStyle w:val="Akapitzlist"/>
        <w:numPr>
          <w:ilvl w:val="0"/>
          <w:numId w:val="1"/>
        </w:numPr>
        <w:spacing w:after="0" w:line="276" w:lineRule="auto"/>
        <w:jc w:val="both"/>
        <w:rPr>
          <w:rFonts w:ascii="Arial" w:hAnsi="Arial" w:cs="Arial"/>
          <w:i/>
          <w:sz w:val="22"/>
          <w:szCs w:val="22"/>
        </w:rPr>
      </w:pPr>
      <w:r w:rsidRPr="003A2F7F">
        <w:rPr>
          <w:rFonts w:ascii="Arial" w:hAnsi="Arial" w:cs="Arial"/>
          <w:b/>
          <w:sz w:val="22"/>
          <w:szCs w:val="22"/>
        </w:rPr>
        <w:t>Kody CPV- według wspólnego słownika zamówień:</w:t>
      </w:r>
    </w:p>
    <w:p w14:paraId="7ED6FF02" w14:textId="77777777" w:rsidR="008644E2" w:rsidRPr="00C55857" w:rsidRDefault="008644E2" w:rsidP="00A7354F">
      <w:pPr>
        <w:pStyle w:val="Akapitzlist"/>
        <w:numPr>
          <w:ilvl w:val="0"/>
          <w:numId w:val="66"/>
        </w:numPr>
        <w:spacing w:after="0" w:line="276" w:lineRule="auto"/>
        <w:jc w:val="both"/>
        <w:rPr>
          <w:rFonts w:ascii="Arial" w:hAnsi="Arial" w:cs="Arial"/>
          <w:b/>
          <w:sz w:val="22"/>
          <w:szCs w:val="22"/>
        </w:rPr>
      </w:pPr>
      <w:r w:rsidRPr="00C55857">
        <w:rPr>
          <w:rFonts w:ascii="Arial" w:hAnsi="Arial" w:cs="Arial"/>
          <w:b/>
          <w:sz w:val="22"/>
          <w:szCs w:val="22"/>
        </w:rPr>
        <w:t>główny kod:</w:t>
      </w:r>
    </w:p>
    <w:p w14:paraId="1901EDD5" w14:textId="77777777" w:rsidR="008644E2" w:rsidRPr="00170F9A" w:rsidRDefault="008644E2" w:rsidP="008644E2">
      <w:pPr>
        <w:pStyle w:val="Akapitzlist"/>
        <w:spacing w:after="0" w:line="276" w:lineRule="auto"/>
        <w:ind w:left="1080"/>
        <w:jc w:val="both"/>
        <w:rPr>
          <w:rFonts w:ascii="Arial" w:hAnsi="Arial" w:cs="Arial"/>
          <w:sz w:val="22"/>
          <w:szCs w:val="22"/>
        </w:rPr>
      </w:pPr>
      <w:r>
        <w:rPr>
          <w:rFonts w:ascii="Arial" w:hAnsi="Arial" w:cs="Arial"/>
          <w:sz w:val="22"/>
          <w:szCs w:val="22"/>
        </w:rPr>
        <w:t>15800000-6 różne produkty spożywcze;</w:t>
      </w:r>
    </w:p>
    <w:p w14:paraId="7A0DD2D3" w14:textId="77777777" w:rsidR="008644E2" w:rsidRPr="00C55857" w:rsidRDefault="008644E2" w:rsidP="00A7354F">
      <w:pPr>
        <w:pStyle w:val="Akapitzlist"/>
        <w:numPr>
          <w:ilvl w:val="0"/>
          <w:numId w:val="66"/>
        </w:numPr>
        <w:spacing w:after="0" w:line="276" w:lineRule="auto"/>
        <w:jc w:val="both"/>
        <w:rPr>
          <w:rFonts w:ascii="Arial" w:hAnsi="Arial" w:cs="Arial"/>
          <w:b/>
          <w:sz w:val="22"/>
          <w:szCs w:val="22"/>
        </w:rPr>
      </w:pPr>
      <w:r w:rsidRPr="00C55857">
        <w:rPr>
          <w:rFonts w:ascii="Arial" w:hAnsi="Arial" w:cs="Arial"/>
          <w:b/>
          <w:sz w:val="22"/>
          <w:szCs w:val="22"/>
        </w:rPr>
        <w:t>dodatkowe kody:</w:t>
      </w:r>
    </w:p>
    <w:p w14:paraId="7F5DEFAB" w14:textId="77777777" w:rsidR="008644E2" w:rsidRPr="00C55857" w:rsidRDefault="008644E2" w:rsidP="00A7354F">
      <w:pPr>
        <w:pStyle w:val="Akapitzlist"/>
        <w:numPr>
          <w:ilvl w:val="1"/>
          <w:numId w:val="67"/>
        </w:numPr>
        <w:spacing w:after="0" w:line="276" w:lineRule="auto"/>
        <w:jc w:val="both"/>
        <w:rPr>
          <w:rFonts w:ascii="Arial" w:hAnsi="Arial" w:cs="Arial"/>
          <w:b/>
          <w:sz w:val="22"/>
          <w:szCs w:val="22"/>
        </w:rPr>
      </w:pPr>
      <w:r w:rsidRPr="00C55857">
        <w:rPr>
          <w:rFonts w:ascii="Arial" w:hAnsi="Arial" w:cs="Arial"/>
          <w:b/>
          <w:sz w:val="22"/>
          <w:szCs w:val="22"/>
        </w:rPr>
        <w:t>część 1:</w:t>
      </w:r>
    </w:p>
    <w:p w14:paraId="51C07F9C" w14:textId="13FD02FE"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15860000-4 kawa i herbata i produkty podobne;</w:t>
      </w:r>
    </w:p>
    <w:p w14:paraId="6C68944D" w14:textId="7B5592F9"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15863000-3 herbata;</w:t>
      </w:r>
    </w:p>
    <w:p w14:paraId="1CF45CE9" w14:textId="10225074"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15861000-1 kawa;</w:t>
      </w:r>
    </w:p>
    <w:p w14:paraId="0F752AA4" w14:textId="4475C78D"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15861100-2 kawa palona;</w:t>
      </w:r>
    </w:p>
    <w:p w14:paraId="094FABD9" w14:textId="77777777" w:rsidR="008644E2" w:rsidRPr="00C55857" w:rsidRDefault="008644E2" w:rsidP="00A7354F">
      <w:pPr>
        <w:pStyle w:val="Akapitzlist"/>
        <w:numPr>
          <w:ilvl w:val="1"/>
          <w:numId w:val="67"/>
        </w:numPr>
        <w:spacing w:after="0" w:line="276" w:lineRule="auto"/>
        <w:jc w:val="both"/>
        <w:rPr>
          <w:rFonts w:ascii="Arial" w:hAnsi="Arial" w:cs="Arial"/>
          <w:b/>
          <w:sz w:val="22"/>
          <w:szCs w:val="22"/>
        </w:rPr>
      </w:pPr>
      <w:r w:rsidRPr="00C55857">
        <w:rPr>
          <w:rFonts w:ascii="Arial" w:hAnsi="Arial" w:cs="Arial"/>
          <w:b/>
          <w:sz w:val="22"/>
          <w:szCs w:val="22"/>
        </w:rPr>
        <w:t>część 2:</w:t>
      </w:r>
    </w:p>
    <w:p w14:paraId="0D1C149E" w14:textId="28601E44" w:rsidR="008644E2" w:rsidRP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15831600-8 miód;</w:t>
      </w:r>
    </w:p>
    <w:p w14:paraId="60EC73B0" w14:textId="672A123B" w:rsidR="008644E2" w:rsidRPr="00C55857" w:rsidRDefault="008644E2" w:rsidP="00A7354F">
      <w:pPr>
        <w:pStyle w:val="Akapitzlist"/>
        <w:numPr>
          <w:ilvl w:val="1"/>
          <w:numId w:val="67"/>
        </w:numPr>
        <w:spacing w:after="0" w:line="276" w:lineRule="auto"/>
        <w:jc w:val="both"/>
        <w:rPr>
          <w:rFonts w:ascii="Arial" w:hAnsi="Arial" w:cs="Arial"/>
          <w:b/>
          <w:sz w:val="22"/>
          <w:szCs w:val="22"/>
        </w:rPr>
      </w:pPr>
      <w:r w:rsidRPr="00C55857">
        <w:rPr>
          <w:rFonts w:ascii="Arial" w:hAnsi="Arial" w:cs="Arial"/>
          <w:b/>
          <w:sz w:val="22"/>
          <w:szCs w:val="22"/>
        </w:rPr>
        <w:t>część 3:</w:t>
      </w:r>
    </w:p>
    <w:p w14:paraId="6A1F15FB" w14:textId="77777777"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15871000-4 ocet, sosy, mieszanki przypraw, mąka i mączka z gorczycy, gotowa musztarda;</w:t>
      </w:r>
    </w:p>
    <w:p w14:paraId="459B1F5E" w14:textId="77777777" w:rsidR="008644E2" w:rsidRPr="009508D7" w:rsidRDefault="008644E2" w:rsidP="008644E2">
      <w:pPr>
        <w:pStyle w:val="Akapitzlist"/>
        <w:spacing w:after="0" w:line="276" w:lineRule="auto"/>
        <w:ind w:left="1440"/>
        <w:jc w:val="both"/>
        <w:rPr>
          <w:rFonts w:ascii="Arial" w:hAnsi="Arial" w:cs="Arial"/>
          <w:sz w:val="22"/>
          <w:szCs w:val="22"/>
        </w:rPr>
      </w:pPr>
      <w:r w:rsidRPr="00E00C79">
        <w:rPr>
          <w:rFonts w:ascii="Arial" w:hAnsi="Arial" w:cs="Arial"/>
          <w:sz w:val="22"/>
          <w:szCs w:val="22"/>
        </w:rPr>
        <w:t>15872000-1 zioła i przyprawy korzenne;</w:t>
      </w:r>
    </w:p>
    <w:p w14:paraId="6B0F232D" w14:textId="77777777"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15890000-3 różne produkty spożywcze i produkty suszone;</w:t>
      </w:r>
    </w:p>
    <w:p w14:paraId="1A68A72A" w14:textId="15E0F928" w:rsid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15871230-5 ketchup;</w:t>
      </w:r>
    </w:p>
    <w:p w14:paraId="72C3346B" w14:textId="173339B5" w:rsidR="008644E2" w:rsidRPr="008644E2" w:rsidRDefault="008644E2" w:rsidP="008644E2">
      <w:pPr>
        <w:pStyle w:val="Akapitzlist"/>
        <w:spacing w:after="0" w:line="276" w:lineRule="auto"/>
        <w:ind w:left="1440"/>
        <w:jc w:val="both"/>
        <w:rPr>
          <w:rFonts w:ascii="Arial" w:hAnsi="Arial" w:cs="Arial"/>
          <w:sz w:val="22"/>
          <w:szCs w:val="22"/>
        </w:rPr>
      </w:pPr>
      <w:r>
        <w:rPr>
          <w:rFonts w:ascii="Arial" w:hAnsi="Arial" w:cs="Arial"/>
          <w:sz w:val="22"/>
          <w:szCs w:val="22"/>
        </w:rPr>
        <w:t>15871250-1 musztarda</w:t>
      </w:r>
      <w:r w:rsidR="003A2F7F">
        <w:rPr>
          <w:rFonts w:ascii="Arial" w:hAnsi="Arial" w:cs="Arial"/>
          <w:sz w:val="22"/>
          <w:szCs w:val="22"/>
        </w:rPr>
        <w:t>;</w:t>
      </w:r>
    </w:p>
    <w:p w14:paraId="6A02D20B" w14:textId="484EEE3D" w:rsidR="003A2F7F" w:rsidRDefault="003A2F7F" w:rsidP="003A2F7F">
      <w:pPr>
        <w:pStyle w:val="Akapitzlist"/>
        <w:numPr>
          <w:ilvl w:val="1"/>
          <w:numId w:val="67"/>
        </w:numPr>
        <w:spacing w:after="0" w:line="276" w:lineRule="auto"/>
        <w:jc w:val="both"/>
        <w:rPr>
          <w:rFonts w:ascii="Arial" w:hAnsi="Arial" w:cs="Arial"/>
          <w:b/>
          <w:sz w:val="22"/>
          <w:szCs w:val="22"/>
        </w:rPr>
      </w:pPr>
      <w:r w:rsidRPr="00C55857">
        <w:rPr>
          <w:rFonts w:ascii="Arial" w:hAnsi="Arial" w:cs="Arial"/>
          <w:b/>
          <w:sz w:val="22"/>
          <w:szCs w:val="22"/>
        </w:rPr>
        <w:t xml:space="preserve">część </w:t>
      </w:r>
      <w:r>
        <w:rPr>
          <w:rFonts w:ascii="Arial" w:hAnsi="Arial" w:cs="Arial"/>
          <w:b/>
          <w:sz w:val="22"/>
          <w:szCs w:val="22"/>
        </w:rPr>
        <w:t>4</w:t>
      </w:r>
      <w:r w:rsidRPr="00C55857">
        <w:rPr>
          <w:rFonts w:ascii="Arial" w:hAnsi="Arial" w:cs="Arial"/>
          <w:b/>
          <w:sz w:val="22"/>
          <w:szCs w:val="22"/>
        </w:rPr>
        <w:t>:</w:t>
      </w:r>
    </w:p>
    <w:p w14:paraId="17167EF1" w14:textId="3A6F5AAF" w:rsidR="003A2F7F" w:rsidRDefault="00C24A0F" w:rsidP="003A2F7F">
      <w:pPr>
        <w:pStyle w:val="Akapitzlist"/>
        <w:spacing w:after="0" w:line="276" w:lineRule="auto"/>
        <w:ind w:left="1440"/>
        <w:jc w:val="both"/>
        <w:rPr>
          <w:rFonts w:ascii="Arial" w:hAnsi="Arial" w:cs="Arial"/>
          <w:sz w:val="22"/>
          <w:szCs w:val="22"/>
        </w:rPr>
      </w:pPr>
      <w:r>
        <w:rPr>
          <w:rFonts w:ascii="Arial" w:hAnsi="Arial" w:cs="Arial"/>
          <w:sz w:val="22"/>
          <w:szCs w:val="22"/>
        </w:rPr>
        <w:t>15980000-1 napoje bezalkoholowe;</w:t>
      </w:r>
    </w:p>
    <w:p w14:paraId="5CF6BF0B" w14:textId="63688F06" w:rsidR="00C24A0F" w:rsidRDefault="00C24A0F" w:rsidP="003A2F7F">
      <w:pPr>
        <w:pStyle w:val="Akapitzlist"/>
        <w:spacing w:after="0" w:line="276" w:lineRule="auto"/>
        <w:ind w:left="1440"/>
        <w:jc w:val="both"/>
        <w:rPr>
          <w:rFonts w:ascii="Arial" w:hAnsi="Arial" w:cs="Arial"/>
          <w:sz w:val="22"/>
          <w:szCs w:val="22"/>
        </w:rPr>
      </w:pPr>
      <w:r>
        <w:rPr>
          <w:rFonts w:ascii="Arial" w:hAnsi="Arial" w:cs="Arial"/>
          <w:sz w:val="22"/>
          <w:szCs w:val="22"/>
        </w:rPr>
        <w:t>15320000-7 soki owocowe i warzywne;</w:t>
      </w:r>
    </w:p>
    <w:p w14:paraId="3D43CDFE" w14:textId="60DAFB8C" w:rsidR="00C24A0F" w:rsidRPr="003A2F7F" w:rsidRDefault="00DC21AA" w:rsidP="003A2F7F">
      <w:pPr>
        <w:pStyle w:val="Akapitzlist"/>
        <w:spacing w:after="0" w:line="276" w:lineRule="auto"/>
        <w:ind w:left="1440"/>
        <w:jc w:val="both"/>
        <w:rPr>
          <w:rFonts w:ascii="Arial" w:hAnsi="Arial" w:cs="Arial"/>
          <w:sz w:val="22"/>
          <w:szCs w:val="22"/>
        </w:rPr>
      </w:pPr>
      <w:r>
        <w:rPr>
          <w:rFonts w:ascii="Arial" w:hAnsi="Arial" w:cs="Arial"/>
          <w:sz w:val="22"/>
          <w:szCs w:val="22"/>
        </w:rPr>
        <w:t>15982000-5 napoje orzeźwiające;</w:t>
      </w:r>
    </w:p>
    <w:p w14:paraId="10BC8FC9" w14:textId="03489BF8" w:rsidR="00C24A0F" w:rsidRPr="00C24A0F" w:rsidRDefault="003A2F7F" w:rsidP="00C24A0F">
      <w:pPr>
        <w:pStyle w:val="Akapitzlist"/>
        <w:numPr>
          <w:ilvl w:val="1"/>
          <w:numId w:val="67"/>
        </w:numPr>
        <w:spacing w:after="0" w:line="276" w:lineRule="auto"/>
        <w:jc w:val="both"/>
        <w:rPr>
          <w:rFonts w:ascii="Arial" w:hAnsi="Arial" w:cs="Arial"/>
          <w:b/>
          <w:sz w:val="22"/>
          <w:szCs w:val="22"/>
        </w:rPr>
      </w:pPr>
      <w:r w:rsidRPr="00C55857">
        <w:rPr>
          <w:rFonts w:ascii="Arial" w:hAnsi="Arial" w:cs="Arial"/>
          <w:b/>
          <w:sz w:val="22"/>
          <w:szCs w:val="22"/>
        </w:rPr>
        <w:t xml:space="preserve">część </w:t>
      </w:r>
      <w:r>
        <w:rPr>
          <w:rFonts w:ascii="Arial" w:hAnsi="Arial" w:cs="Arial"/>
          <w:b/>
          <w:sz w:val="22"/>
          <w:szCs w:val="22"/>
        </w:rPr>
        <w:t>5</w:t>
      </w:r>
      <w:r w:rsidRPr="00C55857">
        <w:rPr>
          <w:rFonts w:ascii="Arial" w:hAnsi="Arial" w:cs="Arial"/>
          <w:b/>
          <w:sz w:val="22"/>
          <w:szCs w:val="22"/>
        </w:rPr>
        <w:t>:</w:t>
      </w:r>
    </w:p>
    <w:p w14:paraId="7DA6C693" w14:textId="271D9544" w:rsidR="00C24A0F" w:rsidRPr="00C24A0F" w:rsidRDefault="00C24A0F" w:rsidP="00C24A0F">
      <w:pPr>
        <w:pStyle w:val="Akapitzlist"/>
        <w:spacing w:after="0" w:line="276" w:lineRule="auto"/>
        <w:ind w:left="1440"/>
        <w:jc w:val="both"/>
        <w:rPr>
          <w:rFonts w:ascii="Arial" w:hAnsi="Arial" w:cs="Arial"/>
          <w:b/>
          <w:sz w:val="22"/>
          <w:szCs w:val="22"/>
        </w:rPr>
      </w:pPr>
      <w:r w:rsidRPr="00C24A0F">
        <w:rPr>
          <w:rFonts w:ascii="Arial" w:hAnsi="Arial" w:cs="Arial"/>
          <w:sz w:val="22"/>
          <w:szCs w:val="22"/>
        </w:rPr>
        <w:t>15800000-6 różne produkty spożywcze;</w:t>
      </w:r>
    </w:p>
    <w:p w14:paraId="2638D867" w14:textId="77777777" w:rsidR="003A2F7F" w:rsidRPr="00C55857" w:rsidRDefault="003A2F7F" w:rsidP="003A2F7F">
      <w:pPr>
        <w:pStyle w:val="Akapitzlist"/>
        <w:spacing w:after="0" w:line="276" w:lineRule="auto"/>
        <w:ind w:left="1440"/>
        <w:jc w:val="both"/>
        <w:rPr>
          <w:rFonts w:ascii="Arial" w:hAnsi="Arial" w:cs="Arial"/>
          <w:b/>
          <w:sz w:val="22"/>
          <w:szCs w:val="22"/>
        </w:rPr>
      </w:pPr>
    </w:p>
    <w:p w14:paraId="63A40C47" w14:textId="77777777" w:rsidR="003A3A62" w:rsidRPr="004369C0" w:rsidRDefault="003A3A62" w:rsidP="004369C0">
      <w:pPr>
        <w:spacing w:after="200" w:line="276" w:lineRule="auto"/>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07418D90" w14:textId="77777777" w:rsidR="00263A96" w:rsidRDefault="00263A96"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3EA9B83E" w14:textId="77777777"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 xml:space="preserve">Dostawa </w:t>
      </w:r>
      <w:r>
        <w:rPr>
          <w:rFonts w:ascii="Arial" w:hAnsi="Arial" w:cs="Arial"/>
          <w:sz w:val="22"/>
          <w:szCs w:val="22"/>
        </w:rPr>
        <w:t xml:space="preserve">produktów </w:t>
      </w:r>
      <w:r w:rsidRPr="00674B6F">
        <w:rPr>
          <w:rFonts w:ascii="Arial" w:hAnsi="Arial" w:cs="Arial"/>
          <w:sz w:val="22"/>
          <w:szCs w:val="22"/>
        </w:rPr>
        <w:t>stanowiąc</w:t>
      </w:r>
      <w:r>
        <w:rPr>
          <w:rFonts w:ascii="Arial" w:hAnsi="Arial" w:cs="Arial"/>
          <w:sz w:val="22"/>
          <w:szCs w:val="22"/>
        </w:rPr>
        <w:t>ych</w:t>
      </w:r>
      <w:r w:rsidRPr="00674B6F">
        <w:rPr>
          <w:rFonts w:ascii="Arial" w:hAnsi="Arial" w:cs="Arial"/>
          <w:sz w:val="22"/>
          <w:szCs w:val="22"/>
        </w:rPr>
        <w:t xml:space="preserve"> przedmiot niniejszego postępowania odbywać się będzie </w:t>
      </w:r>
      <w:r>
        <w:rPr>
          <w:rFonts w:ascii="Arial" w:hAnsi="Arial" w:cs="Arial"/>
          <w:sz w:val="22"/>
          <w:szCs w:val="22"/>
        </w:rPr>
        <w:t>maksymalnie 6 razy w tygodniu.</w:t>
      </w:r>
    </w:p>
    <w:p w14:paraId="5621696B" w14:textId="5AD611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099268E8" w14:textId="55385FEC"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A7354F">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286426F0" w:rsidR="00864E35" w:rsidRDefault="00864E35" w:rsidP="00A7114D">
      <w:pPr>
        <w:spacing w:line="276" w:lineRule="auto"/>
        <w:jc w:val="both"/>
        <w:rPr>
          <w:rFonts w:ascii="Arial" w:hAnsi="Arial" w:cs="Arial"/>
          <w:sz w:val="22"/>
          <w:szCs w:val="22"/>
        </w:rPr>
      </w:pPr>
    </w:p>
    <w:p w14:paraId="2536858E" w14:textId="37AE4D30" w:rsidR="00F57192" w:rsidRDefault="00F57192" w:rsidP="00A7114D">
      <w:pPr>
        <w:spacing w:line="276" w:lineRule="auto"/>
        <w:jc w:val="both"/>
        <w:rPr>
          <w:rFonts w:ascii="Arial" w:hAnsi="Arial" w:cs="Arial"/>
          <w:sz w:val="22"/>
          <w:szCs w:val="22"/>
        </w:rPr>
      </w:pPr>
    </w:p>
    <w:p w14:paraId="34D3F18C" w14:textId="77777777" w:rsidR="00F57192" w:rsidRPr="00A7114D" w:rsidRDefault="00F57192"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0871011" w14:textId="359E455C" w:rsidR="009E41E6" w:rsidRDefault="009E41E6" w:rsidP="009E41E6">
      <w:pPr>
        <w:pStyle w:val="NormalnyWeb"/>
        <w:spacing w:before="0" w:beforeAutospacing="0" w:after="0" w:line="276" w:lineRule="auto"/>
        <w:ind w:left="426" w:right="0" w:firstLine="0"/>
        <w:rPr>
          <w:rFonts w:ascii="Arial" w:eastAsia="Calibri" w:hAnsi="Arial" w:cs="Arial"/>
          <w:sz w:val="22"/>
          <w:szCs w:val="22"/>
          <w:lang w:eastAsia="en-US"/>
        </w:rPr>
      </w:pPr>
    </w:p>
    <w:p w14:paraId="3A7B39E5" w14:textId="77777777" w:rsidR="007330A4" w:rsidRPr="00377193" w:rsidRDefault="007330A4" w:rsidP="009E41E6">
      <w:pPr>
        <w:pStyle w:val="NormalnyWeb"/>
        <w:spacing w:before="0" w:beforeAutospacing="0" w:after="0" w:line="276" w:lineRule="auto"/>
        <w:ind w:left="426"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A64EBC3" w14:textId="77777777" w:rsidR="00E43094" w:rsidRPr="00F03869" w:rsidRDefault="00E43094"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lastRenderedPageBreak/>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0D3DFE5F" w14:textId="06F9509A" w:rsidR="00712B42" w:rsidRDefault="00712B42" w:rsidP="00712B42">
      <w:pPr>
        <w:pStyle w:val="Akapitzlist"/>
        <w:ind w:left="360"/>
        <w:jc w:val="both"/>
        <w:rPr>
          <w:rFonts w:ascii="Arial" w:hAnsi="Arial" w:cs="Arial"/>
          <w:b/>
          <w:sz w:val="22"/>
          <w:szCs w:val="22"/>
          <w:u w:val="single"/>
        </w:rPr>
      </w:pPr>
    </w:p>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lastRenderedPageBreak/>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t>
      </w:r>
      <w:r w:rsidRPr="00D06CD2">
        <w:rPr>
          <w:rFonts w:ascii="Arial" w:hAnsi="Arial" w:cs="Arial"/>
          <w:sz w:val="22"/>
          <w:szCs w:val="22"/>
        </w:rPr>
        <w:lastRenderedPageBreak/>
        <w:t xml:space="preserve">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772A745E" w14:textId="32A07C91" w:rsidR="00377193" w:rsidRPr="00F57192" w:rsidRDefault="00425DE3" w:rsidP="00770D2B">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F5719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05646882" w14:textId="77777777" w:rsidR="00D63FF2"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lastRenderedPageBreak/>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16355A65" w14:textId="1A2BB664" w:rsidR="00D63FF2" w:rsidRPr="00D63FF2" w:rsidRDefault="000B4925" w:rsidP="00D63FF2">
      <w:pPr>
        <w:pStyle w:val="NormalnyWeb"/>
        <w:spacing w:before="0" w:beforeAutospacing="0" w:after="0" w:line="276" w:lineRule="auto"/>
        <w:ind w:left="851" w:right="0" w:firstLine="0"/>
        <w:rPr>
          <w:rFonts w:ascii="Arial" w:eastAsia="Calibri" w:hAnsi="Arial" w:cs="Arial"/>
          <w:i/>
          <w:sz w:val="22"/>
          <w:szCs w:val="22"/>
          <w:lang w:eastAsia="en-US"/>
        </w:rPr>
      </w:pPr>
      <w:hyperlink r:id="rId15" w:history="1">
        <w:r w:rsidR="00D63FF2" w:rsidRPr="00D63FF2">
          <w:rPr>
            <w:rStyle w:val="Hipercze"/>
            <w:rFonts w:ascii="Arial" w:hAnsi="Arial" w:cs="Arial"/>
            <w:i/>
            <w:sz w:val="22"/>
            <w:szCs w:val="22"/>
            <w:shd w:val="clear" w:color="auto" w:fill="FFFFFF"/>
          </w:rPr>
          <w:t>https://platformazakupowa.pl/transakcja/975651</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0B4925"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1"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1"/>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2"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2"/>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lastRenderedPageBreak/>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w:t>
      </w:r>
      <w:r w:rsidRPr="00682ECE">
        <w:rPr>
          <w:rFonts w:ascii="Arial" w:eastAsia="Calibri" w:hAnsi="Arial" w:cs="Arial"/>
          <w:i/>
          <w:sz w:val="22"/>
          <w:szCs w:val="22"/>
          <w:lang w:eastAsia="en-US"/>
        </w:rPr>
        <w:lastRenderedPageBreak/>
        <w:t>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A7354F">
      <w:pPr>
        <w:pStyle w:val="NormalnyWeb"/>
        <w:numPr>
          <w:ilvl w:val="0"/>
          <w:numId w:val="68"/>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A7354F">
      <w:pPr>
        <w:pStyle w:val="Default"/>
        <w:numPr>
          <w:ilvl w:val="0"/>
          <w:numId w:val="68"/>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lastRenderedPageBreak/>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A7354F">
      <w:pPr>
        <w:pStyle w:val="NormalnyWeb"/>
        <w:numPr>
          <w:ilvl w:val="0"/>
          <w:numId w:val="68"/>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Komunikacja w postępowaniu o udzielenie niniejszego zamówienia, w tym składanie ofert, wymiana informacji oraz przekazywanie dokumentów i oświadczeń między 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2272F5AD" w14:textId="17ABBEB1" w:rsidR="00BE5472" w:rsidRPr="00BE5472" w:rsidRDefault="00AB538D" w:rsidP="00A7354F">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5E8B5B85" w14:textId="77777777" w:rsidR="00BE5472" w:rsidRDefault="000B4925" w:rsidP="00BE5472">
      <w:pPr>
        <w:pStyle w:val="pkt"/>
        <w:spacing w:before="0" w:after="0" w:line="276" w:lineRule="auto"/>
        <w:ind w:left="426" w:firstLine="0"/>
        <w:rPr>
          <w:rFonts w:ascii="Arial" w:hAnsi="Arial" w:cs="Arial"/>
          <w:color w:val="0000FF"/>
          <w:sz w:val="22"/>
          <w:szCs w:val="22"/>
        </w:rPr>
      </w:pPr>
      <w:hyperlink r:id="rId18" w:history="1">
        <w:r w:rsidR="00BE5472" w:rsidRPr="00425B62">
          <w:rPr>
            <w:rStyle w:val="Hipercze"/>
            <w:rFonts w:ascii="Arial" w:hAnsi="Arial" w:cs="Arial"/>
            <w:sz w:val="22"/>
            <w:szCs w:val="22"/>
            <w:shd w:val="clear" w:color="auto" w:fill="FFFFFF"/>
          </w:rPr>
          <w:t>https://platformazakupowa.pl/transakcja/975651</w:t>
        </w:r>
      </w:hyperlink>
      <w:r w:rsidR="00576EEF" w:rsidRPr="00576EEF">
        <w:rPr>
          <w:rFonts w:ascii="Arial" w:hAnsi="Arial" w:cs="Arial"/>
          <w:color w:val="0000FF"/>
          <w:sz w:val="22"/>
          <w:szCs w:val="22"/>
        </w:rPr>
        <w:t xml:space="preserve"> </w:t>
      </w:r>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 xml:space="preserve">poprzez </w:t>
      </w:r>
      <w:r w:rsidR="003F41F9" w:rsidRPr="00B34F0A">
        <w:rPr>
          <w:rFonts w:ascii="Arial" w:hAnsi="Arial" w:cs="Arial"/>
          <w:sz w:val="22"/>
          <w:szCs w:val="22"/>
        </w:rPr>
        <w:lastRenderedPageBreak/>
        <w:t>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w:t>
      </w:r>
      <w:r w:rsidRPr="00F03869">
        <w:rPr>
          <w:rFonts w:ascii="Arial" w:hAnsi="Arial" w:cs="Arial"/>
          <w:bCs/>
          <w:sz w:val="22"/>
          <w:szCs w:val="22"/>
        </w:rPr>
        <w:lastRenderedPageBreak/>
        <w:t xml:space="preserve">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lastRenderedPageBreak/>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0B4925"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777ECF1C" w14:textId="58EFEC70" w:rsidR="00A10F56" w:rsidRDefault="00A10F56" w:rsidP="007D4F81">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52324B31" w14:textId="5B45F81A" w:rsidR="0002753F" w:rsidRDefault="00A10F56" w:rsidP="007D4F81">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5FB883EE" w:rsidR="00A702F5" w:rsidRPr="0090670A" w:rsidRDefault="00A702F5" w:rsidP="0090670A">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Wykonawca będzie związany złożoną ofertą przez okres 90 dni tj. do dnia</w:t>
      </w:r>
      <w:r w:rsidR="0090670A">
        <w:rPr>
          <w:rFonts w:ascii="Arial" w:hAnsi="Arial" w:cs="Arial"/>
          <w:sz w:val="22"/>
          <w:szCs w:val="22"/>
        </w:rPr>
        <w:t>:</w:t>
      </w:r>
      <w:r w:rsidR="0090670A">
        <w:rPr>
          <w:rFonts w:ascii="Arial" w:hAnsi="Arial" w:cs="Arial"/>
          <w:sz w:val="22"/>
          <w:szCs w:val="22"/>
        </w:rPr>
        <w:br/>
      </w:r>
      <w:r w:rsidR="0090670A" w:rsidRPr="0090670A">
        <w:rPr>
          <w:rFonts w:ascii="Arial" w:hAnsi="Arial" w:cs="Arial"/>
          <w:b/>
          <w:sz w:val="22"/>
          <w:szCs w:val="22"/>
          <w:u w:val="single"/>
        </w:rPr>
        <w:t>21 stycznia</w:t>
      </w:r>
      <w:r w:rsidRPr="0090670A">
        <w:rPr>
          <w:rFonts w:ascii="Arial" w:hAnsi="Arial" w:cs="Arial"/>
          <w:b/>
          <w:sz w:val="22"/>
          <w:szCs w:val="22"/>
          <w:u w:val="single"/>
        </w:rPr>
        <w:t xml:space="preserve"> 202</w:t>
      </w:r>
      <w:r w:rsidR="0090670A">
        <w:rPr>
          <w:rFonts w:ascii="Arial" w:hAnsi="Arial" w:cs="Arial"/>
          <w:b/>
          <w:sz w:val="22"/>
          <w:szCs w:val="22"/>
          <w:u w:val="single"/>
        </w:rPr>
        <w:t>5</w:t>
      </w:r>
      <w:r w:rsidRPr="0090670A">
        <w:rPr>
          <w:rFonts w:ascii="Arial" w:hAnsi="Arial" w:cs="Arial"/>
          <w:b/>
          <w:sz w:val="22"/>
          <w:szCs w:val="22"/>
          <w:u w:val="single"/>
        </w:rPr>
        <w:t xml:space="preserve">r.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lastRenderedPageBreak/>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453A4126" w14:textId="77777777" w:rsidR="006F09FD" w:rsidRPr="0090670A" w:rsidRDefault="006F09FD" w:rsidP="0090670A">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lastRenderedPageBreak/>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 xml:space="preserve">na </w:t>
      </w:r>
      <w:r w:rsidR="003B766E" w:rsidRPr="003B766E">
        <w:rPr>
          <w:rFonts w:ascii="Arial" w:hAnsi="Arial" w:cs="Arial"/>
          <w:sz w:val="22"/>
          <w:szCs w:val="22"/>
        </w:rPr>
        <w:lastRenderedPageBreak/>
        <w:t>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lastRenderedPageBreak/>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3D3B5814" w14:textId="77777777" w:rsidR="00377CC5" w:rsidRDefault="00377CC5" w:rsidP="001155AF">
      <w:pPr>
        <w:pStyle w:val="Akapitzlist"/>
        <w:ind w:left="0"/>
        <w:jc w:val="both"/>
        <w:rPr>
          <w:rFonts w:ascii="Arial" w:hAnsi="Arial" w:cs="Arial"/>
          <w:sz w:val="22"/>
          <w:szCs w:val="22"/>
        </w:rPr>
      </w:pPr>
    </w:p>
    <w:p w14:paraId="1A567EDD" w14:textId="77777777" w:rsidR="00852F12" w:rsidRDefault="00852F12" w:rsidP="00852F12">
      <w:pPr>
        <w:pStyle w:val="Akapitzlist"/>
        <w:numPr>
          <w:ilvl w:val="0"/>
          <w:numId w:val="71"/>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3CB73C9B"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3A0C61">
        <w:rPr>
          <w:rFonts w:ascii="Arial" w:hAnsi="Arial" w:cs="Arial"/>
          <w:b/>
          <w:sz w:val="22"/>
          <w:szCs w:val="22"/>
        </w:rPr>
        <w:t>20 000,00</w:t>
      </w:r>
      <w:r>
        <w:rPr>
          <w:rFonts w:ascii="Arial" w:hAnsi="Arial" w:cs="Arial"/>
          <w:b/>
          <w:sz w:val="22"/>
          <w:szCs w:val="22"/>
        </w:rPr>
        <w:t xml:space="preserve"> zł;</w:t>
      </w:r>
    </w:p>
    <w:p w14:paraId="528D47F8" w14:textId="4D60B9CC"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Część 2: w zakresie części 2 niniejszego postępowania, Zamawiający nie wymaga zabezpieczenia oferty wadium;</w:t>
      </w:r>
    </w:p>
    <w:p w14:paraId="110ED010" w14:textId="3C344BDA"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3: </w:t>
      </w:r>
      <w:r w:rsidR="003A0C61">
        <w:rPr>
          <w:rFonts w:ascii="Arial" w:hAnsi="Arial" w:cs="Arial"/>
          <w:b/>
          <w:sz w:val="22"/>
          <w:szCs w:val="22"/>
        </w:rPr>
        <w:t>12 000,00</w:t>
      </w:r>
      <w:r>
        <w:rPr>
          <w:rFonts w:ascii="Arial" w:hAnsi="Arial" w:cs="Arial"/>
          <w:b/>
          <w:sz w:val="22"/>
          <w:szCs w:val="22"/>
        </w:rPr>
        <w:t xml:space="preserve"> zł.</w:t>
      </w:r>
    </w:p>
    <w:p w14:paraId="279371A1" w14:textId="2B29A4FC" w:rsidR="0090670A" w:rsidRPr="00187BF3" w:rsidRDefault="0090670A" w:rsidP="0090670A">
      <w:pPr>
        <w:pStyle w:val="Akapitzlist"/>
        <w:spacing w:after="200" w:line="276" w:lineRule="auto"/>
        <w:ind w:left="360"/>
        <w:jc w:val="both"/>
        <w:rPr>
          <w:rFonts w:ascii="Arial" w:hAnsi="Arial" w:cs="Arial"/>
          <w:b/>
          <w:sz w:val="22"/>
          <w:szCs w:val="22"/>
        </w:rPr>
      </w:pPr>
      <w:r>
        <w:rPr>
          <w:rFonts w:ascii="Arial" w:hAnsi="Arial" w:cs="Arial"/>
          <w:b/>
          <w:sz w:val="22"/>
          <w:szCs w:val="22"/>
        </w:rPr>
        <w:t>Część 4: 14 000,00 zł.</w:t>
      </w:r>
    </w:p>
    <w:p w14:paraId="4FC73044" w14:textId="20739F15" w:rsidR="0090670A" w:rsidRPr="0090670A" w:rsidRDefault="0090670A" w:rsidP="0090670A">
      <w:pPr>
        <w:pStyle w:val="Akapitzlist"/>
        <w:spacing w:after="200" w:line="276" w:lineRule="auto"/>
        <w:ind w:left="360"/>
        <w:jc w:val="both"/>
        <w:rPr>
          <w:rFonts w:ascii="Arial" w:hAnsi="Arial" w:cs="Arial"/>
          <w:b/>
          <w:sz w:val="22"/>
          <w:szCs w:val="22"/>
        </w:rPr>
      </w:pPr>
      <w:r>
        <w:rPr>
          <w:rFonts w:ascii="Arial" w:hAnsi="Arial" w:cs="Arial"/>
          <w:b/>
          <w:sz w:val="22"/>
          <w:szCs w:val="22"/>
        </w:rPr>
        <w:t>Część 5: w zakresie części 5 niniejszego postępowania, Zamawiający nie wymaga zabezpieczenia oferty wadium;</w:t>
      </w:r>
    </w:p>
    <w:p w14:paraId="0050AD90" w14:textId="77777777" w:rsidR="00852F12" w:rsidRPr="00F03869" w:rsidRDefault="00852F12" w:rsidP="00852F12">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852F12">
      <w:pPr>
        <w:pStyle w:val="Akapitzlist"/>
        <w:numPr>
          <w:ilvl w:val="0"/>
          <w:numId w:val="71"/>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61EA4230"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3A0C61">
        <w:rPr>
          <w:rFonts w:ascii="Arial" w:hAnsi="Arial" w:cs="Arial"/>
          <w:sz w:val="22"/>
          <w:szCs w:val="22"/>
        </w:rPr>
        <w:t>70</w:t>
      </w:r>
      <w:r>
        <w:rPr>
          <w:rFonts w:ascii="Arial" w:hAnsi="Arial" w:cs="Arial"/>
          <w:sz w:val="22"/>
          <w:szCs w:val="22"/>
        </w:rPr>
        <w:t>/2024</w:t>
      </w:r>
      <w:r w:rsidRPr="00F03869">
        <w:rPr>
          <w:rFonts w:ascii="Arial" w:hAnsi="Arial" w:cs="Arial"/>
          <w:sz w:val="22"/>
          <w:szCs w:val="22"/>
        </w:rPr>
        <w:t>”.</w:t>
      </w:r>
    </w:p>
    <w:p w14:paraId="059F954A" w14:textId="72FA0E0A" w:rsidR="00852F12"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7DF99755" w14:textId="77777777" w:rsidR="003A0C61" w:rsidRPr="00F03869" w:rsidRDefault="003A0C61" w:rsidP="00852F12">
      <w:pPr>
        <w:spacing w:line="276" w:lineRule="auto"/>
        <w:jc w:val="center"/>
        <w:rPr>
          <w:rFonts w:ascii="Arial" w:hAnsi="Arial" w:cs="Arial"/>
          <w:i/>
          <w:color w:val="FF0000"/>
          <w:sz w:val="22"/>
          <w:szCs w:val="22"/>
        </w:rPr>
      </w:pPr>
    </w:p>
    <w:p w14:paraId="562EEE94" w14:textId="77777777" w:rsidR="00852F12" w:rsidRPr="00F27A2A" w:rsidRDefault="00852F12" w:rsidP="00852F12">
      <w:pPr>
        <w:pStyle w:val="Akapitzlist"/>
        <w:numPr>
          <w:ilvl w:val="0"/>
          <w:numId w:val="71"/>
        </w:numPr>
        <w:spacing w:after="200" w:line="276" w:lineRule="auto"/>
        <w:jc w:val="both"/>
        <w:rPr>
          <w:rFonts w:ascii="Arial" w:hAnsi="Arial" w:cs="Arial"/>
          <w:sz w:val="22"/>
          <w:szCs w:val="22"/>
        </w:rPr>
      </w:pPr>
      <w:r w:rsidRPr="00F27A2A">
        <w:rPr>
          <w:rFonts w:ascii="Arial" w:hAnsi="Arial" w:cs="Arial"/>
          <w:sz w:val="22"/>
          <w:szCs w:val="22"/>
        </w:rPr>
        <w:lastRenderedPageBreak/>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852F12">
      <w:pPr>
        <w:pStyle w:val="Akapitzlist"/>
        <w:numPr>
          <w:ilvl w:val="0"/>
          <w:numId w:val="73"/>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13830523"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00E77CD4">
        <w:rPr>
          <w:rFonts w:ascii="Arial" w:hAnsi="Arial" w:cs="Arial"/>
          <w:sz w:val="22"/>
          <w:szCs w:val="22"/>
        </w:rPr>
        <w:t>.</w:t>
      </w:r>
    </w:p>
    <w:p w14:paraId="42A818FC" w14:textId="77777777" w:rsidR="00852F12" w:rsidRPr="00F03869"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45D36499" w14:textId="77777777" w:rsidR="00852F12"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Zasady zwrotu oraz okoliczności zatrzymania wadium określa ustawa z dnia 11 września 2019r. Prawo zamówień publicznych. </w:t>
      </w:r>
    </w:p>
    <w:p w14:paraId="1240257A" w14:textId="77777777" w:rsidR="00D61B6A" w:rsidRPr="0048618C" w:rsidRDefault="00D61B6A" w:rsidP="0048618C">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lastRenderedPageBreak/>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519CE115" w:rsidR="000A430A" w:rsidRPr="0071382E" w:rsidRDefault="007A6E2A" w:rsidP="0071382E">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0A430A" w:rsidRPr="000A430A">
        <w:rPr>
          <w:rFonts w:ascii="Arial" w:hAnsi="Arial" w:cs="Arial"/>
          <w:sz w:val="22"/>
          <w:szCs w:val="22"/>
        </w:rPr>
        <w:br/>
      </w:r>
      <w:r w:rsidR="00F17C5C" w:rsidRPr="000A430A">
        <w:rPr>
          <w:rFonts w:ascii="Arial" w:hAnsi="Arial" w:cs="Arial"/>
          <w:sz w:val="22"/>
          <w:szCs w:val="22"/>
        </w:rPr>
        <w:t>tj.</w:t>
      </w:r>
      <w:r w:rsidR="000A430A">
        <w:rPr>
          <w:rFonts w:ascii="Arial" w:hAnsi="Arial" w:cs="Arial"/>
          <w:sz w:val="22"/>
          <w:szCs w:val="22"/>
        </w:rPr>
        <w:t xml:space="preserve"> </w:t>
      </w:r>
      <w:hyperlink r:id="rId25" w:history="1">
        <w:r w:rsidR="000A430A" w:rsidRPr="000A430A">
          <w:rPr>
            <w:rStyle w:val="Hipercze"/>
            <w:rFonts w:ascii="Arial" w:hAnsi="Arial" w:cs="Arial"/>
            <w:b/>
            <w:sz w:val="22"/>
            <w:szCs w:val="22"/>
            <w:shd w:val="clear" w:color="auto" w:fill="FFFFFF"/>
          </w:rPr>
          <w:t>https://platformazakupowa.pl/transakcja/975651</w:t>
        </w:r>
      </w:hyperlink>
      <w:r w:rsidR="000A430A" w:rsidRPr="000A430A">
        <w:rPr>
          <w:rStyle w:val="Hipercze"/>
          <w:rFonts w:ascii="Arial" w:hAnsi="Arial" w:cs="Arial"/>
          <w:b/>
          <w:sz w:val="22"/>
          <w:szCs w:val="22"/>
          <w:shd w:val="clear" w:color="auto" w:fill="FFFFFF"/>
        </w:rPr>
        <w:t xml:space="preserve"> </w:t>
      </w:r>
      <w:r w:rsidR="000A430A" w:rsidRPr="000A430A">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26298C88" w14:textId="77777777" w:rsidR="009339BA" w:rsidRPr="008F3C54" w:rsidRDefault="009339B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5503CFD7" w14:textId="02E00A10" w:rsidR="00214BE6" w:rsidRDefault="00214BE6" w:rsidP="001138F1">
      <w:pPr>
        <w:pStyle w:val="Bezodstpw"/>
        <w:spacing w:line="276" w:lineRule="auto"/>
        <w:jc w:val="both"/>
        <w:rPr>
          <w:rFonts w:ascii="Arial" w:hAnsi="Arial" w:cs="Arial"/>
          <w:b/>
          <w:sz w:val="22"/>
          <w:szCs w:val="22"/>
          <w:u w:val="single"/>
        </w:rPr>
      </w:pPr>
    </w:p>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03CC81" w14:textId="0F73BED8" w:rsidR="001138F1" w:rsidRPr="001138F1" w:rsidRDefault="00483B02" w:rsidP="00A7354F">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1C0A851B" w14:textId="77777777" w:rsidR="000201F5" w:rsidRDefault="000B4925" w:rsidP="000201F5">
      <w:pPr>
        <w:pStyle w:val="Bezodstpw"/>
        <w:spacing w:line="276" w:lineRule="auto"/>
        <w:ind w:left="284"/>
        <w:jc w:val="both"/>
        <w:rPr>
          <w:rFonts w:ascii="Arial" w:hAnsi="Arial" w:cs="Arial"/>
          <w:b/>
          <w:color w:val="0000FF"/>
          <w:sz w:val="22"/>
          <w:szCs w:val="22"/>
          <w:shd w:val="clear" w:color="auto" w:fill="FFFFFF"/>
        </w:rPr>
      </w:pPr>
      <w:hyperlink r:id="rId26" w:history="1">
        <w:r w:rsidR="001138F1" w:rsidRPr="00425B62">
          <w:rPr>
            <w:rStyle w:val="Hipercze"/>
            <w:rFonts w:ascii="Arial" w:hAnsi="Arial" w:cs="Arial"/>
            <w:b/>
            <w:sz w:val="22"/>
            <w:szCs w:val="22"/>
            <w:shd w:val="clear" w:color="auto" w:fill="FFFFFF"/>
          </w:rPr>
          <w:t>https://platformazakupowa.pl/transakcja/975651</w:t>
        </w:r>
      </w:hyperlink>
      <w:r w:rsidR="001138F1">
        <w:rPr>
          <w:rFonts w:ascii="Arial" w:hAnsi="Arial" w:cs="Arial"/>
          <w:b/>
          <w:color w:val="0000FF"/>
          <w:sz w:val="22"/>
          <w:szCs w:val="22"/>
          <w:shd w:val="clear" w:color="auto" w:fill="FFFFFF"/>
        </w:rPr>
        <w:t>.</w:t>
      </w:r>
    </w:p>
    <w:p w14:paraId="43E8C532" w14:textId="524A9F58"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E77CD4">
        <w:rPr>
          <w:rFonts w:ascii="Arial" w:hAnsi="Arial" w:cs="Arial"/>
          <w:b/>
          <w:sz w:val="22"/>
          <w:szCs w:val="22"/>
        </w:rPr>
        <w:t>24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lastRenderedPageBreak/>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6F75FA60" w14:textId="77777777" w:rsidR="001138F1" w:rsidRPr="00401BE0" w:rsidRDefault="001138F1"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19A72284" w14:textId="41177C73" w:rsidR="00F17C5C" w:rsidRDefault="00F17C5C" w:rsidP="00F17C5C">
      <w:pPr>
        <w:pStyle w:val="Akapitzlist"/>
        <w:ind w:left="360"/>
        <w:jc w:val="both"/>
        <w:rPr>
          <w:rFonts w:ascii="Arial" w:hAnsi="Arial" w:cs="Arial"/>
          <w:b/>
          <w:sz w:val="22"/>
          <w:szCs w:val="22"/>
          <w:u w:val="single"/>
        </w:rPr>
      </w:pPr>
    </w:p>
    <w:p w14:paraId="3D0E2524" w14:textId="77777777" w:rsidR="00377CC5" w:rsidRDefault="00377CC5" w:rsidP="00F17C5C">
      <w:pPr>
        <w:pStyle w:val="Akapitzlist"/>
        <w:ind w:left="360"/>
        <w:jc w:val="both"/>
        <w:rPr>
          <w:rFonts w:ascii="Arial" w:hAnsi="Arial" w:cs="Arial"/>
          <w:b/>
          <w:sz w:val="22"/>
          <w:szCs w:val="22"/>
          <w:u w:val="single"/>
        </w:rPr>
      </w:pPr>
    </w:p>
    <w:p w14:paraId="3BE3DE1F" w14:textId="1239ED46"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E77CD4">
        <w:rPr>
          <w:rFonts w:ascii="Arial" w:hAnsi="Arial" w:cs="Arial"/>
          <w:b/>
          <w:sz w:val="22"/>
          <w:szCs w:val="22"/>
        </w:rPr>
        <w:t>24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1185330B" w:rsidR="00D843AD"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5BB18ECC" w14:textId="77777777" w:rsidR="00620674" w:rsidRDefault="00620674" w:rsidP="00620674">
      <w:pPr>
        <w:numPr>
          <w:ilvl w:val="0"/>
          <w:numId w:val="7"/>
        </w:numPr>
        <w:spacing w:after="0" w:line="276" w:lineRule="auto"/>
        <w:jc w:val="both"/>
        <w:rPr>
          <w:rFonts w:ascii="Arial" w:hAnsi="Arial" w:cs="Arial"/>
          <w:sz w:val="22"/>
          <w:szCs w:val="22"/>
        </w:rPr>
      </w:pPr>
      <w:r>
        <w:rPr>
          <w:rFonts w:ascii="Arial" w:hAnsi="Arial" w:cs="Arial"/>
          <w:sz w:val="22"/>
          <w:szCs w:val="22"/>
        </w:rPr>
        <w:t>Wykonawcy kalkulując cenę oferty zobowiązani są uwzględnić nową stawkę minimalnego wynagrodzenia za pracę obowiązująca od 1 stycznia 2025r., zgodnie z Rozporządzeniem Rady Ministrów z dnia 12 września 2024r. w sprawie wysokości minimalnego wynagrodzenia za pracę oraz wysokości minimalnej stawki godzinowej w 2025r.</w:t>
      </w:r>
    </w:p>
    <w:p w14:paraId="0C6F054A" w14:textId="65EA3846" w:rsidR="00E96DFF" w:rsidRPr="00F03869" w:rsidRDefault="00E96DFF" w:rsidP="00A7354F">
      <w:pPr>
        <w:numPr>
          <w:ilvl w:val="0"/>
          <w:numId w:val="7"/>
        </w:numPr>
        <w:spacing w:after="0" w:line="276" w:lineRule="auto"/>
        <w:jc w:val="both"/>
        <w:rPr>
          <w:rFonts w:ascii="Arial" w:hAnsi="Arial" w:cs="Arial"/>
          <w:sz w:val="22"/>
          <w:szCs w:val="22"/>
        </w:rPr>
      </w:pPr>
      <w:bookmarkStart w:id="4" w:name="_GoBack"/>
      <w:bookmarkEnd w:id="4"/>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lastRenderedPageBreak/>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463A7344" w14:textId="086509A7" w:rsidR="00FB6C4F" w:rsidRDefault="00FB6C4F"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1C6CA9CE"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3F070DD7" w14:textId="289C2B60" w:rsidR="00377CC5" w:rsidRPr="00E77CD4"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77777777"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36DC8F" w14:textId="2019799B"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ECFCCB7" w14:textId="733996D3" w:rsidR="00402335"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035C1331" w14:textId="77777777" w:rsidR="00A33BDB" w:rsidRPr="00645AF6" w:rsidRDefault="00A33BDB" w:rsidP="00402335">
      <w:pPr>
        <w:spacing w:after="0" w:line="240" w:lineRule="auto"/>
        <w:jc w:val="both"/>
        <w:rPr>
          <w:rFonts w:ascii="Arial" w:hAnsi="Arial" w:cs="Arial"/>
          <w:i/>
          <w:iCs/>
          <w:sz w:val="18"/>
          <w:szCs w:val="18"/>
        </w:rPr>
      </w:pP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t>
      </w:r>
      <w:r w:rsidRPr="00645AF6">
        <w:rPr>
          <w:rFonts w:ascii="Arial" w:hAnsi="Arial" w:cs="Arial"/>
          <w:sz w:val="22"/>
          <w:szCs w:val="22"/>
        </w:rPr>
        <w:lastRenderedPageBreak/>
        <w:t xml:space="preserve">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544DC686" w14:textId="77777777" w:rsidR="00263A96" w:rsidRPr="00E77CD4" w:rsidRDefault="00263A96" w:rsidP="00E77CD4">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lastRenderedPageBreak/>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Miejscem zawarcia umowy jest siedziba Zamawiającego tj.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205DC480" w14:textId="77777777" w:rsidR="005530A9" w:rsidRPr="005530A9" w:rsidRDefault="005530A9" w:rsidP="005530A9">
      <w:pPr>
        <w:autoSpaceDE w:val="0"/>
        <w:autoSpaceDN w:val="0"/>
        <w:adjustRightInd w:val="0"/>
        <w:spacing w:after="0" w:line="276" w:lineRule="auto"/>
        <w:jc w:val="both"/>
        <w:rPr>
          <w:rFonts w:ascii="Arial" w:hAnsi="Arial" w:cs="Arial"/>
          <w:sz w:val="22"/>
          <w:szCs w:val="22"/>
        </w:rPr>
      </w:pPr>
    </w:p>
    <w:p w14:paraId="56164A66" w14:textId="77777777" w:rsidR="000F5745" w:rsidRPr="00B869CF" w:rsidRDefault="000F5745"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lastRenderedPageBreak/>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lastRenderedPageBreak/>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16A02FEA" w14:textId="0687BA98" w:rsidR="009153C4" w:rsidRP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2256030B" w14:textId="77777777" w:rsidR="00EE05E2" w:rsidRPr="00263A96" w:rsidRDefault="00EE05E2" w:rsidP="00263A96">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6CBEC45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z dnia 27 kwietnia 2016r.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7"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w:t>
      </w:r>
      <w:r w:rsidR="009D4F2C">
        <w:rPr>
          <w:rFonts w:ascii="Arial" w:hAnsi="Arial" w:cs="Arial"/>
          <w:sz w:val="22"/>
          <w:szCs w:val="22"/>
        </w:rPr>
        <w:lastRenderedPageBreak/>
        <w:t>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40DDD358" w:rsidR="00127FF9" w:rsidRDefault="00127FF9" w:rsidP="00127FF9">
      <w:pPr>
        <w:pStyle w:val="Akapitzlist"/>
        <w:jc w:val="both"/>
        <w:rPr>
          <w:rFonts w:ascii="Arial" w:hAnsi="Arial" w:cs="Arial"/>
          <w:sz w:val="22"/>
          <w:szCs w:val="22"/>
        </w:rPr>
      </w:pPr>
    </w:p>
    <w:p w14:paraId="1901B442" w14:textId="716D0F4E" w:rsidR="00E77CD4" w:rsidRDefault="00E77CD4" w:rsidP="00127FF9">
      <w:pPr>
        <w:pStyle w:val="Akapitzlist"/>
        <w:jc w:val="both"/>
        <w:rPr>
          <w:rFonts w:ascii="Arial" w:hAnsi="Arial" w:cs="Arial"/>
          <w:sz w:val="22"/>
          <w:szCs w:val="22"/>
        </w:rPr>
      </w:pPr>
    </w:p>
    <w:p w14:paraId="7FF1208A" w14:textId="607A3C0D" w:rsidR="00E77CD4" w:rsidRDefault="00E77CD4" w:rsidP="00127FF9">
      <w:pPr>
        <w:pStyle w:val="Akapitzlist"/>
        <w:jc w:val="both"/>
        <w:rPr>
          <w:rFonts w:ascii="Arial" w:hAnsi="Arial" w:cs="Arial"/>
          <w:sz w:val="22"/>
          <w:szCs w:val="22"/>
        </w:rPr>
      </w:pPr>
    </w:p>
    <w:p w14:paraId="4C5EAA8B" w14:textId="66C17EF2" w:rsidR="00E77CD4" w:rsidRDefault="00E77CD4" w:rsidP="00127FF9">
      <w:pPr>
        <w:pStyle w:val="Akapitzlist"/>
        <w:jc w:val="both"/>
        <w:rPr>
          <w:rFonts w:ascii="Arial" w:hAnsi="Arial" w:cs="Arial"/>
          <w:sz w:val="22"/>
          <w:szCs w:val="22"/>
        </w:rPr>
      </w:pPr>
    </w:p>
    <w:p w14:paraId="282FEBB2" w14:textId="5171E713" w:rsidR="00E77CD4" w:rsidRDefault="00E77CD4" w:rsidP="00127FF9">
      <w:pPr>
        <w:pStyle w:val="Akapitzlist"/>
        <w:jc w:val="both"/>
        <w:rPr>
          <w:rFonts w:ascii="Arial" w:hAnsi="Arial" w:cs="Arial"/>
          <w:sz w:val="22"/>
          <w:szCs w:val="22"/>
        </w:rPr>
      </w:pPr>
    </w:p>
    <w:p w14:paraId="19BAB4D2" w14:textId="77777777" w:rsidR="00E77CD4" w:rsidRPr="00F03869" w:rsidRDefault="00E77CD4"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5B60EC0" w14:textId="59800C9F" w:rsidR="00127FF9" w:rsidRDefault="00127FF9" w:rsidP="00127FF9">
      <w:pPr>
        <w:pStyle w:val="Akapitzlist"/>
        <w:jc w:val="both"/>
        <w:rPr>
          <w:rFonts w:ascii="Arial" w:hAnsi="Arial" w:cs="Arial"/>
          <w:sz w:val="22"/>
          <w:szCs w:val="22"/>
        </w:rPr>
      </w:pPr>
    </w:p>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50AFC560" w14:textId="77777777" w:rsidR="00FB020C" w:rsidRDefault="00FB020C" w:rsidP="00F270F4">
      <w:pPr>
        <w:jc w:val="both"/>
        <w:rPr>
          <w:rFonts w:ascii="Arial" w:hAnsi="Arial" w:cs="Arial"/>
          <w:sz w:val="22"/>
          <w:szCs w:val="22"/>
        </w:rPr>
      </w:pPr>
    </w:p>
    <w:p w14:paraId="0233E745" w14:textId="77777777"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1C3BEB0E" w14:textId="77777777" w:rsidR="00FB020C" w:rsidRPr="0083712F" w:rsidRDefault="00FB020C" w:rsidP="00FB020C">
      <w:pPr>
        <w:ind w:left="142"/>
        <w:jc w:val="both"/>
        <w:rPr>
          <w:rFonts w:ascii="Arial" w:hAnsi="Arial" w:cs="Arial"/>
          <w:sz w:val="22"/>
          <w:szCs w:val="22"/>
        </w:rPr>
      </w:pPr>
      <w:r>
        <w:rPr>
          <w:rFonts w:ascii="Arial" w:hAnsi="Arial" w:cs="Arial"/>
          <w:sz w:val="22"/>
          <w:szCs w:val="22"/>
        </w:rPr>
        <w:t>p. Agnieszka TWOREK, dnia: ……………………….., podpis:…………………………………</w:t>
      </w:r>
    </w:p>
    <w:p w14:paraId="56753B39" w14:textId="2BC687E7" w:rsidR="00FB020C" w:rsidRDefault="00FB020C" w:rsidP="00F270F4">
      <w:pPr>
        <w:pStyle w:val="NormalnyWeb"/>
        <w:spacing w:before="0" w:beforeAutospacing="0" w:after="240" w:line="240" w:lineRule="auto"/>
        <w:ind w:left="0" w:firstLine="0"/>
        <w:rPr>
          <w:rFonts w:ascii="Arial" w:hAnsi="Arial" w:cs="Arial"/>
          <w:sz w:val="22"/>
          <w:szCs w:val="22"/>
        </w:rPr>
      </w:pPr>
    </w:p>
    <w:p w14:paraId="12EBC640" w14:textId="77777777" w:rsidR="00377CC5" w:rsidRDefault="00377CC5"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1541F20A" w14:textId="77F90367" w:rsidR="00FB020C" w:rsidRDefault="00F270F4" w:rsidP="00FB020C">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6AA6456B" w14:textId="07C1FCB5" w:rsidR="00377CC5" w:rsidRDefault="00377CC5" w:rsidP="00FB020C">
      <w:pPr>
        <w:ind w:left="142"/>
        <w:jc w:val="both"/>
        <w:rPr>
          <w:rFonts w:ascii="Arial" w:hAnsi="Arial" w:cs="Arial"/>
          <w:sz w:val="22"/>
          <w:szCs w:val="22"/>
        </w:rPr>
      </w:pPr>
    </w:p>
    <w:p w14:paraId="38084F45" w14:textId="77777777" w:rsidR="00377CC5" w:rsidRDefault="00377CC5" w:rsidP="00FB020C">
      <w:pPr>
        <w:ind w:left="142"/>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7624C67C" w14:textId="7BDF748F" w:rsidR="00377CC5" w:rsidRDefault="00377CC5" w:rsidP="00FB020C">
      <w:pPr>
        <w:ind w:left="142"/>
        <w:jc w:val="both"/>
        <w:rPr>
          <w:rFonts w:ascii="Arial" w:hAnsi="Arial" w:cs="Arial"/>
          <w:sz w:val="22"/>
          <w:szCs w:val="22"/>
        </w:rPr>
      </w:pPr>
    </w:p>
    <w:p w14:paraId="46879958" w14:textId="77777777" w:rsidR="00377CC5" w:rsidRPr="00D746F0" w:rsidRDefault="00377CC5" w:rsidP="00FB020C">
      <w:pPr>
        <w:ind w:left="142"/>
        <w:jc w:val="both"/>
        <w:rPr>
          <w:rFonts w:ascii="Arial" w:hAnsi="Arial" w:cs="Arial"/>
          <w:sz w:val="22"/>
          <w:szCs w:val="22"/>
        </w:rPr>
      </w:pPr>
    </w:p>
    <w:p w14:paraId="4A2E98AA"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8A382C1" w14:textId="77777777" w:rsidR="00FB020C" w:rsidRPr="00D746F0"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p w14:paraId="1753EF15" w14:textId="2BC4CDBB" w:rsidR="00645AFC" w:rsidRPr="0063485B" w:rsidRDefault="00645AFC" w:rsidP="0063485B">
      <w:pPr>
        <w:pStyle w:val="NormalnyWeb"/>
        <w:spacing w:before="0" w:beforeAutospacing="0" w:after="240"/>
        <w:rPr>
          <w:rFonts w:ascii="Arial" w:hAnsi="Arial" w:cs="Arial"/>
          <w:i/>
          <w:sz w:val="22"/>
          <w:szCs w:val="22"/>
        </w:rPr>
      </w:pPr>
    </w:p>
    <w:sectPr w:rsidR="00645AFC" w:rsidRPr="0063485B" w:rsidSect="004003B0">
      <w:headerReference w:type="default" r:id="rId28"/>
      <w:footerReference w:type="default" r:id="rId2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0C61F" w14:textId="77777777" w:rsidR="000B4925" w:rsidRDefault="000B4925" w:rsidP="00E809F0">
      <w:pPr>
        <w:spacing w:after="0" w:line="240" w:lineRule="auto"/>
      </w:pPr>
      <w:r>
        <w:separator/>
      </w:r>
    </w:p>
  </w:endnote>
  <w:endnote w:type="continuationSeparator" w:id="0">
    <w:p w14:paraId="75FBB7CD" w14:textId="77777777" w:rsidR="000B4925" w:rsidRDefault="000B4925"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3A2F7F" w:rsidRDefault="003A2F7F">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3A2F7F" w:rsidRDefault="003A2F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C70A9" w14:textId="77777777" w:rsidR="000B4925" w:rsidRDefault="000B4925" w:rsidP="00E809F0">
      <w:pPr>
        <w:spacing w:after="0" w:line="240" w:lineRule="auto"/>
      </w:pPr>
      <w:r>
        <w:separator/>
      </w:r>
    </w:p>
  </w:footnote>
  <w:footnote w:type="continuationSeparator" w:id="0">
    <w:p w14:paraId="16E21EBC" w14:textId="77777777" w:rsidR="000B4925" w:rsidRDefault="000B4925"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5DE13486" w:rsidR="003A2F7F" w:rsidRPr="0019415E" w:rsidRDefault="003A2F7F"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70</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C315FB"/>
    <w:multiLevelType w:val="hybridMultilevel"/>
    <w:tmpl w:val="C30A07C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7419BC"/>
    <w:multiLevelType w:val="hybridMultilevel"/>
    <w:tmpl w:val="BCBAA534"/>
    <w:lvl w:ilvl="0" w:tplc="7CFA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8"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1"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4AF14753"/>
    <w:multiLevelType w:val="hybridMultilevel"/>
    <w:tmpl w:val="DF0A4314"/>
    <w:lvl w:ilvl="0" w:tplc="EC204C4A">
      <w:start w:val="1"/>
      <w:numFmt w:val="decimal"/>
      <w:lvlText w:val="%1."/>
      <w:lvlJc w:val="left"/>
      <w:pPr>
        <w:ind w:left="502" w:hanging="360"/>
      </w:pPr>
      <w:rPr>
        <w:rFonts w:ascii="Arial" w:eastAsia="Times New Roman" w:hAnsi="Arial" w:cs="Arial"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4"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9"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3"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1"/>
  </w:num>
  <w:num w:numId="2">
    <w:abstractNumId w:val="30"/>
  </w:num>
  <w:num w:numId="3">
    <w:abstractNumId w:val="31"/>
  </w:num>
  <w:num w:numId="4">
    <w:abstractNumId w:val="27"/>
  </w:num>
  <w:num w:numId="5">
    <w:abstractNumId w:val="9"/>
  </w:num>
  <w:num w:numId="6">
    <w:abstractNumId w:val="52"/>
  </w:num>
  <w:num w:numId="7">
    <w:abstractNumId w:val="23"/>
  </w:num>
  <w:num w:numId="8">
    <w:abstractNumId w:val="71"/>
  </w:num>
  <w:num w:numId="9">
    <w:abstractNumId w:val="46"/>
  </w:num>
  <w:num w:numId="10">
    <w:abstractNumId w:val="63"/>
  </w:num>
  <w:num w:numId="11">
    <w:abstractNumId w:val="29"/>
  </w:num>
  <w:num w:numId="12">
    <w:abstractNumId w:val="73"/>
  </w:num>
  <w:num w:numId="13">
    <w:abstractNumId w:val="35"/>
  </w:num>
  <w:num w:numId="14">
    <w:abstractNumId w:val="72"/>
  </w:num>
  <w:num w:numId="15">
    <w:abstractNumId w:val="62"/>
  </w:num>
  <w:num w:numId="16">
    <w:abstractNumId w:val="44"/>
  </w:num>
  <w:num w:numId="17">
    <w:abstractNumId w:val="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5"/>
  </w:num>
  <w:num w:numId="21">
    <w:abstractNumId w:val="22"/>
  </w:num>
  <w:num w:numId="22">
    <w:abstractNumId w:val="26"/>
  </w:num>
  <w:num w:numId="23">
    <w:abstractNumId w:val="69"/>
  </w:num>
  <w:num w:numId="24">
    <w:abstractNumId w:val="66"/>
  </w:num>
  <w:num w:numId="25">
    <w:abstractNumId w:val="70"/>
  </w:num>
  <w:num w:numId="26">
    <w:abstractNumId w:val="36"/>
  </w:num>
  <w:num w:numId="27">
    <w:abstractNumId w:val="16"/>
  </w:num>
  <w:num w:numId="28">
    <w:abstractNumId w:val="3"/>
  </w:num>
  <w:num w:numId="29">
    <w:abstractNumId w:val="60"/>
  </w:num>
  <w:num w:numId="30">
    <w:abstractNumId w:val="17"/>
  </w:num>
  <w:num w:numId="31">
    <w:abstractNumId w:val="67"/>
  </w:num>
  <w:num w:numId="32">
    <w:abstractNumId w:val="38"/>
  </w:num>
  <w:num w:numId="33">
    <w:abstractNumId w:val="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64"/>
  </w:num>
  <w:num w:numId="40">
    <w:abstractNumId w:val="41"/>
  </w:num>
  <w:num w:numId="41">
    <w:abstractNumId w:val="12"/>
  </w:num>
  <w:num w:numId="42">
    <w:abstractNumId w:val="37"/>
  </w:num>
  <w:num w:numId="43">
    <w:abstractNumId w:val="7"/>
  </w:num>
  <w:num w:numId="44">
    <w:abstractNumId w:val="58"/>
  </w:num>
  <w:num w:numId="45">
    <w:abstractNumId w:val="53"/>
  </w:num>
  <w:num w:numId="46">
    <w:abstractNumId w:val="39"/>
  </w:num>
  <w:num w:numId="47">
    <w:abstractNumId w:val="59"/>
  </w:num>
  <w:num w:numId="48">
    <w:abstractNumId w:val="40"/>
  </w:num>
  <w:num w:numId="49">
    <w:abstractNumId w:val="56"/>
  </w:num>
  <w:num w:numId="50">
    <w:abstractNumId w:val="19"/>
  </w:num>
  <w:num w:numId="51">
    <w:abstractNumId w:val="11"/>
  </w:num>
  <w:num w:numId="52">
    <w:abstractNumId w:val="24"/>
  </w:num>
  <w:num w:numId="53">
    <w:abstractNumId w:val="14"/>
  </w:num>
  <w:num w:numId="54">
    <w:abstractNumId w:val="2"/>
  </w:num>
  <w:num w:numId="55">
    <w:abstractNumId w:val="65"/>
  </w:num>
  <w:num w:numId="56">
    <w:abstractNumId w:val="6"/>
  </w:num>
  <w:num w:numId="57">
    <w:abstractNumId w:val="32"/>
  </w:num>
  <w:num w:numId="58">
    <w:abstractNumId w:val="50"/>
  </w:num>
  <w:num w:numId="59">
    <w:abstractNumId w:val="15"/>
  </w:num>
  <w:num w:numId="60">
    <w:abstractNumId w:val="13"/>
  </w:num>
  <w:num w:numId="61">
    <w:abstractNumId w:val="68"/>
  </w:num>
  <w:num w:numId="62">
    <w:abstractNumId w:val="54"/>
  </w:num>
  <w:num w:numId="63">
    <w:abstractNumId w:val="25"/>
  </w:num>
  <w:num w:numId="64">
    <w:abstractNumId w:val="55"/>
  </w:num>
  <w:num w:numId="65">
    <w:abstractNumId w:val="43"/>
  </w:num>
  <w:num w:numId="66">
    <w:abstractNumId w:val="21"/>
  </w:num>
  <w:num w:numId="67">
    <w:abstractNumId w:val="20"/>
  </w:num>
  <w:num w:numId="68">
    <w:abstractNumId w:val="47"/>
  </w:num>
  <w:num w:numId="69">
    <w:abstractNumId w:val="42"/>
  </w:num>
  <w:num w:numId="70">
    <w:abstractNumId w:val="57"/>
  </w:num>
  <w:num w:numId="71">
    <w:abstractNumId w:val="51"/>
  </w:num>
  <w:num w:numId="72">
    <w:abstractNumId w:val="49"/>
  </w:num>
  <w:num w:numId="73">
    <w:abstractNumId w:val="28"/>
  </w:num>
  <w:num w:numId="74">
    <w:abstractNumId w:val="34"/>
  </w:num>
  <w:num w:numId="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6232"/>
    <w:rsid w:val="00044103"/>
    <w:rsid w:val="000476AF"/>
    <w:rsid w:val="00047F9C"/>
    <w:rsid w:val="00050B90"/>
    <w:rsid w:val="0005172A"/>
    <w:rsid w:val="000525F9"/>
    <w:rsid w:val="00055B6A"/>
    <w:rsid w:val="000617C1"/>
    <w:rsid w:val="00064CBB"/>
    <w:rsid w:val="00066BA2"/>
    <w:rsid w:val="00073A4A"/>
    <w:rsid w:val="00081CAC"/>
    <w:rsid w:val="0008420C"/>
    <w:rsid w:val="000861F8"/>
    <w:rsid w:val="0009419F"/>
    <w:rsid w:val="00096DC9"/>
    <w:rsid w:val="0009738F"/>
    <w:rsid w:val="00097FB5"/>
    <w:rsid w:val="000A430A"/>
    <w:rsid w:val="000A6CE4"/>
    <w:rsid w:val="000B1C73"/>
    <w:rsid w:val="000B39EA"/>
    <w:rsid w:val="000B4925"/>
    <w:rsid w:val="000B6D23"/>
    <w:rsid w:val="000B6E5D"/>
    <w:rsid w:val="000B7637"/>
    <w:rsid w:val="000B77AD"/>
    <w:rsid w:val="000C0547"/>
    <w:rsid w:val="000C2F35"/>
    <w:rsid w:val="000C6C2B"/>
    <w:rsid w:val="000C7068"/>
    <w:rsid w:val="000D0847"/>
    <w:rsid w:val="000D2760"/>
    <w:rsid w:val="000D3AEA"/>
    <w:rsid w:val="000D42E4"/>
    <w:rsid w:val="000D622B"/>
    <w:rsid w:val="000D76E6"/>
    <w:rsid w:val="000E10D1"/>
    <w:rsid w:val="000E11AE"/>
    <w:rsid w:val="000E50C8"/>
    <w:rsid w:val="000E6790"/>
    <w:rsid w:val="000F5745"/>
    <w:rsid w:val="00102329"/>
    <w:rsid w:val="00103D34"/>
    <w:rsid w:val="00104C67"/>
    <w:rsid w:val="00105E0D"/>
    <w:rsid w:val="00111601"/>
    <w:rsid w:val="0011304D"/>
    <w:rsid w:val="001138F1"/>
    <w:rsid w:val="001155AF"/>
    <w:rsid w:val="00117F73"/>
    <w:rsid w:val="00120F0A"/>
    <w:rsid w:val="00121DBD"/>
    <w:rsid w:val="0012282C"/>
    <w:rsid w:val="00123B0D"/>
    <w:rsid w:val="001271DE"/>
    <w:rsid w:val="00127FF9"/>
    <w:rsid w:val="00131BE3"/>
    <w:rsid w:val="001336BA"/>
    <w:rsid w:val="00135843"/>
    <w:rsid w:val="0014378B"/>
    <w:rsid w:val="0014467E"/>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D0529"/>
    <w:rsid w:val="001D5AB6"/>
    <w:rsid w:val="001D5C73"/>
    <w:rsid w:val="001E3892"/>
    <w:rsid w:val="001E50C2"/>
    <w:rsid w:val="001E6930"/>
    <w:rsid w:val="001E6D60"/>
    <w:rsid w:val="001F0425"/>
    <w:rsid w:val="001F1C51"/>
    <w:rsid w:val="001F38CB"/>
    <w:rsid w:val="001F54C4"/>
    <w:rsid w:val="001F74B0"/>
    <w:rsid w:val="0020540C"/>
    <w:rsid w:val="002073B6"/>
    <w:rsid w:val="00211C3B"/>
    <w:rsid w:val="002127BC"/>
    <w:rsid w:val="002143C4"/>
    <w:rsid w:val="00214BE6"/>
    <w:rsid w:val="00217C10"/>
    <w:rsid w:val="00220CF4"/>
    <w:rsid w:val="00224152"/>
    <w:rsid w:val="00231BCC"/>
    <w:rsid w:val="00231CB8"/>
    <w:rsid w:val="00232F4C"/>
    <w:rsid w:val="00233D70"/>
    <w:rsid w:val="00233FE3"/>
    <w:rsid w:val="00236A68"/>
    <w:rsid w:val="002404E1"/>
    <w:rsid w:val="00243285"/>
    <w:rsid w:val="00245E5C"/>
    <w:rsid w:val="00245FE1"/>
    <w:rsid w:val="00250313"/>
    <w:rsid w:val="00255C62"/>
    <w:rsid w:val="002624DD"/>
    <w:rsid w:val="00263A96"/>
    <w:rsid w:val="00264390"/>
    <w:rsid w:val="00264F80"/>
    <w:rsid w:val="002671B3"/>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5DB7"/>
    <w:rsid w:val="002F144B"/>
    <w:rsid w:val="002F2F66"/>
    <w:rsid w:val="002F6F3F"/>
    <w:rsid w:val="00311087"/>
    <w:rsid w:val="00321BC5"/>
    <w:rsid w:val="0032339A"/>
    <w:rsid w:val="00326309"/>
    <w:rsid w:val="0033124F"/>
    <w:rsid w:val="00343779"/>
    <w:rsid w:val="0034440F"/>
    <w:rsid w:val="00350F7C"/>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0C61"/>
    <w:rsid w:val="003A2F7F"/>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127C4"/>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1C4C"/>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31"/>
    <w:rsid w:val="005C04C1"/>
    <w:rsid w:val="005C2267"/>
    <w:rsid w:val="005C6C6B"/>
    <w:rsid w:val="005C6D0E"/>
    <w:rsid w:val="005D0AB4"/>
    <w:rsid w:val="005D2B01"/>
    <w:rsid w:val="005D39B3"/>
    <w:rsid w:val="005D5B6F"/>
    <w:rsid w:val="005E6BAC"/>
    <w:rsid w:val="005E7DCB"/>
    <w:rsid w:val="005F073E"/>
    <w:rsid w:val="005F7042"/>
    <w:rsid w:val="005F7CD7"/>
    <w:rsid w:val="006014D9"/>
    <w:rsid w:val="00602C2E"/>
    <w:rsid w:val="00602E6F"/>
    <w:rsid w:val="00605CAD"/>
    <w:rsid w:val="00606EA3"/>
    <w:rsid w:val="00607AFF"/>
    <w:rsid w:val="00610D9C"/>
    <w:rsid w:val="006125C6"/>
    <w:rsid w:val="00613740"/>
    <w:rsid w:val="00616C8A"/>
    <w:rsid w:val="00620674"/>
    <w:rsid w:val="0062253D"/>
    <w:rsid w:val="00622FC7"/>
    <w:rsid w:val="006248B6"/>
    <w:rsid w:val="006263B4"/>
    <w:rsid w:val="0063485B"/>
    <w:rsid w:val="006360D9"/>
    <w:rsid w:val="006404A0"/>
    <w:rsid w:val="00640DA1"/>
    <w:rsid w:val="00644DAA"/>
    <w:rsid w:val="00645AF6"/>
    <w:rsid w:val="00645AFC"/>
    <w:rsid w:val="00646FBD"/>
    <w:rsid w:val="00661C65"/>
    <w:rsid w:val="006632F1"/>
    <w:rsid w:val="006653F3"/>
    <w:rsid w:val="00670C25"/>
    <w:rsid w:val="006718F0"/>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E7360"/>
    <w:rsid w:val="006F09FD"/>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23B7"/>
    <w:rsid w:val="007269DB"/>
    <w:rsid w:val="00732F48"/>
    <w:rsid w:val="007330A4"/>
    <w:rsid w:val="0073637B"/>
    <w:rsid w:val="0073673E"/>
    <w:rsid w:val="00740280"/>
    <w:rsid w:val="00740C0A"/>
    <w:rsid w:val="00741124"/>
    <w:rsid w:val="00745DA0"/>
    <w:rsid w:val="00750D01"/>
    <w:rsid w:val="007535AD"/>
    <w:rsid w:val="00761EC1"/>
    <w:rsid w:val="0076580C"/>
    <w:rsid w:val="00765DB0"/>
    <w:rsid w:val="00770D2B"/>
    <w:rsid w:val="007725EA"/>
    <w:rsid w:val="00781BFB"/>
    <w:rsid w:val="00784F3E"/>
    <w:rsid w:val="00785564"/>
    <w:rsid w:val="00786E04"/>
    <w:rsid w:val="00787FE2"/>
    <w:rsid w:val="00792B53"/>
    <w:rsid w:val="00793627"/>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0FA"/>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5F8B"/>
    <w:rsid w:val="008964E4"/>
    <w:rsid w:val="00897919"/>
    <w:rsid w:val="008A0F98"/>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2205"/>
    <w:rsid w:val="008E57D2"/>
    <w:rsid w:val="008E6DC9"/>
    <w:rsid w:val="008F1FA3"/>
    <w:rsid w:val="008F2031"/>
    <w:rsid w:val="008F20AE"/>
    <w:rsid w:val="008F3C54"/>
    <w:rsid w:val="008F5FC2"/>
    <w:rsid w:val="008F72C8"/>
    <w:rsid w:val="0090268F"/>
    <w:rsid w:val="00903D07"/>
    <w:rsid w:val="00904CC8"/>
    <w:rsid w:val="00905C97"/>
    <w:rsid w:val="0090670A"/>
    <w:rsid w:val="009153C4"/>
    <w:rsid w:val="009236AE"/>
    <w:rsid w:val="0092582C"/>
    <w:rsid w:val="00926754"/>
    <w:rsid w:val="00927CBC"/>
    <w:rsid w:val="009339BA"/>
    <w:rsid w:val="00934A2C"/>
    <w:rsid w:val="009366C7"/>
    <w:rsid w:val="00937166"/>
    <w:rsid w:val="00944B41"/>
    <w:rsid w:val="00952BB4"/>
    <w:rsid w:val="00953769"/>
    <w:rsid w:val="00953CC7"/>
    <w:rsid w:val="009547D7"/>
    <w:rsid w:val="00954CA4"/>
    <w:rsid w:val="00964D82"/>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987"/>
    <w:rsid w:val="00AB4260"/>
    <w:rsid w:val="00AB538D"/>
    <w:rsid w:val="00AC131E"/>
    <w:rsid w:val="00AC17FE"/>
    <w:rsid w:val="00AC287B"/>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61DB"/>
    <w:rsid w:val="00B47A00"/>
    <w:rsid w:val="00B546D5"/>
    <w:rsid w:val="00B5476F"/>
    <w:rsid w:val="00B67A8C"/>
    <w:rsid w:val="00B70E0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219"/>
    <w:rsid w:val="00C05AC6"/>
    <w:rsid w:val="00C06866"/>
    <w:rsid w:val="00C107D6"/>
    <w:rsid w:val="00C10B6D"/>
    <w:rsid w:val="00C13D1C"/>
    <w:rsid w:val="00C15B90"/>
    <w:rsid w:val="00C20458"/>
    <w:rsid w:val="00C24A0F"/>
    <w:rsid w:val="00C26907"/>
    <w:rsid w:val="00C27BEE"/>
    <w:rsid w:val="00C336E0"/>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22F9"/>
    <w:rsid w:val="00CA2536"/>
    <w:rsid w:val="00CA5F37"/>
    <w:rsid w:val="00CA60F3"/>
    <w:rsid w:val="00CA6449"/>
    <w:rsid w:val="00CB2BE7"/>
    <w:rsid w:val="00CB4B5E"/>
    <w:rsid w:val="00CB6667"/>
    <w:rsid w:val="00CC53A6"/>
    <w:rsid w:val="00CC59CA"/>
    <w:rsid w:val="00CC59CC"/>
    <w:rsid w:val="00CD6455"/>
    <w:rsid w:val="00CD7269"/>
    <w:rsid w:val="00CD7D10"/>
    <w:rsid w:val="00CE3461"/>
    <w:rsid w:val="00CE52CA"/>
    <w:rsid w:val="00CE581C"/>
    <w:rsid w:val="00CE65C5"/>
    <w:rsid w:val="00CE6E9E"/>
    <w:rsid w:val="00CE7F06"/>
    <w:rsid w:val="00D06A17"/>
    <w:rsid w:val="00D06CD2"/>
    <w:rsid w:val="00D11663"/>
    <w:rsid w:val="00D1624E"/>
    <w:rsid w:val="00D16953"/>
    <w:rsid w:val="00D17EF3"/>
    <w:rsid w:val="00D24427"/>
    <w:rsid w:val="00D30FBE"/>
    <w:rsid w:val="00D31B1D"/>
    <w:rsid w:val="00D32201"/>
    <w:rsid w:val="00D37D37"/>
    <w:rsid w:val="00D41648"/>
    <w:rsid w:val="00D41E34"/>
    <w:rsid w:val="00D46763"/>
    <w:rsid w:val="00D50005"/>
    <w:rsid w:val="00D53869"/>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1AA"/>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2D07"/>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77CD4"/>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E15"/>
    <w:rsid w:val="00EF746C"/>
    <w:rsid w:val="00EF78E6"/>
    <w:rsid w:val="00F0012F"/>
    <w:rsid w:val="00F015F9"/>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57192"/>
    <w:rsid w:val="00F602CD"/>
    <w:rsid w:val="00F62A57"/>
    <w:rsid w:val="00F65DBA"/>
    <w:rsid w:val="00F66A89"/>
    <w:rsid w:val="00F712FB"/>
    <w:rsid w:val="00F770D1"/>
    <w:rsid w:val="00F77185"/>
    <w:rsid w:val="00F80305"/>
    <w:rsid w:val="00F82907"/>
    <w:rsid w:val="00F8490B"/>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E1BA1"/>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7491">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975651" TargetMode="External"/><Relationship Id="rId26" Type="http://schemas.openxmlformats.org/officeDocument/2006/relationships/hyperlink" Target="https://platformazakupowa.pl/transakcja/975651"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975651"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75651"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975651" TargetMode="External"/><Relationship Id="rId23" Type="http://schemas.openxmlformats.org/officeDocument/2006/relationships/hyperlink" Target="https://platformazakupowa.pl" TargetMode="External"/><Relationship Id="rId28"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mailto:33wog.iodo@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A9BB065-5EC7-4B61-9152-73118643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36</Pages>
  <Words>13350</Words>
  <Characters>80103</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11</cp:revision>
  <cp:lastPrinted>2024-09-18T11:28:00Z</cp:lastPrinted>
  <dcterms:created xsi:type="dcterms:W3CDTF">2024-09-03T13:27:00Z</dcterms:created>
  <dcterms:modified xsi:type="dcterms:W3CDTF">2024-09-20T08:10:00Z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