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A142" w14:textId="10EF9D5F" w:rsidR="00CF507D" w:rsidRPr="000E7CD3" w:rsidRDefault="000E7CD3" w:rsidP="00CF507D">
      <w:pPr>
        <w:jc w:val="right"/>
        <w:rPr>
          <w:rFonts w:cs="Times New Roman"/>
          <w:i/>
        </w:rPr>
      </w:pPr>
      <w:r>
        <w:rPr>
          <w:rFonts w:cs="Times New Roman"/>
        </w:rPr>
        <w:t>Ł</w:t>
      </w:r>
      <w:r w:rsidR="00CF507D" w:rsidRPr="000E7CD3">
        <w:rPr>
          <w:rFonts w:cs="Times New Roman"/>
        </w:rPr>
        <w:t xml:space="preserve">ódź dnia </w:t>
      </w:r>
      <w:r w:rsidR="00EF38FC">
        <w:rPr>
          <w:rFonts w:cs="Times New Roman"/>
        </w:rPr>
        <w:t>04</w:t>
      </w:r>
      <w:r w:rsidR="00C3451B">
        <w:rPr>
          <w:rFonts w:cs="Times New Roman"/>
        </w:rPr>
        <w:t>.</w:t>
      </w:r>
      <w:r w:rsidR="00EF38FC">
        <w:rPr>
          <w:rFonts w:cs="Times New Roman"/>
        </w:rPr>
        <w:t>0</w:t>
      </w:r>
      <w:r w:rsidR="005277A8">
        <w:rPr>
          <w:rFonts w:cs="Times New Roman"/>
        </w:rPr>
        <w:t>1</w:t>
      </w:r>
      <w:r w:rsidR="00CF507D" w:rsidRPr="000E7CD3">
        <w:rPr>
          <w:rFonts w:cs="Times New Roman"/>
        </w:rPr>
        <w:t>.202</w:t>
      </w:r>
      <w:r w:rsidR="00DF76A9">
        <w:rPr>
          <w:rFonts w:cs="Times New Roman"/>
        </w:rPr>
        <w:t>4</w:t>
      </w:r>
      <w:r w:rsidR="00CF507D" w:rsidRPr="000E7CD3">
        <w:rPr>
          <w:rFonts w:cs="Times New Roman"/>
        </w:rPr>
        <w:t xml:space="preserve"> r. </w:t>
      </w:r>
    </w:p>
    <w:p w14:paraId="60A80FF4" w14:textId="77777777" w:rsidR="00CF507D" w:rsidRPr="000E7CD3" w:rsidRDefault="00CF507D" w:rsidP="00CF507D">
      <w:pPr>
        <w:jc w:val="both"/>
        <w:rPr>
          <w:rFonts w:cs="Times New Roman"/>
        </w:rPr>
      </w:pPr>
    </w:p>
    <w:p w14:paraId="7EF16E82" w14:textId="77777777" w:rsidR="00CF507D" w:rsidRPr="000E7CD3" w:rsidRDefault="00CF507D" w:rsidP="00CF507D">
      <w:pPr>
        <w:jc w:val="right"/>
        <w:rPr>
          <w:rFonts w:cs="Times New Roman"/>
          <w:b/>
          <w:u w:val="single"/>
        </w:rPr>
      </w:pPr>
      <w:r w:rsidRPr="000E7CD3">
        <w:rPr>
          <w:rFonts w:cs="Times New Roman"/>
          <w:b/>
          <w:bCs/>
        </w:rPr>
        <w:tab/>
      </w:r>
      <w:r w:rsidRPr="000E7CD3">
        <w:rPr>
          <w:rFonts w:cs="Times New Roman"/>
          <w:b/>
          <w:bCs/>
        </w:rPr>
        <w:tab/>
      </w:r>
      <w:r w:rsidRPr="000E7CD3">
        <w:rPr>
          <w:rFonts w:cs="Times New Roman"/>
          <w:b/>
          <w:bCs/>
        </w:rPr>
        <w:tab/>
      </w:r>
      <w:r w:rsidRPr="000E7CD3">
        <w:rPr>
          <w:rFonts w:cs="Times New Roman"/>
          <w:b/>
        </w:rPr>
        <w:tab/>
      </w:r>
      <w:r w:rsidRPr="000E7CD3">
        <w:rPr>
          <w:rFonts w:cs="Times New Roman"/>
          <w:b/>
        </w:rPr>
        <w:tab/>
      </w:r>
      <w:r w:rsidRPr="000E7CD3">
        <w:rPr>
          <w:rFonts w:cs="Times New Roman"/>
          <w:b/>
          <w:u w:val="single"/>
        </w:rPr>
        <w:t xml:space="preserve">WSZYSCY WYKONAWCY </w:t>
      </w:r>
    </w:p>
    <w:p w14:paraId="0243226D" w14:textId="77777777" w:rsidR="00DA5B42" w:rsidRPr="000E7CD3" w:rsidRDefault="00DA5B42" w:rsidP="00D32BD6">
      <w:pPr>
        <w:pStyle w:val="Tekstpodstawowy"/>
        <w:rPr>
          <w:b/>
          <w:bCs/>
        </w:rPr>
      </w:pPr>
    </w:p>
    <w:p w14:paraId="27AF5883" w14:textId="6EE31A2A" w:rsidR="00BF5572" w:rsidRDefault="00BF5572" w:rsidP="00BF5572">
      <w:pPr>
        <w:suppressAutoHyphens/>
        <w:jc w:val="both"/>
        <w:rPr>
          <w:b/>
          <w:bCs/>
          <w:i/>
        </w:rPr>
      </w:pPr>
      <w:r w:rsidRPr="001B3B53">
        <w:rPr>
          <w:b/>
          <w:lang w:eastAsia="ar-SA"/>
        </w:rPr>
        <w:t xml:space="preserve">dotyczy postępowania o udzielenie zamówienia na: </w:t>
      </w:r>
      <w:r w:rsidR="00B86754" w:rsidRPr="00B86754">
        <w:rPr>
          <w:b/>
          <w:bCs/>
          <w:i/>
          <w:iCs/>
        </w:rPr>
        <w:t xml:space="preserve">Dostawa gazów medycznych i gazów technicznych używanych do celów medycznych dla Centralnego Szpitala Klinicznego </w:t>
      </w:r>
      <w:r w:rsidR="00B86754">
        <w:rPr>
          <w:b/>
          <w:bCs/>
          <w:i/>
          <w:iCs/>
        </w:rPr>
        <w:t xml:space="preserve">Uniwersytetu Medycznego w Łodzi </w:t>
      </w:r>
      <w:r w:rsidR="00B86754" w:rsidRPr="00B86754">
        <w:rPr>
          <w:b/>
          <w:bCs/>
          <w:i/>
          <w:iCs/>
        </w:rPr>
        <w:t>przy ul. Pomorskiej 251</w:t>
      </w:r>
      <w:r w:rsidR="00C3451B">
        <w:rPr>
          <w:b/>
          <w:bCs/>
          <w:i/>
        </w:rPr>
        <w:t>– sprawa nr ZP / 139</w:t>
      </w:r>
      <w:r w:rsidR="00B86754">
        <w:rPr>
          <w:b/>
          <w:bCs/>
          <w:i/>
        </w:rPr>
        <w:t xml:space="preserve"> / 202</w:t>
      </w:r>
      <w:r w:rsidR="00C3451B">
        <w:rPr>
          <w:b/>
          <w:bCs/>
          <w:i/>
        </w:rPr>
        <w:t>3</w:t>
      </w:r>
      <w:r w:rsidR="00B86754">
        <w:rPr>
          <w:b/>
          <w:bCs/>
          <w:i/>
        </w:rPr>
        <w:t>.</w:t>
      </w:r>
    </w:p>
    <w:p w14:paraId="146AE707" w14:textId="5AC7B7FD" w:rsidR="00DA5B42" w:rsidRPr="000E7CD3" w:rsidRDefault="00DA5B42" w:rsidP="00D32BD6">
      <w:pPr>
        <w:pStyle w:val="Tekstpodstawowy"/>
        <w:rPr>
          <w:b/>
          <w:bCs/>
          <w:i/>
        </w:rPr>
      </w:pPr>
    </w:p>
    <w:p w14:paraId="1C9F9475" w14:textId="39DBA129" w:rsidR="006A0D57" w:rsidRDefault="006A0D57" w:rsidP="006A0D57">
      <w:pPr>
        <w:ind w:firstLine="708"/>
        <w:jc w:val="both"/>
        <w:rPr>
          <w:rFonts w:eastAsia="Times New Roman" w:cs="Times New Roman"/>
          <w:u w:val="single"/>
          <w:lang w:eastAsia="ar-SA"/>
        </w:rPr>
      </w:pPr>
      <w:r w:rsidRPr="000E7CD3">
        <w:rPr>
          <w:rFonts w:eastAsia="Times New Roman" w:cs="Times New Roman"/>
          <w:u w:val="single"/>
          <w:lang w:eastAsia="ar-SA"/>
        </w:rPr>
        <w:t>Zgodnie z art. 135 ust. 2 ustawy z dnia 11 września 2019 r. – Prawo zamó</w:t>
      </w:r>
      <w:r w:rsidR="00B86754">
        <w:rPr>
          <w:rFonts w:eastAsia="Times New Roman" w:cs="Times New Roman"/>
          <w:u w:val="single"/>
          <w:lang w:eastAsia="ar-SA"/>
        </w:rPr>
        <w:t>wień publicznych (Dz.U. poz. 202</w:t>
      </w:r>
      <w:r w:rsidR="00C3451B">
        <w:rPr>
          <w:rFonts w:eastAsia="Times New Roman" w:cs="Times New Roman"/>
          <w:u w:val="single"/>
          <w:lang w:eastAsia="ar-SA"/>
        </w:rPr>
        <w:t>3</w:t>
      </w:r>
      <w:r w:rsidR="00B86754">
        <w:rPr>
          <w:rFonts w:eastAsia="Times New Roman" w:cs="Times New Roman"/>
          <w:u w:val="single"/>
          <w:lang w:eastAsia="ar-SA"/>
        </w:rPr>
        <w:t xml:space="preserve"> r. poz. 1</w:t>
      </w:r>
      <w:r w:rsidR="00C3451B">
        <w:rPr>
          <w:rFonts w:eastAsia="Times New Roman" w:cs="Times New Roman"/>
          <w:u w:val="single"/>
          <w:lang w:eastAsia="ar-SA"/>
        </w:rPr>
        <w:t>605</w:t>
      </w:r>
      <w:r w:rsidRPr="000E7CD3">
        <w:rPr>
          <w:rFonts w:eastAsia="Times New Roman" w:cs="Times New Roman"/>
          <w:u w:val="single"/>
          <w:lang w:eastAsia="ar-SA"/>
        </w:rPr>
        <w:t xml:space="preserve"> ze zm.), w odpowiedzi na wniosek o wyjaśnienie treści Specyfikacji Warunków Zamówienia, SP  ZOZ  Centralny Szpital Kliniczny UM w Łodzi wyjaśnia co następuje:</w:t>
      </w:r>
    </w:p>
    <w:p w14:paraId="7F7658B5" w14:textId="41FA31CC" w:rsidR="00515638" w:rsidRDefault="00515638" w:rsidP="006A0D57">
      <w:pPr>
        <w:ind w:firstLine="708"/>
        <w:jc w:val="both"/>
        <w:rPr>
          <w:rFonts w:eastAsia="Times New Roman" w:cs="Times New Roman"/>
          <w:u w:val="single"/>
          <w:lang w:eastAsia="ar-SA"/>
        </w:rPr>
      </w:pPr>
    </w:p>
    <w:p w14:paraId="36554337" w14:textId="1CACBBE9" w:rsidR="00515638" w:rsidRDefault="00515638" w:rsidP="006A0D57">
      <w:pPr>
        <w:ind w:firstLine="708"/>
        <w:jc w:val="both"/>
        <w:rPr>
          <w:rFonts w:eastAsia="Times New Roman" w:cs="Times New Roman"/>
          <w:u w:val="single"/>
          <w:lang w:eastAsia="ar-SA"/>
        </w:rPr>
      </w:pPr>
      <w:bookmarkStart w:id="0" w:name="_GoBack"/>
      <w:bookmarkEnd w:id="0"/>
    </w:p>
    <w:p w14:paraId="29B18D32" w14:textId="0696E5C4" w:rsidR="00515638" w:rsidRPr="00515638" w:rsidRDefault="00515638" w:rsidP="006A0D57">
      <w:pPr>
        <w:ind w:firstLine="708"/>
        <w:jc w:val="both"/>
        <w:rPr>
          <w:rFonts w:eastAsia="Times New Roman" w:cs="Times New Roman"/>
          <w:b/>
          <w:u w:val="single"/>
          <w:lang w:eastAsia="ar-SA"/>
        </w:rPr>
      </w:pPr>
      <w:r w:rsidRPr="00515638">
        <w:rPr>
          <w:rFonts w:eastAsia="Times New Roman" w:cs="Times New Roman"/>
          <w:b/>
          <w:u w:val="single"/>
          <w:lang w:eastAsia="ar-SA"/>
        </w:rPr>
        <w:t xml:space="preserve">Pytania i odpowiedzi: </w:t>
      </w:r>
    </w:p>
    <w:p w14:paraId="647586FC" w14:textId="711BAA68" w:rsidR="00C3451B" w:rsidRDefault="00C3451B" w:rsidP="00135038">
      <w:pPr>
        <w:autoSpaceDE w:val="0"/>
        <w:autoSpaceDN w:val="0"/>
        <w:adjustRightInd w:val="0"/>
        <w:jc w:val="both"/>
      </w:pPr>
    </w:p>
    <w:p w14:paraId="349B1E32" w14:textId="77777777" w:rsidR="00C3451B" w:rsidRPr="00CD5847" w:rsidRDefault="00C3451B" w:rsidP="00C3451B">
      <w:pPr>
        <w:autoSpaceDE w:val="0"/>
        <w:autoSpaceDN w:val="0"/>
        <w:adjustRightInd w:val="0"/>
        <w:ind w:left="-142"/>
        <w:jc w:val="both"/>
        <w:rPr>
          <w:b/>
          <w:bCs/>
          <w:sz w:val="18"/>
          <w:szCs w:val="22"/>
          <w:u w:val="single"/>
        </w:rPr>
      </w:pPr>
      <w:r w:rsidRPr="00CD5847">
        <w:rPr>
          <w:b/>
          <w:bCs/>
          <w:sz w:val="18"/>
          <w:szCs w:val="22"/>
          <w:u w:val="single"/>
        </w:rPr>
        <w:t>Jednocześnie do w/w wniosku wnosimy o udzielenia jednoznacznych, precyzyjnych, rzetelnych, wyjaśnień i odpowiedzi na zadane pytania. Zgodnie w wyrokiem KIO z dnia 4 czerwca 2020r. (sygn. Akt KIO 505/20) Zamawiający nie może pozostawiać pytać wykonawcy bez merytorycznej odpowiedzi, tj. udzielać odpowiedzi : „Zgodnie z SWZ”, ponieważ SWZ nie rozwiewa wątpliwości Wykonawcy i może prowadzić do złożenia nieważnej oferty. Zamawiający w każdym przypadku oświadczając „Zgodnie z SWZ”, nie udzieli odpowiedzi na pytania, nie wyjaśni treści SWZ, a jedynie odsyła do niejednoznacznych zapisów SWZ.</w:t>
      </w:r>
    </w:p>
    <w:p w14:paraId="3DE23B62" w14:textId="77777777" w:rsidR="00C3451B" w:rsidRPr="00CD5847" w:rsidRDefault="00C3451B" w:rsidP="00C3451B">
      <w:pPr>
        <w:autoSpaceDE w:val="0"/>
        <w:autoSpaceDN w:val="0"/>
        <w:adjustRightInd w:val="0"/>
        <w:ind w:left="-142"/>
        <w:jc w:val="both"/>
      </w:pPr>
    </w:p>
    <w:p w14:paraId="2B0CE290" w14:textId="77777777" w:rsidR="00C3451B" w:rsidRPr="00CD5847" w:rsidRDefault="00C3451B" w:rsidP="00C3451B">
      <w:pPr>
        <w:autoSpaceDE w:val="0"/>
        <w:autoSpaceDN w:val="0"/>
        <w:adjustRightInd w:val="0"/>
        <w:ind w:left="-142"/>
        <w:jc w:val="both"/>
        <w:rPr>
          <w:rFonts w:ascii="Arial" w:hAnsi="Arial" w:cs="Arial"/>
          <w:b/>
          <w:bCs/>
          <w:color w:val="0070C0"/>
          <w:sz w:val="18"/>
          <w:szCs w:val="18"/>
          <w:u w:val="single"/>
        </w:rPr>
      </w:pPr>
      <w:r w:rsidRPr="00CD5847">
        <w:rPr>
          <w:rFonts w:ascii="Arial" w:hAnsi="Arial" w:cs="Arial"/>
          <w:b/>
          <w:bCs/>
          <w:color w:val="0070C0"/>
          <w:sz w:val="18"/>
          <w:szCs w:val="18"/>
          <w:u w:val="single"/>
        </w:rPr>
        <w:t xml:space="preserve">Pytanie nr 1 – Podpisanie umowy </w:t>
      </w:r>
    </w:p>
    <w:p w14:paraId="285C7E7D" w14:textId="77777777" w:rsidR="00C3451B" w:rsidRPr="00CD5847" w:rsidRDefault="00C3451B" w:rsidP="00C3451B">
      <w:pPr>
        <w:autoSpaceDE w:val="0"/>
        <w:autoSpaceDN w:val="0"/>
        <w:adjustRightInd w:val="0"/>
        <w:spacing w:after="120"/>
        <w:ind w:left="-142"/>
        <w:jc w:val="both"/>
        <w:rPr>
          <w:rFonts w:cs="Arial"/>
          <w:sz w:val="18"/>
          <w:szCs w:val="18"/>
        </w:rPr>
      </w:pPr>
      <w:r w:rsidRPr="00CD5847">
        <w:rPr>
          <w:rFonts w:cs="Arial"/>
          <w:sz w:val="18"/>
          <w:szCs w:val="18"/>
        </w:rPr>
        <w:t>Czy Zamawiający podpisze umowę z Wykonawcą w sprawie przedmiotowego zamówienia publicznego, podpisaną przez osobę/osoby upoważnione kwalifikowany podpisem elektronicznym, zgodnie z formą reprezentacji Wykonawcy określoną w rejestrze sądowym lub innym dokumencie, właściwym dla danej formy organizacyjnej Wykonawcy, albo przez osobę/osoby umocowane (na podstawie pełnomocnictwa) przez osoby uprawnione?</w:t>
      </w:r>
    </w:p>
    <w:p w14:paraId="7F6D4285" w14:textId="77777777" w:rsidR="00C3451B" w:rsidRPr="00C3451B" w:rsidRDefault="00C3451B" w:rsidP="00C3451B">
      <w:pPr>
        <w:autoSpaceDE w:val="0"/>
        <w:autoSpaceDN w:val="0"/>
        <w:adjustRightInd w:val="0"/>
        <w:ind w:left="-142"/>
        <w:rPr>
          <w:sz w:val="18"/>
          <w:szCs w:val="18"/>
          <w:highlight w:val="yellow"/>
        </w:rPr>
      </w:pPr>
      <w:r w:rsidRPr="00CD5847">
        <w:rPr>
          <w:rFonts w:ascii="Arial" w:hAnsi="Arial" w:cs="Arial"/>
          <w:b/>
          <w:bCs/>
          <w:sz w:val="18"/>
          <w:szCs w:val="18"/>
          <w:u w:val="single"/>
        </w:rPr>
        <w:t>Uzasadnienie (Interpretacja UZP):</w:t>
      </w:r>
      <w:r w:rsidRPr="00CD5847">
        <w:rPr>
          <w:rFonts w:ascii="Arial" w:hAnsi="Arial" w:cs="Arial"/>
          <w:b/>
          <w:bCs/>
          <w:color w:val="0070C0"/>
          <w:sz w:val="18"/>
          <w:szCs w:val="18"/>
          <w:u w:val="single"/>
        </w:rPr>
        <w:br/>
      </w:r>
      <w:hyperlink r:id="rId8" w:history="1">
        <w:r w:rsidRPr="00CD5847">
          <w:rPr>
            <w:rStyle w:val="Hipercze"/>
            <w:sz w:val="18"/>
            <w:szCs w:val="18"/>
          </w:rPr>
          <w:t>https://www.uzp.gov.pl/nowe-pzp/interpretacje/pytania-instytucji-kontrolujacych/czy-zgodnie-z-przepisami-nowej-ustawy-pzp-mozna-zawrzec-umowe-w-formie-elektronicznej,-czyli-w-postaci-elektronicznej-opatrzonej-kwalifikowanym-podpisem-elektronicznym-2020-12-04</w:t>
        </w:r>
      </w:hyperlink>
      <w:r w:rsidRPr="00C3451B">
        <w:rPr>
          <w:sz w:val="18"/>
          <w:szCs w:val="18"/>
          <w:highlight w:val="yellow"/>
        </w:rPr>
        <w:t xml:space="preserve"> </w:t>
      </w:r>
    </w:p>
    <w:p w14:paraId="6EC7AE8F" w14:textId="77777777" w:rsidR="00CD5847" w:rsidRDefault="00CD5847" w:rsidP="00AA0A7C">
      <w:pPr>
        <w:autoSpaceDE w:val="0"/>
        <w:autoSpaceDN w:val="0"/>
        <w:adjustRightInd w:val="0"/>
        <w:ind w:left="-142"/>
        <w:rPr>
          <w:color w:val="FF0000"/>
          <w:sz w:val="18"/>
          <w:szCs w:val="18"/>
          <w:highlight w:val="yellow"/>
        </w:rPr>
      </w:pPr>
    </w:p>
    <w:p w14:paraId="5410838F" w14:textId="77777777" w:rsidR="00CD5847" w:rsidRDefault="00CD5847" w:rsidP="00AA0A7C">
      <w:pPr>
        <w:autoSpaceDE w:val="0"/>
        <w:autoSpaceDN w:val="0"/>
        <w:adjustRightInd w:val="0"/>
        <w:ind w:left="-142"/>
        <w:rPr>
          <w:color w:val="FF0000"/>
          <w:sz w:val="18"/>
          <w:szCs w:val="18"/>
          <w:highlight w:val="yellow"/>
        </w:rPr>
      </w:pPr>
    </w:p>
    <w:p w14:paraId="1136F9FF" w14:textId="3D874A9A" w:rsidR="00CD5847" w:rsidRDefault="00CD5847" w:rsidP="00CD5847">
      <w:pPr>
        <w:ind w:left="-142"/>
        <w:jc w:val="both"/>
        <w:rPr>
          <w:b/>
          <w:color w:val="0070C0"/>
        </w:rPr>
      </w:pPr>
      <w:r w:rsidRPr="008F10BD">
        <w:rPr>
          <w:b/>
          <w:color w:val="0070C0"/>
        </w:rPr>
        <w:t xml:space="preserve">Zamawiający </w:t>
      </w:r>
      <w:r>
        <w:rPr>
          <w:b/>
          <w:color w:val="0070C0"/>
        </w:rPr>
        <w:t>potwierdza, zawarcie umowy przez osobę zgodnie z formą reprezentacji albo przez osobę umocowaną.</w:t>
      </w:r>
    </w:p>
    <w:p w14:paraId="1D9DE29A" w14:textId="77777777" w:rsidR="00C3451B" w:rsidRPr="00C3451B" w:rsidRDefault="00C3451B" w:rsidP="00C3451B">
      <w:pPr>
        <w:autoSpaceDE w:val="0"/>
        <w:autoSpaceDN w:val="0"/>
        <w:adjustRightInd w:val="0"/>
        <w:ind w:left="-142"/>
        <w:jc w:val="both"/>
        <w:rPr>
          <w:b/>
          <w:highlight w:val="yellow"/>
        </w:rPr>
      </w:pPr>
    </w:p>
    <w:p w14:paraId="4D0AF234" w14:textId="77777777" w:rsidR="00C3451B" w:rsidRPr="00C3451B" w:rsidRDefault="00C3451B" w:rsidP="00C3451B">
      <w:pPr>
        <w:autoSpaceDE w:val="0"/>
        <w:autoSpaceDN w:val="0"/>
        <w:adjustRightInd w:val="0"/>
        <w:ind w:left="-142"/>
        <w:jc w:val="both"/>
        <w:rPr>
          <w:b/>
          <w:highlight w:val="yellow"/>
        </w:rPr>
      </w:pPr>
    </w:p>
    <w:p w14:paraId="37FAA0F0" w14:textId="77777777" w:rsidR="00C3451B" w:rsidRPr="0076098C" w:rsidRDefault="00C3451B" w:rsidP="00C3451B">
      <w:pPr>
        <w:autoSpaceDE w:val="0"/>
        <w:autoSpaceDN w:val="0"/>
        <w:adjustRightInd w:val="0"/>
        <w:ind w:left="-142"/>
        <w:jc w:val="both"/>
        <w:rPr>
          <w:rFonts w:ascii="Arial" w:hAnsi="Arial" w:cs="Arial"/>
          <w:b/>
          <w:bCs/>
          <w:color w:val="0070C0"/>
          <w:sz w:val="18"/>
          <w:szCs w:val="22"/>
          <w:u w:val="single"/>
        </w:rPr>
      </w:pPr>
      <w:r w:rsidRPr="0076098C">
        <w:rPr>
          <w:rFonts w:ascii="Arial" w:hAnsi="Arial" w:cs="Arial"/>
          <w:b/>
          <w:bCs/>
          <w:color w:val="0070C0"/>
          <w:sz w:val="18"/>
          <w:szCs w:val="22"/>
          <w:u w:val="single"/>
        </w:rPr>
        <w:t xml:space="preserve">Pytanie nr 2 – Kwota przeznaczona  </w:t>
      </w:r>
    </w:p>
    <w:p w14:paraId="24FCEE2E" w14:textId="77777777" w:rsidR="00C3451B" w:rsidRPr="0076098C" w:rsidRDefault="00C3451B" w:rsidP="00C3451B">
      <w:pPr>
        <w:autoSpaceDE w:val="0"/>
        <w:autoSpaceDN w:val="0"/>
        <w:adjustRightInd w:val="0"/>
        <w:ind w:left="-142"/>
        <w:jc w:val="both"/>
        <w:rPr>
          <w:rFonts w:cs="Arial"/>
          <w:sz w:val="18"/>
          <w:szCs w:val="22"/>
        </w:rPr>
      </w:pPr>
      <w:r w:rsidRPr="0076098C">
        <w:rPr>
          <w:rFonts w:cs="Arial"/>
          <w:sz w:val="18"/>
          <w:szCs w:val="22"/>
        </w:rPr>
        <w:t xml:space="preserve">W nawiązaniu do art. 222 ust. 4 ustawy Pzp oraz faktem, że ustawodawca nie określił żadnego limitu czasowego (jedynie określenie: najpóźniej przed otwarciem ofert) wnosimy do Zamawiającego o udostępnienie  na stronie internetowej prowadzonego postępowania informacji o kwocie, jaką zamierza przeznaczyć na sfinansowanie zamówienia. Państwa zgoda umożliwi przygotowanie rzetelnej, wiarygodnej a jednocześnie jak najbardziej konkurencyjnej oferty pozwalającej osiągnąć Zamawiającemu najlepszą jakość dostaw, uzasadnioną charakterem zamówienia, w ramach środków, które zamawiający może przeznaczyć na jego realizację. </w:t>
      </w:r>
    </w:p>
    <w:p w14:paraId="164A3022" w14:textId="77777777" w:rsidR="00C3451B" w:rsidRPr="0076098C" w:rsidRDefault="00C3451B" w:rsidP="00C3451B">
      <w:pPr>
        <w:pStyle w:val="Akapitzlist"/>
        <w:ind w:left="142" w:hanging="284"/>
        <w:jc w:val="both"/>
        <w:rPr>
          <w:rFonts w:ascii="LindeDaxOffice" w:hAnsi="LindeDaxOffice" w:cs="Calibri"/>
        </w:rPr>
      </w:pPr>
    </w:p>
    <w:p w14:paraId="37253E87" w14:textId="77777777" w:rsidR="00C3451B" w:rsidRPr="0076098C" w:rsidRDefault="00C3451B" w:rsidP="00C3451B">
      <w:pPr>
        <w:pStyle w:val="Akapitzlist"/>
        <w:ind w:left="-142"/>
        <w:jc w:val="both"/>
        <w:rPr>
          <w:rFonts w:ascii="Arial" w:hAnsi="Arial" w:cs="Arial"/>
          <w:b/>
          <w:bCs/>
          <w:sz w:val="18"/>
          <w:szCs w:val="18"/>
        </w:rPr>
      </w:pPr>
      <w:r w:rsidRPr="0076098C">
        <w:rPr>
          <w:rFonts w:ascii="LindeDaxOffice" w:hAnsi="LindeDaxOffice" w:cs="Calibri"/>
          <w:sz w:val="18"/>
          <w:szCs w:val="18"/>
        </w:rPr>
        <w:t xml:space="preserve">W przypadku odpowiedzi odmownej prosimy o przekazanie informacji zawartych w pkt. 3 protokołu przedmiotowego postępowania: </w:t>
      </w:r>
      <w:r w:rsidRPr="0076098C">
        <w:rPr>
          <w:rFonts w:ascii="Arial" w:hAnsi="Arial" w:cs="Arial"/>
          <w:b/>
          <w:bCs/>
          <w:sz w:val="18"/>
          <w:szCs w:val="18"/>
        </w:rPr>
        <w:t xml:space="preserve">Wartość dla poszczególnych części  </w:t>
      </w:r>
    </w:p>
    <w:p w14:paraId="2ADC8109" w14:textId="77777777" w:rsidR="00C3451B" w:rsidRPr="00C3451B" w:rsidRDefault="00C3451B" w:rsidP="00C3451B">
      <w:pPr>
        <w:autoSpaceDE w:val="0"/>
        <w:autoSpaceDN w:val="0"/>
        <w:adjustRightInd w:val="0"/>
        <w:ind w:left="-142"/>
        <w:jc w:val="both"/>
        <w:rPr>
          <w:b/>
          <w:highlight w:val="yellow"/>
        </w:rPr>
      </w:pPr>
    </w:p>
    <w:p w14:paraId="6B1C28D3" w14:textId="77777777" w:rsidR="0076098C" w:rsidRPr="002437A5" w:rsidRDefault="0076098C" w:rsidP="0076098C">
      <w:pPr>
        <w:ind w:left="-142"/>
        <w:jc w:val="both"/>
        <w:rPr>
          <w:b/>
          <w:color w:val="0070C0"/>
        </w:rPr>
      </w:pPr>
      <w:r w:rsidRPr="002437A5">
        <w:rPr>
          <w:b/>
          <w:color w:val="0070C0"/>
        </w:rPr>
        <w:t>Zamawiający zamieszcza w/w informację w postępowaniu.</w:t>
      </w:r>
    </w:p>
    <w:p w14:paraId="5A1C4B56" w14:textId="77777777" w:rsidR="0076098C" w:rsidRDefault="0076098C" w:rsidP="0076098C">
      <w:pPr>
        <w:ind w:left="-142"/>
        <w:jc w:val="both"/>
        <w:rPr>
          <w:b/>
          <w:color w:val="0070C0"/>
        </w:rPr>
      </w:pPr>
    </w:p>
    <w:p w14:paraId="684EEE64" w14:textId="547C4BBF" w:rsidR="00C3451B" w:rsidRDefault="00C3451B" w:rsidP="00C3451B">
      <w:pPr>
        <w:autoSpaceDE w:val="0"/>
        <w:autoSpaceDN w:val="0"/>
        <w:adjustRightInd w:val="0"/>
        <w:ind w:left="-142"/>
        <w:jc w:val="both"/>
        <w:rPr>
          <w:b/>
          <w:highlight w:val="yellow"/>
        </w:rPr>
      </w:pPr>
    </w:p>
    <w:p w14:paraId="3F72CE41" w14:textId="78B02984" w:rsidR="0076098C" w:rsidRDefault="0076098C" w:rsidP="00C3451B">
      <w:pPr>
        <w:autoSpaceDE w:val="0"/>
        <w:autoSpaceDN w:val="0"/>
        <w:adjustRightInd w:val="0"/>
        <w:ind w:left="-142"/>
        <w:jc w:val="both"/>
        <w:rPr>
          <w:b/>
          <w:highlight w:val="yellow"/>
        </w:rPr>
      </w:pPr>
    </w:p>
    <w:p w14:paraId="1935ABE2" w14:textId="57CD3870" w:rsidR="0076098C" w:rsidRDefault="0076098C" w:rsidP="00C3451B">
      <w:pPr>
        <w:autoSpaceDE w:val="0"/>
        <w:autoSpaceDN w:val="0"/>
        <w:adjustRightInd w:val="0"/>
        <w:ind w:left="-142"/>
        <w:jc w:val="both"/>
        <w:rPr>
          <w:b/>
          <w:highlight w:val="yellow"/>
        </w:rPr>
      </w:pPr>
    </w:p>
    <w:p w14:paraId="76FB1858" w14:textId="77777777" w:rsidR="0076098C" w:rsidRPr="00C3451B" w:rsidRDefault="0076098C" w:rsidP="00C3451B">
      <w:pPr>
        <w:autoSpaceDE w:val="0"/>
        <w:autoSpaceDN w:val="0"/>
        <w:adjustRightInd w:val="0"/>
        <w:ind w:left="-142"/>
        <w:jc w:val="both"/>
        <w:rPr>
          <w:b/>
          <w:highlight w:val="yellow"/>
        </w:rPr>
      </w:pPr>
    </w:p>
    <w:p w14:paraId="371C4E0B" w14:textId="77777777" w:rsidR="00C3451B" w:rsidRPr="00C3451B" w:rsidRDefault="00C3451B" w:rsidP="00C3451B">
      <w:pPr>
        <w:autoSpaceDE w:val="0"/>
        <w:autoSpaceDN w:val="0"/>
        <w:adjustRightInd w:val="0"/>
        <w:ind w:left="-142"/>
        <w:jc w:val="both"/>
        <w:rPr>
          <w:b/>
          <w:highlight w:val="yellow"/>
        </w:rPr>
      </w:pPr>
    </w:p>
    <w:p w14:paraId="6F3D70E6" w14:textId="77777777" w:rsidR="00C3451B" w:rsidRPr="00C3451B" w:rsidRDefault="00C3451B" w:rsidP="00C3451B">
      <w:pPr>
        <w:autoSpaceDE w:val="0"/>
        <w:autoSpaceDN w:val="0"/>
        <w:adjustRightInd w:val="0"/>
        <w:ind w:left="-142"/>
        <w:jc w:val="both"/>
        <w:rPr>
          <w:rFonts w:cs="Arial"/>
          <w:sz w:val="18"/>
          <w:szCs w:val="18"/>
          <w:highlight w:val="yellow"/>
        </w:rPr>
      </w:pPr>
    </w:p>
    <w:p w14:paraId="23212583" w14:textId="77777777" w:rsidR="00C3451B" w:rsidRPr="00CA12ED" w:rsidRDefault="00C3451B" w:rsidP="00C3451B">
      <w:pPr>
        <w:autoSpaceDE w:val="0"/>
        <w:autoSpaceDN w:val="0"/>
        <w:adjustRightInd w:val="0"/>
        <w:ind w:left="-142"/>
        <w:jc w:val="both"/>
        <w:rPr>
          <w:rFonts w:ascii="Arial" w:hAnsi="Arial" w:cs="Arial"/>
          <w:b/>
          <w:bCs/>
          <w:color w:val="0070C0"/>
          <w:sz w:val="18"/>
          <w:szCs w:val="18"/>
          <w:u w:val="single"/>
        </w:rPr>
      </w:pPr>
      <w:r w:rsidRPr="00CA12ED">
        <w:rPr>
          <w:rFonts w:ascii="Arial" w:hAnsi="Arial" w:cs="Arial"/>
          <w:b/>
          <w:bCs/>
          <w:color w:val="0070C0"/>
          <w:sz w:val="18"/>
          <w:szCs w:val="18"/>
          <w:u w:val="single"/>
        </w:rPr>
        <w:t>Pytanie nr 3 –  Projekt umowy § 9</w:t>
      </w:r>
    </w:p>
    <w:p w14:paraId="49A8D31A" w14:textId="77777777" w:rsidR="00C3451B" w:rsidRPr="00CA12ED" w:rsidRDefault="00C3451B" w:rsidP="00C3451B">
      <w:pPr>
        <w:autoSpaceDE w:val="0"/>
        <w:autoSpaceDN w:val="0"/>
        <w:adjustRightInd w:val="0"/>
        <w:ind w:left="-142"/>
        <w:jc w:val="both"/>
        <w:rPr>
          <w:rFonts w:cs="Arial"/>
          <w:sz w:val="18"/>
          <w:szCs w:val="18"/>
        </w:rPr>
      </w:pPr>
    </w:p>
    <w:p w14:paraId="6CB77558" w14:textId="77777777" w:rsidR="00C3451B" w:rsidRPr="00CA12ED" w:rsidRDefault="00C3451B" w:rsidP="00C3451B">
      <w:pPr>
        <w:autoSpaceDE w:val="0"/>
        <w:autoSpaceDN w:val="0"/>
        <w:adjustRightInd w:val="0"/>
        <w:ind w:left="-142"/>
        <w:jc w:val="both"/>
        <w:rPr>
          <w:rFonts w:cs="Arial"/>
          <w:sz w:val="18"/>
          <w:szCs w:val="18"/>
        </w:rPr>
      </w:pPr>
      <w:r w:rsidRPr="00CA12ED">
        <w:rPr>
          <w:rFonts w:cs="Arial"/>
          <w:sz w:val="18"/>
          <w:szCs w:val="18"/>
        </w:rPr>
        <w:t>Wnosimy do Zamawiającego wniosek o modyfikację wzoru umowy poprzez rozszerzenie § 9 Kary Umowne</w:t>
      </w:r>
      <w:r w:rsidRPr="00CA12ED">
        <w:rPr>
          <w:rFonts w:cs="Arial"/>
          <w:sz w:val="18"/>
          <w:szCs w:val="18"/>
        </w:rPr>
        <w:br/>
        <w:t xml:space="preserve">o dodatkowy zapis w brzmieniu: </w:t>
      </w:r>
      <w:r w:rsidRPr="00CA12ED">
        <w:rPr>
          <w:rFonts w:ascii="Arial" w:hAnsi="Arial" w:cs="Arial"/>
          <w:b/>
          <w:bCs/>
          <w:color w:val="0070C0"/>
          <w:sz w:val="18"/>
          <w:szCs w:val="18"/>
        </w:rPr>
        <w:t>„Strony odpowiadają wyłącznie za normalne skutki swoich działań oraz zaniechań, z wyłączeniem utraconych korzyści.”</w:t>
      </w:r>
    </w:p>
    <w:p w14:paraId="551D9632" w14:textId="77777777" w:rsidR="00C3451B" w:rsidRPr="00CA12ED" w:rsidRDefault="00C3451B" w:rsidP="00C3451B">
      <w:pPr>
        <w:autoSpaceDE w:val="0"/>
        <w:autoSpaceDN w:val="0"/>
        <w:adjustRightInd w:val="0"/>
        <w:ind w:left="-142"/>
        <w:jc w:val="both"/>
        <w:rPr>
          <w:rFonts w:cs="Arial"/>
          <w:sz w:val="18"/>
          <w:szCs w:val="18"/>
        </w:rPr>
      </w:pPr>
    </w:p>
    <w:p w14:paraId="6B17E549" w14:textId="77777777" w:rsidR="00C3451B" w:rsidRPr="00CA12ED" w:rsidRDefault="00C3451B" w:rsidP="00C3451B">
      <w:pPr>
        <w:autoSpaceDE w:val="0"/>
        <w:autoSpaceDN w:val="0"/>
        <w:adjustRightInd w:val="0"/>
        <w:ind w:left="-142"/>
        <w:jc w:val="both"/>
        <w:rPr>
          <w:rFonts w:cs="Arial"/>
          <w:sz w:val="18"/>
          <w:szCs w:val="18"/>
        </w:rPr>
      </w:pPr>
      <w:r w:rsidRPr="00CA12ED">
        <w:rPr>
          <w:rFonts w:cs="Arial"/>
          <w:sz w:val="18"/>
          <w:szCs w:val="18"/>
          <w:u w:val="single"/>
        </w:rPr>
        <w:t>Uzasadnienie:</w:t>
      </w:r>
      <w:r w:rsidRPr="00CA12ED">
        <w:rPr>
          <w:rFonts w:cs="Arial"/>
          <w:sz w:val="18"/>
          <w:szCs w:val="18"/>
        </w:rPr>
        <w:t xml:space="preserve"> Powyższe zmiany mają na celu uniknięcie nieograniczonej odpowiedzialności Wykonawcy za wykonanie przedmiotu umowy. Nieograniczona odpowiedzialność Wykonawcy mogłaby naruszać art. 112 ust. 1 ustawy Prawo zamówień publicznych, ponieważ nieograniczona odpowiedzialność może przewyższać wynagrodzenie brutto należne wykonawcy, a tym samym naruszać zasadę proporcjonalności.</w:t>
      </w:r>
    </w:p>
    <w:p w14:paraId="0EC41BA8" w14:textId="77777777" w:rsidR="00C3451B" w:rsidRPr="003E7ADC" w:rsidRDefault="00C3451B" w:rsidP="00C3451B">
      <w:pPr>
        <w:pStyle w:val="Akapitzlist"/>
        <w:ind w:left="-142"/>
        <w:jc w:val="both"/>
        <w:rPr>
          <w:rFonts w:ascii="LindeDaxOffice" w:hAnsi="LindeDaxOffice"/>
          <w:sz w:val="18"/>
          <w:szCs w:val="18"/>
          <w:highlight w:val="yellow"/>
        </w:rPr>
      </w:pPr>
    </w:p>
    <w:p w14:paraId="1333B73F" w14:textId="77777777" w:rsidR="00AA0A7C" w:rsidRPr="003E7ADC" w:rsidRDefault="00AA0A7C" w:rsidP="00AA0A7C">
      <w:pPr>
        <w:autoSpaceDE w:val="0"/>
        <w:autoSpaceDN w:val="0"/>
        <w:adjustRightInd w:val="0"/>
        <w:ind w:left="-142"/>
        <w:jc w:val="both"/>
        <w:rPr>
          <w:rFonts w:cs="Times New Roman"/>
          <w:b/>
          <w:bCs/>
          <w:color w:val="0070C0"/>
        </w:rPr>
      </w:pPr>
      <w:r w:rsidRPr="003E7ADC">
        <w:rPr>
          <w:rFonts w:cs="Times New Roman"/>
          <w:b/>
          <w:bCs/>
          <w:color w:val="0070C0"/>
        </w:rPr>
        <w:t xml:space="preserve">Zamawiający w § 9 dodaje ust. 9 w brzmieniu: </w:t>
      </w:r>
      <w:r w:rsidRPr="003E7ADC">
        <w:rPr>
          <w:rFonts w:cs="Times New Roman"/>
          <w:b/>
          <w:bCs/>
          <w:i/>
          <w:iCs/>
          <w:color w:val="0070C0"/>
        </w:rPr>
        <w:t>Strony odpowiadają wyłącznie za normalne skutki swoich działań oraz zaniechań, z wyłączeniem utraconych korzyści.</w:t>
      </w:r>
    </w:p>
    <w:p w14:paraId="32352B56" w14:textId="77777777" w:rsidR="006C259C" w:rsidRPr="003E7ADC" w:rsidRDefault="006C259C" w:rsidP="00C3451B">
      <w:pPr>
        <w:autoSpaceDE w:val="0"/>
        <w:autoSpaceDN w:val="0"/>
        <w:adjustRightInd w:val="0"/>
        <w:ind w:left="-142"/>
        <w:jc w:val="both"/>
        <w:rPr>
          <w:rFonts w:cs="Times New Roman"/>
          <w:b/>
          <w:bCs/>
          <w:color w:val="0070C0"/>
          <w:highlight w:val="yellow"/>
        </w:rPr>
      </w:pPr>
    </w:p>
    <w:p w14:paraId="7EF8CE7C" w14:textId="77777777" w:rsidR="006C259C" w:rsidRPr="003E7ADC" w:rsidRDefault="006C259C" w:rsidP="00C3451B">
      <w:pPr>
        <w:autoSpaceDE w:val="0"/>
        <w:autoSpaceDN w:val="0"/>
        <w:adjustRightInd w:val="0"/>
        <w:ind w:left="-142"/>
        <w:jc w:val="both"/>
        <w:rPr>
          <w:rFonts w:ascii="Arial" w:hAnsi="Arial" w:cs="Arial"/>
          <w:b/>
          <w:bCs/>
          <w:color w:val="0070C0"/>
          <w:sz w:val="18"/>
          <w:szCs w:val="18"/>
          <w:highlight w:val="yellow"/>
        </w:rPr>
      </w:pPr>
    </w:p>
    <w:p w14:paraId="410A5EA0" w14:textId="77777777" w:rsidR="006C259C" w:rsidRDefault="006C259C" w:rsidP="00C3451B">
      <w:pPr>
        <w:autoSpaceDE w:val="0"/>
        <w:autoSpaceDN w:val="0"/>
        <w:adjustRightInd w:val="0"/>
        <w:ind w:left="-142"/>
        <w:jc w:val="both"/>
        <w:rPr>
          <w:rFonts w:ascii="Arial" w:hAnsi="Arial" w:cs="Arial"/>
          <w:b/>
          <w:bCs/>
          <w:color w:val="0070C0"/>
          <w:sz w:val="18"/>
          <w:szCs w:val="18"/>
          <w:highlight w:val="yellow"/>
          <w:u w:val="single"/>
        </w:rPr>
      </w:pPr>
    </w:p>
    <w:p w14:paraId="1465B282" w14:textId="300B6ABB" w:rsidR="00C3451B" w:rsidRPr="00CA12ED" w:rsidRDefault="00C3451B" w:rsidP="00C3451B">
      <w:pPr>
        <w:autoSpaceDE w:val="0"/>
        <w:autoSpaceDN w:val="0"/>
        <w:adjustRightInd w:val="0"/>
        <w:ind w:left="-142"/>
        <w:jc w:val="both"/>
        <w:rPr>
          <w:rFonts w:ascii="Arial" w:hAnsi="Arial" w:cs="Arial"/>
          <w:b/>
          <w:bCs/>
          <w:color w:val="0070C0"/>
          <w:sz w:val="18"/>
          <w:szCs w:val="18"/>
          <w:u w:val="single"/>
        </w:rPr>
      </w:pPr>
      <w:r w:rsidRPr="00CA12ED">
        <w:rPr>
          <w:rFonts w:ascii="Arial" w:hAnsi="Arial" w:cs="Arial"/>
          <w:b/>
          <w:bCs/>
          <w:color w:val="0070C0"/>
          <w:sz w:val="18"/>
          <w:szCs w:val="18"/>
          <w:u w:val="single"/>
        </w:rPr>
        <w:t>Pytanie nr 4 –  Projekt umowy § 9</w:t>
      </w:r>
    </w:p>
    <w:p w14:paraId="1C7DDABA" w14:textId="77777777" w:rsidR="00C3451B" w:rsidRPr="00CA12ED" w:rsidRDefault="00C3451B" w:rsidP="00C3451B">
      <w:pPr>
        <w:autoSpaceDE w:val="0"/>
        <w:autoSpaceDN w:val="0"/>
        <w:adjustRightInd w:val="0"/>
        <w:ind w:left="-142"/>
        <w:jc w:val="both"/>
        <w:rPr>
          <w:rFonts w:ascii="Arial" w:hAnsi="Arial" w:cs="Arial"/>
          <w:b/>
          <w:bCs/>
          <w:color w:val="0070C0"/>
          <w:sz w:val="18"/>
          <w:szCs w:val="18"/>
        </w:rPr>
      </w:pPr>
      <w:r w:rsidRPr="00CA12ED">
        <w:rPr>
          <w:rFonts w:cs="Arial"/>
          <w:sz w:val="18"/>
          <w:szCs w:val="18"/>
        </w:rPr>
        <w:t>Wnosimy do Zamawiającego wniosek o modyfikację wzoru umowy poprzez rozszerzenie § 9 Kary Umowne</w:t>
      </w:r>
      <w:r w:rsidRPr="00CA12ED">
        <w:rPr>
          <w:rFonts w:cs="Arial"/>
          <w:sz w:val="18"/>
          <w:szCs w:val="18"/>
        </w:rPr>
        <w:br/>
        <w:t xml:space="preserve">o dodatkowy zapis w brzmieniu: </w:t>
      </w:r>
      <w:r w:rsidRPr="00CA12ED">
        <w:rPr>
          <w:rFonts w:ascii="Arial" w:hAnsi="Arial" w:cs="Arial"/>
          <w:b/>
          <w:bCs/>
          <w:color w:val="0070C0"/>
          <w:sz w:val="18"/>
          <w:szCs w:val="18"/>
        </w:rPr>
        <w:t>„W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p>
    <w:p w14:paraId="233CDF93" w14:textId="77777777" w:rsidR="00C3451B" w:rsidRPr="0076098C" w:rsidRDefault="00C3451B" w:rsidP="00C3451B">
      <w:pPr>
        <w:autoSpaceDE w:val="0"/>
        <w:autoSpaceDN w:val="0"/>
        <w:adjustRightInd w:val="0"/>
        <w:ind w:left="-142"/>
        <w:jc w:val="both"/>
      </w:pPr>
    </w:p>
    <w:p w14:paraId="6CD019DB" w14:textId="77777777" w:rsidR="003E7ADC" w:rsidRDefault="00AA0A7C" w:rsidP="00AA0A7C">
      <w:pPr>
        <w:ind w:hanging="142"/>
        <w:jc w:val="both"/>
        <w:rPr>
          <w:rFonts w:cs="Times New Roman"/>
          <w:b/>
          <w:bCs/>
          <w:color w:val="0070C0"/>
        </w:rPr>
      </w:pPr>
      <w:r w:rsidRPr="003E7ADC">
        <w:rPr>
          <w:rFonts w:cs="Times New Roman"/>
          <w:b/>
          <w:bCs/>
          <w:color w:val="0070C0"/>
        </w:rPr>
        <w:t xml:space="preserve">Zamawiający nie wyraża zgody. Zapisy umowę dotyczące siły wyższej znajdują się w § 11 </w:t>
      </w:r>
    </w:p>
    <w:p w14:paraId="2EF35AF8" w14:textId="16DB0EB6" w:rsidR="00AA0A7C" w:rsidRPr="003E7ADC" w:rsidRDefault="00AA0A7C" w:rsidP="00AA0A7C">
      <w:pPr>
        <w:ind w:hanging="142"/>
        <w:jc w:val="both"/>
        <w:rPr>
          <w:rFonts w:cs="Times New Roman"/>
          <w:b/>
          <w:bCs/>
          <w:color w:val="0070C0"/>
        </w:rPr>
      </w:pPr>
      <w:r w:rsidRPr="003E7ADC">
        <w:rPr>
          <w:rFonts w:cs="Times New Roman"/>
          <w:b/>
          <w:bCs/>
          <w:color w:val="0070C0"/>
        </w:rPr>
        <w:t xml:space="preserve">wzorca umowy. </w:t>
      </w:r>
    </w:p>
    <w:p w14:paraId="5D669734" w14:textId="77777777" w:rsidR="00CD5847" w:rsidRPr="00AA0A7C" w:rsidRDefault="00CD5847" w:rsidP="00AA0A7C">
      <w:pPr>
        <w:ind w:hanging="142"/>
        <w:jc w:val="both"/>
        <w:rPr>
          <w:rFonts w:ascii="Arial" w:hAnsi="Arial" w:cs="Arial"/>
          <w:b/>
          <w:bCs/>
          <w:color w:val="0070C0"/>
          <w:sz w:val="18"/>
          <w:szCs w:val="18"/>
          <w:u w:val="single"/>
        </w:rPr>
      </w:pPr>
    </w:p>
    <w:p w14:paraId="37A68AFB" w14:textId="77777777" w:rsidR="006C259C" w:rsidRDefault="006C259C" w:rsidP="00C3451B">
      <w:pPr>
        <w:ind w:hanging="142"/>
        <w:jc w:val="both"/>
        <w:rPr>
          <w:rFonts w:ascii="Arial" w:hAnsi="Arial" w:cs="Arial"/>
          <w:b/>
          <w:bCs/>
          <w:color w:val="0070C0"/>
          <w:sz w:val="18"/>
          <w:szCs w:val="18"/>
          <w:u w:val="single"/>
        </w:rPr>
      </w:pPr>
    </w:p>
    <w:p w14:paraId="7159C13F" w14:textId="6DA03F3A" w:rsidR="00C3451B" w:rsidRPr="0076098C" w:rsidRDefault="00C3451B" w:rsidP="00C3451B">
      <w:pPr>
        <w:ind w:hanging="142"/>
        <w:jc w:val="both"/>
        <w:rPr>
          <w:rFonts w:ascii="Arial" w:hAnsi="Arial" w:cs="Arial"/>
          <w:b/>
          <w:bCs/>
          <w:color w:val="0070C0"/>
          <w:sz w:val="18"/>
          <w:szCs w:val="18"/>
          <w:u w:val="single"/>
        </w:rPr>
      </w:pPr>
      <w:r w:rsidRPr="0076098C">
        <w:rPr>
          <w:rFonts w:ascii="Arial" w:hAnsi="Arial" w:cs="Arial"/>
          <w:b/>
          <w:bCs/>
          <w:color w:val="0070C0"/>
          <w:sz w:val="18"/>
          <w:szCs w:val="18"/>
          <w:u w:val="single"/>
        </w:rPr>
        <w:t>Pytanie nr 5  – Przedmiotowe środki dowodowe</w:t>
      </w:r>
    </w:p>
    <w:p w14:paraId="1B578C98" w14:textId="77777777" w:rsidR="00C3451B" w:rsidRPr="0076098C" w:rsidRDefault="00C3451B" w:rsidP="00C3451B">
      <w:pPr>
        <w:ind w:left="-142"/>
        <w:jc w:val="both"/>
        <w:rPr>
          <w:sz w:val="18"/>
          <w:szCs w:val="22"/>
        </w:rPr>
      </w:pPr>
      <w:r w:rsidRPr="0076098C">
        <w:rPr>
          <w:rFonts w:cs="Arial"/>
          <w:sz w:val="18"/>
          <w:szCs w:val="18"/>
        </w:rPr>
        <w:t>Wnosimy o wyjaśnienie, co Zamawiający rozumie pod pojęciem oczekiwanego przedmiotowego środka dowodowego „</w:t>
      </w:r>
      <w:r w:rsidRPr="0076098C">
        <w:rPr>
          <w:sz w:val="18"/>
          <w:szCs w:val="22"/>
        </w:rPr>
        <w:t>Udokumentowany system zarządzania jakością producenta na zgodność z normami międzynarodowymi” w postaci certyfikatu dla oferowanych gazów medycznych w pakiecie 3, tj. produktów leczniczych? – jaki konkretnie dokument oczekuje Zamawiający?</w:t>
      </w:r>
    </w:p>
    <w:p w14:paraId="08B95CB1" w14:textId="6DCDC671" w:rsidR="00C3451B" w:rsidRDefault="00C3451B" w:rsidP="00C3451B">
      <w:pPr>
        <w:ind w:left="-142"/>
        <w:jc w:val="both"/>
        <w:rPr>
          <w:sz w:val="18"/>
          <w:szCs w:val="22"/>
          <w:highlight w:val="yellow"/>
        </w:rPr>
      </w:pPr>
    </w:p>
    <w:p w14:paraId="2003134B" w14:textId="0AB74404" w:rsidR="007F008B" w:rsidRPr="002437A5" w:rsidRDefault="007F008B" w:rsidP="00915EDE">
      <w:pPr>
        <w:ind w:left="-142"/>
        <w:jc w:val="both"/>
        <w:rPr>
          <w:b/>
          <w:color w:val="0070C0"/>
          <w:sz w:val="22"/>
          <w:szCs w:val="22"/>
        </w:rPr>
      </w:pPr>
      <w:r w:rsidRPr="002437A5">
        <w:rPr>
          <w:b/>
          <w:color w:val="0070C0"/>
        </w:rPr>
        <w:t xml:space="preserve">Zamawiający </w:t>
      </w:r>
      <w:r w:rsidR="00915EDE" w:rsidRPr="002437A5">
        <w:rPr>
          <w:b/>
          <w:color w:val="0070C0"/>
        </w:rPr>
        <w:t>dokonuje zmiany i rezygnuje z wymogu</w:t>
      </w:r>
      <w:r w:rsidRPr="002437A5">
        <w:rPr>
          <w:b/>
          <w:color w:val="0070C0"/>
        </w:rPr>
        <w:t xml:space="preserve"> </w:t>
      </w:r>
      <w:r w:rsidR="00915EDE" w:rsidRPr="002437A5">
        <w:rPr>
          <w:b/>
          <w:color w:val="0070C0"/>
          <w:sz w:val="22"/>
          <w:szCs w:val="22"/>
        </w:rPr>
        <w:t>u</w:t>
      </w:r>
      <w:r w:rsidRPr="002437A5">
        <w:rPr>
          <w:b/>
          <w:color w:val="0070C0"/>
          <w:sz w:val="22"/>
          <w:szCs w:val="22"/>
        </w:rPr>
        <w:t>dokumentowan</w:t>
      </w:r>
      <w:r w:rsidR="00915EDE" w:rsidRPr="002437A5">
        <w:rPr>
          <w:b/>
          <w:color w:val="0070C0"/>
          <w:sz w:val="22"/>
          <w:szCs w:val="22"/>
        </w:rPr>
        <w:t>ia</w:t>
      </w:r>
      <w:r w:rsidRPr="002437A5">
        <w:rPr>
          <w:b/>
          <w:color w:val="0070C0"/>
          <w:sz w:val="22"/>
          <w:szCs w:val="22"/>
        </w:rPr>
        <w:t xml:space="preserve"> system</w:t>
      </w:r>
      <w:r w:rsidR="00915EDE" w:rsidRPr="002437A5">
        <w:rPr>
          <w:b/>
          <w:color w:val="0070C0"/>
          <w:sz w:val="22"/>
          <w:szCs w:val="22"/>
        </w:rPr>
        <w:t>u</w:t>
      </w:r>
      <w:r w:rsidRPr="002437A5">
        <w:rPr>
          <w:b/>
          <w:color w:val="0070C0"/>
          <w:sz w:val="22"/>
          <w:szCs w:val="22"/>
        </w:rPr>
        <w:t xml:space="preserve"> zarządzania jakością</w:t>
      </w:r>
      <w:r w:rsidRPr="002437A5">
        <w:rPr>
          <w:color w:val="0070C0"/>
          <w:sz w:val="22"/>
          <w:szCs w:val="22"/>
        </w:rPr>
        <w:t xml:space="preserve"> producenta na zgodność z normami międzynarodowymi – </w:t>
      </w:r>
      <w:r w:rsidRPr="002437A5">
        <w:rPr>
          <w:b/>
          <w:color w:val="0070C0"/>
          <w:sz w:val="22"/>
          <w:szCs w:val="22"/>
        </w:rPr>
        <w:t>pakiet nr 3</w:t>
      </w:r>
      <w:r w:rsidR="00915EDE" w:rsidRPr="002437A5">
        <w:rPr>
          <w:b/>
          <w:color w:val="0070C0"/>
          <w:sz w:val="22"/>
          <w:szCs w:val="22"/>
        </w:rPr>
        <w:t xml:space="preserve"> dot. </w:t>
      </w:r>
      <w:r w:rsidRPr="002437A5">
        <w:rPr>
          <w:b/>
          <w:color w:val="0070C0"/>
          <w:sz w:val="22"/>
          <w:szCs w:val="22"/>
        </w:rPr>
        <w:t>załącznik nr 5i</w:t>
      </w:r>
      <w:r w:rsidR="00915EDE" w:rsidRPr="002437A5">
        <w:rPr>
          <w:b/>
          <w:color w:val="0070C0"/>
          <w:sz w:val="22"/>
          <w:szCs w:val="22"/>
        </w:rPr>
        <w:t>.</w:t>
      </w:r>
      <w:r w:rsidR="00915EDE" w:rsidRPr="002437A5">
        <w:rPr>
          <w:b/>
          <w:color w:val="0070C0"/>
          <w:sz w:val="22"/>
          <w:szCs w:val="22"/>
        </w:rPr>
        <w:br/>
      </w:r>
      <w:r w:rsidR="00AE37D0" w:rsidRPr="002437A5">
        <w:rPr>
          <w:b/>
          <w:color w:val="0070C0"/>
          <w:sz w:val="22"/>
          <w:szCs w:val="22"/>
        </w:rPr>
        <w:t>P</w:t>
      </w:r>
      <w:r w:rsidRPr="002437A5">
        <w:rPr>
          <w:b/>
          <w:color w:val="0070C0"/>
          <w:sz w:val="22"/>
          <w:szCs w:val="22"/>
        </w:rPr>
        <w:t xml:space="preserve">owyższe udokumentowanie nie dotyczy.     </w:t>
      </w:r>
    </w:p>
    <w:p w14:paraId="5824CA4D" w14:textId="7C7213FA" w:rsidR="007F008B" w:rsidRPr="002437A5" w:rsidRDefault="007F008B" w:rsidP="00C3451B">
      <w:pPr>
        <w:ind w:left="-142"/>
        <w:jc w:val="both"/>
        <w:rPr>
          <w:color w:val="0070C0"/>
          <w:sz w:val="18"/>
          <w:szCs w:val="22"/>
          <w:highlight w:val="yellow"/>
        </w:rPr>
      </w:pPr>
    </w:p>
    <w:p w14:paraId="3F756285" w14:textId="03B294F5" w:rsidR="007F008B" w:rsidRDefault="007F008B" w:rsidP="00C3451B">
      <w:pPr>
        <w:ind w:left="-142"/>
        <w:jc w:val="both"/>
        <w:rPr>
          <w:sz w:val="18"/>
          <w:szCs w:val="22"/>
          <w:highlight w:val="yellow"/>
        </w:rPr>
      </w:pPr>
    </w:p>
    <w:p w14:paraId="75092FC0" w14:textId="77777777" w:rsidR="007F008B" w:rsidRPr="00C3451B" w:rsidRDefault="007F008B" w:rsidP="00C3451B">
      <w:pPr>
        <w:ind w:left="-142"/>
        <w:jc w:val="both"/>
        <w:rPr>
          <w:sz w:val="18"/>
          <w:szCs w:val="22"/>
          <w:highlight w:val="yellow"/>
        </w:rPr>
      </w:pPr>
    </w:p>
    <w:p w14:paraId="4A25B1FD" w14:textId="77777777" w:rsidR="00C3451B" w:rsidRPr="008F10BD" w:rsidRDefault="00C3451B" w:rsidP="00C3451B">
      <w:pPr>
        <w:ind w:hanging="142"/>
        <w:jc w:val="both"/>
        <w:rPr>
          <w:rFonts w:ascii="Arial" w:hAnsi="Arial" w:cs="Arial"/>
          <w:b/>
          <w:bCs/>
          <w:color w:val="0070C0"/>
          <w:sz w:val="18"/>
          <w:szCs w:val="18"/>
          <w:u w:val="single"/>
        </w:rPr>
      </w:pPr>
      <w:r w:rsidRPr="008F10BD">
        <w:rPr>
          <w:rFonts w:ascii="Arial" w:hAnsi="Arial" w:cs="Arial"/>
          <w:b/>
          <w:bCs/>
          <w:color w:val="0070C0"/>
          <w:sz w:val="18"/>
          <w:szCs w:val="18"/>
          <w:u w:val="single"/>
        </w:rPr>
        <w:t xml:space="preserve">Pytanie nr 6  – Formularz asortymentowo-cenowy kolumna VAT </w:t>
      </w:r>
    </w:p>
    <w:p w14:paraId="232A1FE3" w14:textId="77777777" w:rsidR="00C3451B" w:rsidRPr="008F10BD" w:rsidRDefault="00C3451B" w:rsidP="00C3451B">
      <w:pPr>
        <w:ind w:left="-142"/>
        <w:jc w:val="both"/>
        <w:rPr>
          <w:rFonts w:cs="Arial"/>
          <w:sz w:val="18"/>
          <w:szCs w:val="18"/>
        </w:rPr>
      </w:pPr>
      <w:r w:rsidRPr="008F10BD">
        <w:rPr>
          <w:rFonts w:cs="Arial"/>
          <w:sz w:val="18"/>
          <w:szCs w:val="18"/>
        </w:rPr>
        <w:t xml:space="preserve">W nawiązaniu do posiadanej wiedzy w zakresie oferowanego asortymentu oraz obowiązujące przepisy wnosimy o możliwość zmiany narzuconej przez Zamawiającego w formularzu stawki Vat w przypadku gdy jest ona stawką błędną lub istnieją inne podstawy do jej zmiany w ramach obowiązujących przepisów prawa. </w:t>
      </w:r>
    </w:p>
    <w:p w14:paraId="22160D4D" w14:textId="77777777" w:rsidR="00C3451B" w:rsidRPr="00C3451B" w:rsidRDefault="00C3451B" w:rsidP="00C3451B">
      <w:pPr>
        <w:ind w:left="-142"/>
        <w:jc w:val="both"/>
        <w:rPr>
          <w:sz w:val="18"/>
          <w:szCs w:val="22"/>
          <w:highlight w:val="yellow"/>
        </w:rPr>
      </w:pPr>
    </w:p>
    <w:p w14:paraId="4309018A" w14:textId="46A8CC69" w:rsidR="00C3451B" w:rsidRPr="008F10BD" w:rsidRDefault="008F10BD" w:rsidP="00C3451B">
      <w:pPr>
        <w:ind w:left="-142"/>
        <w:jc w:val="both"/>
        <w:rPr>
          <w:b/>
          <w:color w:val="0070C0"/>
        </w:rPr>
      </w:pPr>
      <w:r w:rsidRPr="008F10BD">
        <w:rPr>
          <w:b/>
          <w:color w:val="0070C0"/>
        </w:rPr>
        <w:t>Zamawiający pozostawia zapis</w:t>
      </w:r>
      <w:r>
        <w:rPr>
          <w:b/>
          <w:color w:val="0070C0"/>
        </w:rPr>
        <w:t>y</w:t>
      </w:r>
      <w:r w:rsidRPr="008F10BD">
        <w:rPr>
          <w:b/>
          <w:color w:val="0070C0"/>
        </w:rPr>
        <w:t xml:space="preserve"> bez zmian. </w:t>
      </w:r>
    </w:p>
    <w:p w14:paraId="66824A4D" w14:textId="13345C19" w:rsidR="008F10BD" w:rsidRDefault="008F10BD" w:rsidP="00C3451B">
      <w:pPr>
        <w:ind w:left="-142"/>
        <w:jc w:val="both"/>
      </w:pPr>
    </w:p>
    <w:p w14:paraId="5ABDF389" w14:textId="34E891BA" w:rsidR="006C259C" w:rsidRDefault="006C259C" w:rsidP="00C3451B">
      <w:pPr>
        <w:ind w:left="-142"/>
        <w:jc w:val="both"/>
      </w:pPr>
    </w:p>
    <w:p w14:paraId="592B5001" w14:textId="77777777" w:rsidR="00EF38FC" w:rsidRDefault="00EF38FC" w:rsidP="00C3451B">
      <w:pPr>
        <w:ind w:left="-142"/>
        <w:jc w:val="both"/>
      </w:pPr>
    </w:p>
    <w:p w14:paraId="77828E0D" w14:textId="3B824053" w:rsidR="006C259C" w:rsidRDefault="006C259C" w:rsidP="00C3451B">
      <w:pPr>
        <w:ind w:left="-142"/>
        <w:jc w:val="both"/>
      </w:pPr>
    </w:p>
    <w:p w14:paraId="0EEA83DA" w14:textId="77777777" w:rsidR="006C259C" w:rsidRPr="007D60AC" w:rsidRDefault="006C259C" w:rsidP="00C3451B">
      <w:pPr>
        <w:ind w:left="-142"/>
        <w:jc w:val="both"/>
      </w:pPr>
    </w:p>
    <w:p w14:paraId="4B8CD84F" w14:textId="77777777" w:rsidR="00C3451B" w:rsidRPr="007D60AC" w:rsidRDefault="00C3451B" w:rsidP="00C3451B">
      <w:pPr>
        <w:ind w:hanging="142"/>
        <w:jc w:val="both"/>
        <w:rPr>
          <w:rFonts w:ascii="Arial" w:hAnsi="Arial" w:cs="Arial"/>
          <w:b/>
          <w:bCs/>
          <w:color w:val="0070C0"/>
          <w:sz w:val="18"/>
          <w:szCs w:val="18"/>
          <w:u w:val="single"/>
        </w:rPr>
      </w:pPr>
      <w:r w:rsidRPr="007D60AC">
        <w:rPr>
          <w:rFonts w:ascii="Arial" w:hAnsi="Arial" w:cs="Arial"/>
          <w:b/>
          <w:bCs/>
          <w:color w:val="0070C0"/>
          <w:sz w:val="18"/>
          <w:szCs w:val="18"/>
          <w:u w:val="single"/>
        </w:rPr>
        <w:t>Pytanie nr 7  – Pakiet 1 (tlen medyczny)</w:t>
      </w:r>
    </w:p>
    <w:p w14:paraId="75532BFB" w14:textId="77777777" w:rsidR="00C3451B" w:rsidRPr="007D60AC" w:rsidRDefault="00C3451B" w:rsidP="00C3451B">
      <w:pPr>
        <w:ind w:left="-142"/>
        <w:jc w:val="both"/>
        <w:rPr>
          <w:sz w:val="18"/>
          <w:szCs w:val="18"/>
        </w:rPr>
      </w:pPr>
      <w:r w:rsidRPr="007D60AC">
        <w:rPr>
          <w:sz w:val="18"/>
          <w:szCs w:val="18"/>
        </w:rPr>
        <w:t xml:space="preserve">Wnosimy o możliwość złożenia oferty na </w:t>
      </w:r>
      <w:r w:rsidRPr="007D60AC">
        <w:rPr>
          <w:rFonts w:ascii="Arial" w:hAnsi="Arial" w:cs="Arial"/>
          <w:b/>
          <w:bCs/>
          <w:color w:val="0070C0"/>
          <w:sz w:val="18"/>
          <w:szCs w:val="18"/>
        </w:rPr>
        <w:t>UŻYWANE W NIEDALEKIEJ PRZESZŁOŚCI</w:t>
      </w:r>
      <w:r w:rsidRPr="007D60AC">
        <w:rPr>
          <w:sz w:val="18"/>
          <w:szCs w:val="18"/>
        </w:rPr>
        <w:t xml:space="preserve"> przez Zamawiającego lekkie butle  aluminiowe z tlenem  200 bar, z na stałe zintegrowanym z butlą modułem wyposażonym w reduktor ciśnienia, manometr wskazujący ciśnienie tlenu w butli, przepływomierz o zakresie pracy 0,5  – 15 l/min, przepływomierz z 12 różnymi zakresami przepływu (w tym zakres startowy – 0l/min), wyjście do podłączenia maski tlenowej lub kaniuli donosowej oraz system szybkiego łączenia (Quick Connector) typu AGA do podłączenia urządzeń przenośnych wymagających dostarczenia tlenu medycznego np. respirator transportowy.</w:t>
      </w:r>
    </w:p>
    <w:p w14:paraId="12CB41DC" w14:textId="77777777" w:rsidR="00C3451B" w:rsidRPr="007D60AC" w:rsidRDefault="00C3451B" w:rsidP="00C3451B">
      <w:pPr>
        <w:ind w:left="-142"/>
        <w:jc w:val="both"/>
        <w:rPr>
          <w:sz w:val="18"/>
          <w:szCs w:val="18"/>
        </w:rPr>
      </w:pPr>
    </w:p>
    <w:p w14:paraId="1AAA4A33" w14:textId="77777777" w:rsidR="00C3451B" w:rsidRPr="007D60AC" w:rsidRDefault="00C3451B" w:rsidP="00C3451B">
      <w:pPr>
        <w:ind w:left="-142"/>
        <w:jc w:val="both"/>
        <w:rPr>
          <w:sz w:val="18"/>
          <w:szCs w:val="18"/>
        </w:rPr>
      </w:pPr>
    </w:p>
    <w:p w14:paraId="11ED3FA0" w14:textId="77777777" w:rsidR="00C3451B" w:rsidRPr="007D60AC" w:rsidRDefault="00C3451B" w:rsidP="00C3451B">
      <w:pPr>
        <w:ind w:left="-142"/>
        <w:jc w:val="both"/>
        <w:rPr>
          <w:b/>
          <w:bCs/>
          <w:sz w:val="18"/>
          <w:szCs w:val="22"/>
        </w:rPr>
      </w:pPr>
      <w:r w:rsidRPr="007D60AC">
        <w:rPr>
          <w:b/>
          <w:bCs/>
          <w:sz w:val="18"/>
          <w:szCs w:val="22"/>
        </w:rPr>
        <w:t>Państwa zgoda umożliwi naszej firmie złożyć ważną,</w:t>
      </w:r>
      <w:r w:rsidRPr="007D60AC">
        <w:rPr>
          <w:sz w:val="18"/>
          <w:szCs w:val="22"/>
        </w:rPr>
        <w:t xml:space="preserve"> </w:t>
      </w:r>
      <w:r w:rsidRPr="007D60AC">
        <w:rPr>
          <w:b/>
          <w:bCs/>
          <w:sz w:val="18"/>
          <w:szCs w:val="22"/>
        </w:rPr>
        <w:t xml:space="preserve">rzetelną, wiarygodną  oraz konkurencyjną ofertę, </w:t>
      </w:r>
      <w:r w:rsidRPr="007D60AC">
        <w:rPr>
          <w:b/>
          <w:bCs/>
          <w:sz w:val="18"/>
          <w:szCs w:val="22"/>
        </w:rPr>
        <w:br/>
        <w:t xml:space="preserve">a jednocześnie rozszerzy krąg potencjalnych wykonawców, pozwalając osiągnąć Zamawiającemu najlepszą jakość dostaw, uzasadnioną charakterem zamówienia, w ramach środków, które zamawiający może przeznaczyć na jego realizację, a nie spowoduje zarzutu naruszenie zasad uczciwej konkurencji </w:t>
      </w:r>
      <w:r w:rsidRPr="007D60AC">
        <w:rPr>
          <w:b/>
          <w:bCs/>
          <w:sz w:val="18"/>
          <w:szCs w:val="22"/>
          <w:u w:val="single"/>
        </w:rPr>
        <w:t>(egalitarna i elementarna zasada prawa zamówień publicznych).</w:t>
      </w:r>
      <w:r w:rsidRPr="007D60AC">
        <w:rPr>
          <w:b/>
          <w:bCs/>
          <w:sz w:val="18"/>
          <w:szCs w:val="22"/>
        </w:rPr>
        <w:t xml:space="preserve">   </w:t>
      </w:r>
    </w:p>
    <w:p w14:paraId="55AEA056" w14:textId="77777777" w:rsidR="00C3451B" w:rsidRPr="007D60AC" w:rsidRDefault="00C3451B" w:rsidP="00C3451B">
      <w:pPr>
        <w:ind w:left="-142"/>
        <w:jc w:val="both"/>
      </w:pPr>
    </w:p>
    <w:p w14:paraId="2749DA76" w14:textId="77777777" w:rsidR="00C3451B" w:rsidRPr="007D60AC" w:rsidRDefault="00C3451B" w:rsidP="00C3451B">
      <w:pPr>
        <w:ind w:left="-142"/>
        <w:jc w:val="both"/>
        <w:rPr>
          <w:sz w:val="18"/>
          <w:szCs w:val="22"/>
          <w:u w:val="single"/>
        </w:rPr>
      </w:pPr>
      <w:r w:rsidRPr="007D60AC">
        <w:rPr>
          <w:sz w:val="18"/>
          <w:szCs w:val="22"/>
          <w:u w:val="single"/>
        </w:rPr>
        <w:t>W PRZYPADKU ODPOWIEDZI ODMOWNEJ WNOSIMY O UZASADNIENIE MERYTORYCZNE BRAKU DOPUSZCZENIA ASORTYMENTU UŻYTKOWANEGO PRZEZ ZAMAWIAJĄCEGO PRZEZ KILKA OSTATNICH LAT</w:t>
      </w:r>
    </w:p>
    <w:p w14:paraId="574EA4D3" w14:textId="654728DE" w:rsidR="00C3451B" w:rsidRPr="007D60AC" w:rsidRDefault="00C3451B" w:rsidP="00C3451B">
      <w:pPr>
        <w:autoSpaceDE w:val="0"/>
        <w:autoSpaceDN w:val="0"/>
        <w:adjustRightInd w:val="0"/>
        <w:ind w:left="-142"/>
        <w:jc w:val="both"/>
      </w:pPr>
    </w:p>
    <w:p w14:paraId="146D8B95" w14:textId="77777777" w:rsidR="007D60AC" w:rsidRDefault="007D60AC" w:rsidP="007D60AC">
      <w:pPr>
        <w:ind w:left="-142"/>
        <w:jc w:val="both"/>
        <w:rPr>
          <w:b/>
          <w:color w:val="0070C0"/>
        </w:rPr>
      </w:pPr>
      <w:r w:rsidRPr="008F10BD">
        <w:rPr>
          <w:b/>
          <w:color w:val="0070C0"/>
        </w:rPr>
        <w:t xml:space="preserve">Zamawiający </w:t>
      </w:r>
      <w:r>
        <w:rPr>
          <w:b/>
          <w:color w:val="0070C0"/>
        </w:rPr>
        <w:t>dopuszcza. Butle muszą być dobrze oznakowane.</w:t>
      </w:r>
    </w:p>
    <w:p w14:paraId="2590E5A3" w14:textId="77777777" w:rsidR="007D60AC" w:rsidRPr="00C3451B" w:rsidRDefault="007D60AC" w:rsidP="00C3451B">
      <w:pPr>
        <w:autoSpaceDE w:val="0"/>
        <w:autoSpaceDN w:val="0"/>
        <w:adjustRightInd w:val="0"/>
        <w:ind w:left="-142"/>
        <w:jc w:val="both"/>
        <w:rPr>
          <w:highlight w:val="yellow"/>
        </w:rPr>
      </w:pPr>
    </w:p>
    <w:p w14:paraId="7E43F871" w14:textId="77777777" w:rsidR="006C259C" w:rsidRDefault="006C259C" w:rsidP="00C3451B">
      <w:pPr>
        <w:ind w:hanging="142"/>
        <w:jc w:val="both"/>
        <w:rPr>
          <w:rFonts w:ascii="Arial" w:hAnsi="Arial" w:cs="Arial"/>
          <w:b/>
          <w:bCs/>
          <w:color w:val="0070C0"/>
          <w:sz w:val="18"/>
          <w:szCs w:val="18"/>
          <w:highlight w:val="yellow"/>
          <w:u w:val="single"/>
        </w:rPr>
      </w:pPr>
    </w:p>
    <w:p w14:paraId="7F16292F" w14:textId="0391750C" w:rsidR="00C3451B" w:rsidRPr="00BB7540" w:rsidRDefault="00C3451B" w:rsidP="00C3451B">
      <w:pPr>
        <w:ind w:hanging="142"/>
        <w:jc w:val="both"/>
        <w:rPr>
          <w:rFonts w:ascii="Arial" w:hAnsi="Arial" w:cs="Arial"/>
          <w:b/>
          <w:bCs/>
          <w:color w:val="0070C0"/>
          <w:sz w:val="18"/>
          <w:szCs w:val="18"/>
          <w:u w:val="single"/>
        </w:rPr>
      </w:pPr>
      <w:r w:rsidRPr="00BB7540">
        <w:rPr>
          <w:rFonts w:ascii="Arial" w:hAnsi="Arial" w:cs="Arial"/>
          <w:b/>
          <w:bCs/>
          <w:color w:val="0070C0"/>
          <w:sz w:val="18"/>
          <w:szCs w:val="18"/>
          <w:u w:val="single"/>
        </w:rPr>
        <w:t>Pytanie nr 8  – Pakiet 1 (ciekły azot)</w:t>
      </w:r>
    </w:p>
    <w:p w14:paraId="1036FDEB" w14:textId="77777777" w:rsidR="00C3451B" w:rsidRPr="00BB7540" w:rsidRDefault="00C3451B" w:rsidP="00C3451B">
      <w:pPr>
        <w:autoSpaceDE w:val="0"/>
        <w:autoSpaceDN w:val="0"/>
        <w:adjustRightInd w:val="0"/>
        <w:ind w:left="-142"/>
        <w:jc w:val="both"/>
        <w:rPr>
          <w:rFonts w:cs="Arial"/>
          <w:sz w:val="18"/>
          <w:szCs w:val="18"/>
        </w:rPr>
      </w:pPr>
      <w:r w:rsidRPr="00BB7540">
        <w:rPr>
          <w:rFonts w:cs="Arial"/>
          <w:sz w:val="18"/>
          <w:szCs w:val="18"/>
        </w:rPr>
        <w:t xml:space="preserve">Wnosimy o doprecyzowanie przedmiotu zamówienia poprzez wskazanie oczekiwanej wielkości odgazowywacza na ciekły azot medyczny oraz weryfikacji szacowanego zużycie gazów do końca trwania umowy w zakresie ciekłego azotu w odgazowywaczu? Wyspecyfikowana ilość </w:t>
      </w:r>
      <w:r w:rsidRPr="00BB7540">
        <w:rPr>
          <w:rFonts w:ascii="Arial" w:hAnsi="Arial" w:cs="Arial"/>
          <w:b/>
          <w:bCs/>
          <w:color w:val="0070C0"/>
          <w:sz w:val="18"/>
          <w:szCs w:val="18"/>
        </w:rPr>
        <w:t>100 kg</w:t>
      </w:r>
      <w:r w:rsidRPr="00BB7540">
        <w:rPr>
          <w:rFonts w:cs="Arial"/>
          <w:sz w:val="18"/>
          <w:szCs w:val="18"/>
        </w:rPr>
        <w:t xml:space="preserve"> wydaje się nie odzwierciedlać oczekiwanej ilość gazu w trakcie trwania umowy?</w:t>
      </w:r>
    </w:p>
    <w:p w14:paraId="28B7CE01" w14:textId="5BDCD856" w:rsidR="00C3451B" w:rsidRPr="00BB7540" w:rsidRDefault="00C3451B" w:rsidP="00C3451B">
      <w:pPr>
        <w:autoSpaceDE w:val="0"/>
        <w:autoSpaceDN w:val="0"/>
        <w:adjustRightInd w:val="0"/>
        <w:jc w:val="both"/>
      </w:pPr>
    </w:p>
    <w:p w14:paraId="7863A4A0" w14:textId="1A570DAE" w:rsidR="00BB7540" w:rsidRPr="002437A5" w:rsidRDefault="00BB7540" w:rsidP="00BB7540">
      <w:pPr>
        <w:ind w:left="-142"/>
        <w:jc w:val="both"/>
        <w:rPr>
          <w:b/>
          <w:color w:val="0070C0"/>
        </w:rPr>
      </w:pPr>
      <w:r w:rsidRPr="002437A5">
        <w:rPr>
          <w:b/>
          <w:color w:val="0070C0"/>
        </w:rPr>
        <w:t>Zamawiający do</w:t>
      </w:r>
      <w:r w:rsidRPr="002437A5">
        <w:rPr>
          <w:b/>
          <w:color w:val="0070C0"/>
        </w:rPr>
        <w:t xml:space="preserve">konuje zmiany ilości na 185 kg. </w:t>
      </w:r>
    </w:p>
    <w:p w14:paraId="42644E8F" w14:textId="681595C6" w:rsidR="006C259C" w:rsidRDefault="006C259C" w:rsidP="00C3451B">
      <w:pPr>
        <w:autoSpaceDE w:val="0"/>
        <w:autoSpaceDN w:val="0"/>
        <w:adjustRightInd w:val="0"/>
        <w:jc w:val="both"/>
        <w:rPr>
          <w:highlight w:val="yellow"/>
        </w:rPr>
      </w:pPr>
    </w:p>
    <w:p w14:paraId="1F1FBF46" w14:textId="77777777" w:rsidR="006C259C" w:rsidRPr="00BB7540" w:rsidRDefault="006C259C" w:rsidP="00C3451B">
      <w:pPr>
        <w:autoSpaceDE w:val="0"/>
        <w:autoSpaceDN w:val="0"/>
        <w:adjustRightInd w:val="0"/>
        <w:jc w:val="both"/>
      </w:pPr>
    </w:p>
    <w:p w14:paraId="2E66C798" w14:textId="77777777" w:rsidR="00C3451B" w:rsidRPr="00BB7540" w:rsidRDefault="00C3451B" w:rsidP="00C3451B">
      <w:pPr>
        <w:autoSpaceDE w:val="0"/>
        <w:autoSpaceDN w:val="0"/>
        <w:adjustRightInd w:val="0"/>
        <w:ind w:left="-142"/>
        <w:jc w:val="both"/>
        <w:rPr>
          <w:rFonts w:ascii="Arial" w:hAnsi="Arial" w:cs="Arial"/>
          <w:b/>
          <w:bCs/>
          <w:color w:val="0070C0"/>
          <w:sz w:val="18"/>
          <w:szCs w:val="18"/>
          <w:u w:val="single"/>
        </w:rPr>
      </w:pPr>
      <w:r w:rsidRPr="00BB7540">
        <w:rPr>
          <w:rFonts w:ascii="Arial" w:hAnsi="Arial" w:cs="Arial"/>
          <w:b/>
          <w:bCs/>
          <w:color w:val="0070C0"/>
          <w:sz w:val="18"/>
          <w:szCs w:val="18"/>
          <w:u w:val="single"/>
        </w:rPr>
        <w:t xml:space="preserve">Pytania nr 9-12  –  </w:t>
      </w:r>
      <w:r w:rsidRPr="00BB7540">
        <w:rPr>
          <w:rFonts w:ascii="Arial" w:hAnsi="Arial" w:cs="Arial"/>
          <w:b/>
          <w:bCs/>
          <w:color w:val="0070C0"/>
          <w:sz w:val="18"/>
          <w:szCs w:val="22"/>
          <w:u w:val="single"/>
        </w:rPr>
        <w:t xml:space="preserve">Pakiet 3 </w:t>
      </w:r>
    </w:p>
    <w:p w14:paraId="3803D3C8" w14:textId="0507BED5" w:rsidR="00C3451B" w:rsidRPr="00BB7540" w:rsidRDefault="00C3451B" w:rsidP="00C3451B">
      <w:pPr>
        <w:numPr>
          <w:ilvl w:val="0"/>
          <w:numId w:val="43"/>
        </w:numPr>
        <w:autoSpaceDE w:val="0"/>
        <w:autoSpaceDN w:val="0"/>
        <w:ind w:left="142" w:hanging="284"/>
        <w:jc w:val="both"/>
        <w:rPr>
          <w:rFonts w:cs="Calibri"/>
          <w:sz w:val="18"/>
          <w:szCs w:val="18"/>
          <w:lang w:eastAsia="en-US"/>
        </w:rPr>
      </w:pPr>
      <w:r w:rsidRPr="00BB7540">
        <w:rPr>
          <w:rFonts w:cs="Calibri"/>
          <w:sz w:val="18"/>
          <w:szCs w:val="18"/>
          <w:lang w:eastAsia="en-US"/>
        </w:rPr>
        <w:t>Czy pod pojęciem zawartym w opisie przedmiotu zamówienia „</w:t>
      </w:r>
      <w:r w:rsidRPr="00BB7540">
        <w:rPr>
          <w:rFonts w:cs="Calibri"/>
          <w:sz w:val="18"/>
          <w:szCs w:val="18"/>
          <w:lang w:eastAsia="ar-SA"/>
        </w:rPr>
        <w:t>Zawór dozujący z zaworem wydechowym jednorazowym</w:t>
      </w:r>
      <w:r w:rsidRPr="00BB7540">
        <w:rPr>
          <w:rFonts w:cs="Calibri"/>
          <w:sz w:val="18"/>
          <w:szCs w:val="18"/>
          <w:lang w:eastAsia="en-US"/>
        </w:rPr>
        <w:t xml:space="preserve">”, Zamawiający rozumie każdy dedykowany ku temu jednorazowy wyrób medyczny umożliwiający prawidłowe i bezpieczne podawania mieszaniny  gazu medycznego tlenu i podtlenku azotu (50% O2 i 50% N2O) zabezpieczający jednocześnie przed skażeniem korpusu zaworu dozującego przed kontaminację bez względu na zastosowany wariant konstrukcyjny umożliwiający w/w zabezpieczenie w stopniu całkowitym lub ograniczającym ryzyko do przedostania się 1 organizmu (patogena) na  każde 100 000 tych organizmów doprowadzanych do zaworu dozującego ?  </w:t>
      </w:r>
    </w:p>
    <w:p w14:paraId="1530B125" w14:textId="67EB8536" w:rsidR="006C259C" w:rsidRDefault="006C259C" w:rsidP="006C259C">
      <w:pPr>
        <w:autoSpaceDE w:val="0"/>
        <w:autoSpaceDN w:val="0"/>
        <w:jc w:val="both"/>
        <w:rPr>
          <w:rFonts w:cs="Calibri"/>
          <w:sz w:val="18"/>
          <w:szCs w:val="18"/>
          <w:highlight w:val="yellow"/>
          <w:lang w:eastAsia="en-US"/>
        </w:rPr>
      </w:pPr>
    </w:p>
    <w:p w14:paraId="7A325FF5" w14:textId="77777777" w:rsidR="00BB7540" w:rsidRDefault="00BB7540" w:rsidP="00BB7540">
      <w:pPr>
        <w:ind w:left="-142"/>
        <w:jc w:val="both"/>
        <w:rPr>
          <w:b/>
          <w:color w:val="0070C0"/>
        </w:rPr>
      </w:pPr>
      <w:r w:rsidRPr="008F10BD">
        <w:rPr>
          <w:b/>
          <w:color w:val="0070C0"/>
        </w:rPr>
        <w:t xml:space="preserve">Zamawiający </w:t>
      </w:r>
      <w:r>
        <w:rPr>
          <w:b/>
          <w:color w:val="0070C0"/>
        </w:rPr>
        <w:t>pozostawia zapis bez zmian.</w:t>
      </w:r>
    </w:p>
    <w:p w14:paraId="06D2C20A" w14:textId="77777777" w:rsidR="00BB7540" w:rsidRDefault="00BB7540" w:rsidP="00BB7540">
      <w:pPr>
        <w:ind w:left="-142"/>
        <w:jc w:val="both"/>
        <w:rPr>
          <w:b/>
          <w:color w:val="0070C0"/>
        </w:rPr>
      </w:pPr>
    </w:p>
    <w:p w14:paraId="0F42F314" w14:textId="77777777" w:rsidR="00C3451B" w:rsidRPr="007D60AC" w:rsidRDefault="00C3451B" w:rsidP="00C3451B">
      <w:pPr>
        <w:numPr>
          <w:ilvl w:val="0"/>
          <w:numId w:val="43"/>
        </w:numPr>
        <w:autoSpaceDE w:val="0"/>
        <w:autoSpaceDN w:val="0"/>
        <w:ind w:left="142" w:hanging="284"/>
        <w:jc w:val="both"/>
        <w:rPr>
          <w:rFonts w:cs="Calibri"/>
          <w:sz w:val="18"/>
          <w:szCs w:val="18"/>
          <w:lang w:eastAsia="en-US"/>
        </w:rPr>
      </w:pPr>
      <w:r w:rsidRPr="007D60AC">
        <w:rPr>
          <w:sz w:val="18"/>
          <w:szCs w:val="22"/>
        </w:rPr>
        <w:t xml:space="preserve">Czy w celu zachowania wysokich norm jakości i bezpieczeństwa dla wyrobów medycznych w odpowiedzi na powszechne obawy dotyczące bezpieczeństwa takich produktów przy jednoczesnym wsparciu innowacji,  oferowany konkretny typ/model zaworu  dozującego do podawania mieszaniny gazowej 50 % tlen i 50% podtlenek azotu ma być dedykowany przez producenta tylko </w:t>
      </w:r>
      <w:r w:rsidRPr="007D60AC">
        <w:rPr>
          <w:sz w:val="18"/>
          <w:szCs w:val="22"/>
        </w:rPr>
        <w:br/>
        <w:t>i wyłącznie do podawania tejże mieszaniny, z wyłączeniem inny gazów sprężonych?</w:t>
      </w:r>
    </w:p>
    <w:p w14:paraId="16740E33" w14:textId="77777777" w:rsidR="00C3451B" w:rsidRPr="00C3451B" w:rsidRDefault="00C3451B" w:rsidP="00C3451B">
      <w:pPr>
        <w:autoSpaceDE w:val="0"/>
        <w:autoSpaceDN w:val="0"/>
        <w:jc w:val="both"/>
        <w:rPr>
          <w:rFonts w:cs="Calibri"/>
          <w:sz w:val="18"/>
          <w:szCs w:val="18"/>
          <w:highlight w:val="yellow"/>
          <w:lang w:eastAsia="en-US"/>
        </w:rPr>
      </w:pPr>
    </w:p>
    <w:p w14:paraId="71665270" w14:textId="09460887" w:rsidR="007D60AC" w:rsidRDefault="007D60AC" w:rsidP="007D60AC">
      <w:pPr>
        <w:ind w:left="-142"/>
        <w:jc w:val="both"/>
        <w:rPr>
          <w:b/>
          <w:color w:val="0070C0"/>
        </w:rPr>
      </w:pPr>
      <w:r>
        <w:rPr>
          <w:b/>
          <w:color w:val="0070C0"/>
        </w:rPr>
        <w:t>Zamawiający potwierdza, że dotyczy wskazanemu w swz rodzaju gazów.</w:t>
      </w:r>
    </w:p>
    <w:p w14:paraId="1FC81409" w14:textId="541C2724" w:rsidR="007D60AC" w:rsidRDefault="007D60AC" w:rsidP="00C3451B">
      <w:pPr>
        <w:autoSpaceDE w:val="0"/>
        <w:autoSpaceDN w:val="0"/>
        <w:jc w:val="both"/>
        <w:rPr>
          <w:rFonts w:ascii="Calibri" w:hAnsi="Calibri" w:cs="Calibri"/>
          <w:sz w:val="18"/>
          <w:szCs w:val="18"/>
          <w:highlight w:val="yellow"/>
        </w:rPr>
      </w:pPr>
    </w:p>
    <w:p w14:paraId="3A1DD535" w14:textId="6DF4E02E" w:rsidR="00C3451B" w:rsidRPr="007D60AC" w:rsidRDefault="00C3451B" w:rsidP="00C3451B">
      <w:pPr>
        <w:numPr>
          <w:ilvl w:val="0"/>
          <w:numId w:val="43"/>
        </w:numPr>
        <w:autoSpaceDE w:val="0"/>
        <w:autoSpaceDN w:val="0"/>
        <w:ind w:left="142" w:hanging="284"/>
        <w:jc w:val="both"/>
        <w:rPr>
          <w:rFonts w:ascii="Calibri" w:hAnsi="Calibri" w:cs="Calibri"/>
          <w:sz w:val="18"/>
          <w:szCs w:val="18"/>
        </w:rPr>
      </w:pPr>
      <w:r w:rsidRPr="007D60AC">
        <w:rPr>
          <w:rFonts w:cs="Calibri"/>
          <w:sz w:val="18"/>
          <w:szCs w:val="18"/>
        </w:rPr>
        <w:t xml:space="preserve">Czy w celu zachowania wysokich norm jakości i bezpieczeństwa dla wyrobów medycznych w odpowiedzi na powszechne obawy dotyczące bezpieczeństwa takich produktów przy jednoczesnym wsparciu innowacji, fabrycznie oryginalny zawór dozujący (bez dodatkowych modyfikacji i przeróbek, zarejestrowany przez producenta) do podawania mieszaniny gazowej 50 % tlen i 50% podtlenek azotu wraz ze wszystkimi jego elementami składowymi ma być nierozbieralny/nierozkręcalny , tzn. nie ma w nim być elementów, które pacjent  i/lub osoba odwiedzająca i/lub personel Zamawiającego (w zgodzie z definicją zawartą </w:t>
      </w:r>
      <w:r w:rsidRPr="007D60AC">
        <w:rPr>
          <w:rFonts w:cs="Calibri"/>
          <w:sz w:val="18"/>
          <w:szCs w:val="18"/>
        </w:rPr>
        <w:br/>
        <w:t>w ROZPORZĄDZENIU PARLAMENTU EUROPEJSKIEGO I RADY (UE) 2017/745 z dnia 5 kwietnia 2017 r. w sprawie wyrobów medycznych, w art. 2 pkt. 37 i/lub 38 – użytkownik/laik)  bez użycia dedykowanych do tego narzędzi może swobodnie odkręcić, usunąć i stworzyć dla siebie potencjalne zagrożenie oraz zmniejszyć walory użytkowe urządzenia np. poprzez zatrzymanie lub wyraźne spowolnienie przepływu gazu.</w:t>
      </w:r>
    </w:p>
    <w:p w14:paraId="664932A1" w14:textId="73917F60" w:rsidR="007D60AC" w:rsidRDefault="007D60AC" w:rsidP="007D60AC">
      <w:pPr>
        <w:autoSpaceDE w:val="0"/>
        <w:autoSpaceDN w:val="0"/>
        <w:jc w:val="both"/>
        <w:rPr>
          <w:rFonts w:cs="Calibri"/>
          <w:sz w:val="18"/>
          <w:szCs w:val="18"/>
        </w:rPr>
      </w:pPr>
    </w:p>
    <w:p w14:paraId="04453D2F" w14:textId="0886BA52" w:rsidR="007D60AC" w:rsidRDefault="007D60AC" w:rsidP="007D60AC">
      <w:pPr>
        <w:ind w:left="-142"/>
        <w:jc w:val="both"/>
        <w:rPr>
          <w:b/>
          <w:color w:val="0070C0"/>
        </w:rPr>
      </w:pPr>
      <w:r>
        <w:rPr>
          <w:b/>
          <w:color w:val="0070C0"/>
        </w:rPr>
        <w:lastRenderedPageBreak/>
        <w:t>Zamawiający potwierdza, że muszą być zachowane najwyższe normy jakości i bezpieczeństwa.</w:t>
      </w:r>
    </w:p>
    <w:p w14:paraId="739E47FA" w14:textId="77777777" w:rsidR="007D60AC" w:rsidRDefault="007D60AC" w:rsidP="007D60AC">
      <w:pPr>
        <w:ind w:left="-142"/>
        <w:jc w:val="both"/>
        <w:rPr>
          <w:b/>
          <w:color w:val="0070C0"/>
        </w:rPr>
      </w:pPr>
    </w:p>
    <w:p w14:paraId="2FD0700D" w14:textId="77777777" w:rsidR="007D60AC" w:rsidRPr="007D60AC" w:rsidRDefault="007D60AC" w:rsidP="007D60AC">
      <w:pPr>
        <w:autoSpaceDE w:val="0"/>
        <w:autoSpaceDN w:val="0"/>
        <w:jc w:val="both"/>
        <w:rPr>
          <w:rFonts w:ascii="Calibri" w:hAnsi="Calibri" w:cs="Calibri"/>
          <w:sz w:val="18"/>
          <w:szCs w:val="18"/>
        </w:rPr>
      </w:pPr>
    </w:p>
    <w:p w14:paraId="258913D1" w14:textId="77777777" w:rsidR="00C3451B" w:rsidRPr="007D60AC" w:rsidRDefault="00C3451B" w:rsidP="00C3451B">
      <w:pPr>
        <w:autoSpaceDE w:val="0"/>
        <w:autoSpaceDN w:val="0"/>
        <w:jc w:val="both"/>
        <w:rPr>
          <w:rFonts w:ascii="Calibri" w:hAnsi="Calibri" w:cs="Calibri"/>
          <w:sz w:val="18"/>
          <w:szCs w:val="18"/>
        </w:rPr>
      </w:pPr>
    </w:p>
    <w:p w14:paraId="16CA104C" w14:textId="77777777" w:rsidR="00C3451B" w:rsidRPr="00FB4C04" w:rsidRDefault="00C3451B" w:rsidP="00C3451B">
      <w:pPr>
        <w:numPr>
          <w:ilvl w:val="0"/>
          <w:numId w:val="43"/>
        </w:numPr>
        <w:autoSpaceDE w:val="0"/>
        <w:autoSpaceDN w:val="0"/>
        <w:ind w:left="142" w:hanging="284"/>
        <w:jc w:val="both"/>
        <w:rPr>
          <w:rFonts w:ascii="Calibri" w:hAnsi="Calibri" w:cs="Calibri"/>
          <w:sz w:val="18"/>
          <w:szCs w:val="18"/>
        </w:rPr>
      </w:pPr>
      <w:r w:rsidRPr="00FB4C04">
        <w:rPr>
          <w:rFonts w:cs="Calibri"/>
          <w:sz w:val="18"/>
          <w:szCs w:val="18"/>
        </w:rPr>
        <w:t xml:space="preserve">Czy Zamawiający może potwierdzić z pełną stanowczością, iż w trakcie realizacji umowy i wynikającego z niej użytkowania mieszaniny gazowej 50 % tlen i 50% podtlenek azotu, nie będzie wykorzystywał w/w mieszaniny do leczenia krótkotrwałego bólu o łagodnym lub umiarkowanym nasileniu, kiedy pożądany jest szybki początek i ustąpienie działania przeciwbólowego, </w:t>
      </w:r>
      <w:r w:rsidRPr="00FB4C04">
        <w:rPr>
          <w:rFonts w:cs="Calibri"/>
          <w:sz w:val="18"/>
          <w:szCs w:val="18"/>
        </w:rPr>
        <w:br/>
        <w:t>w zależności od zaistniałych potrzeb, tj. w sposób ciągły przez okres co najmniej 6 godzin bez kontrolowania morfologii krwi.</w:t>
      </w:r>
    </w:p>
    <w:p w14:paraId="60DFDF24" w14:textId="77777777" w:rsidR="00C3451B" w:rsidRPr="00FB4C04" w:rsidRDefault="00C3451B" w:rsidP="00C3451B">
      <w:pPr>
        <w:autoSpaceDE w:val="0"/>
        <w:autoSpaceDN w:val="0"/>
        <w:jc w:val="both"/>
        <w:rPr>
          <w:rFonts w:cs="Arial"/>
          <w:sz w:val="18"/>
          <w:szCs w:val="22"/>
        </w:rPr>
      </w:pPr>
    </w:p>
    <w:p w14:paraId="5408AED7" w14:textId="7472B647" w:rsidR="00FB4C04" w:rsidRPr="00FB4C04" w:rsidRDefault="00FB4C04" w:rsidP="00FB4C04">
      <w:pPr>
        <w:jc w:val="both"/>
        <w:rPr>
          <w:rFonts w:eastAsia="Calibri" w:cs="Times New Roman"/>
          <w:b/>
          <w:bCs/>
          <w:color w:val="0070C0"/>
          <w:lang w:eastAsia="en-US"/>
        </w:rPr>
      </w:pPr>
      <w:r w:rsidRPr="00FB4C04">
        <w:rPr>
          <w:rFonts w:eastAsia="Calibri" w:cs="Times New Roman"/>
          <w:b/>
          <w:bCs/>
          <w:color w:val="0070C0"/>
          <w:lang w:eastAsia="en-US"/>
        </w:rPr>
        <w:t>Zamawiający wymaga dostarczenia mieszaniny gazów: 50% tlenu i 50 % podtlenku azotu do leczenia krótkotrwałego bólu o łagodnym lub umiarkowanym nasileniu, kiedy pożądany jest szybki początek i ustąpienie działania przeciwbólowego. Zamawiający wymaga aby mieszanina gazów: tlenu 50% i podtlenku azotu 50%  stosowana u pacjentów, u których nie występują czynniki ryzyka  mieszanina może być podawana przez okres do 6 godzin bez kontrolowania morfologii krwi.</w:t>
      </w:r>
    </w:p>
    <w:p w14:paraId="4D26FDD4" w14:textId="17FEC543" w:rsidR="006C259C" w:rsidRDefault="006C259C" w:rsidP="00C3451B">
      <w:pPr>
        <w:rPr>
          <w:color w:val="002060"/>
          <w:sz w:val="16"/>
          <w:highlight w:val="yellow"/>
        </w:rPr>
      </w:pPr>
    </w:p>
    <w:p w14:paraId="23E2643F" w14:textId="77777777" w:rsidR="006C259C" w:rsidRPr="00C3451B" w:rsidRDefault="006C259C" w:rsidP="00C3451B">
      <w:pPr>
        <w:rPr>
          <w:color w:val="002060"/>
          <w:sz w:val="16"/>
          <w:highlight w:val="yellow"/>
        </w:rPr>
      </w:pPr>
    </w:p>
    <w:p w14:paraId="617E62BC" w14:textId="77777777" w:rsidR="00C3451B" w:rsidRPr="007A1FCC" w:rsidRDefault="00C3451B" w:rsidP="00C3451B">
      <w:pPr>
        <w:ind w:hanging="142"/>
        <w:jc w:val="both"/>
      </w:pPr>
      <w:r w:rsidRPr="007A1FCC">
        <w:rPr>
          <w:rFonts w:ascii="Arial" w:hAnsi="Arial" w:cs="Arial"/>
          <w:b/>
          <w:bCs/>
          <w:color w:val="0070C0"/>
          <w:sz w:val="18"/>
          <w:szCs w:val="18"/>
          <w:u w:val="single"/>
        </w:rPr>
        <w:t>Pytanie nr 13  – Pakiet 3</w:t>
      </w:r>
    </w:p>
    <w:p w14:paraId="489EB989" w14:textId="77777777" w:rsidR="00C3451B" w:rsidRPr="007A1FCC" w:rsidRDefault="00C3451B" w:rsidP="00C3451B">
      <w:pPr>
        <w:ind w:left="-142"/>
        <w:jc w:val="both"/>
      </w:pPr>
      <w:r w:rsidRPr="007A1FCC">
        <w:rPr>
          <w:sz w:val="18"/>
          <w:szCs w:val="22"/>
        </w:rPr>
        <w:t xml:space="preserve">Wnosimy o dopuszczenie </w:t>
      </w:r>
      <w:r w:rsidRPr="007A1FCC">
        <w:rPr>
          <w:rFonts w:ascii="Arial" w:hAnsi="Arial" w:cs="Arial"/>
          <w:b/>
          <w:bCs/>
          <w:color w:val="0070C0"/>
          <w:sz w:val="18"/>
          <w:szCs w:val="22"/>
        </w:rPr>
        <w:t>OBECNIE UŻYTKOWANEGO</w:t>
      </w:r>
      <w:r w:rsidRPr="007A1FCC">
        <w:rPr>
          <w:sz w:val="18"/>
          <w:szCs w:val="22"/>
        </w:rPr>
        <w:t xml:space="preserve"> przez Zamawiającego urządzenia do podawania tlenku azotu znanej </w:t>
      </w:r>
      <w:r w:rsidRPr="007A1FCC">
        <w:rPr>
          <w:sz w:val="18"/>
          <w:szCs w:val="22"/>
        </w:rPr>
        <w:br/>
        <w:t>i renomowanej  firmy Mallinckrodt, lidera na rynku tego typu urządzeń, o nazwie własnej INOmax DSIR  wraz pneumatycznym, niezależnym systemem podawania NO do zastosowania na krótki czas lub w transporcie pacjenta, który też może pełnić funkcję stacjonarną lub mobilną w zależności od potrzeb Zamawiającego o nazwie własnej INOblender o parametrach równoważnych lub lepszych niż te wskazane w Załączniku nr 2 do SWZ dla pakietu nr 3  ZESTAWIENIE PARAMETRÓW TECHNICZNYCH, co zostanie odpowiednio wskazane w treści w/w załącznika, stanowiącego integralną część przedłożonej oferty.</w:t>
      </w:r>
      <w:r w:rsidRPr="007A1FCC">
        <w:rPr>
          <w:b/>
          <w:bCs/>
          <w:sz w:val="18"/>
          <w:szCs w:val="22"/>
        </w:rPr>
        <w:t xml:space="preserve"> </w:t>
      </w:r>
      <w:r w:rsidRPr="007A1FCC">
        <w:rPr>
          <w:sz w:val="18"/>
          <w:szCs w:val="22"/>
        </w:rPr>
        <w:t>Proponowane urządzenie umożliwi Zamawiającemu bezpieczną, ekonomiczną, wygodną i komfortową pracę  personelu z urządzeniem na poziomie tożsamym lub lepszym w porównaniu z wyspecyfikowanym pierwotnie urządzeniem.</w:t>
      </w:r>
      <w:r w:rsidRPr="007A1FCC">
        <w:rPr>
          <w:b/>
          <w:bCs/>
          <w:sz w:val="18"/>
          <w:szCs w:val="22"/>
        </w:rPr>
        <w:t xml:space="preserve">  Parametry proponowanego urządzenia przedstawione są w szczegółowej instrukcji urządzenia, stanowiącego załącznik do przedmiotowego wniosku. </w:t>
      </w:r>
    </w:p>
    <w:p w14:paraId="0C40A48C" w14:textId="77777777" w:rsidR="00C3451B" w:rsidRPr="007A1FCC" w:rsidRDefault="00C3451B" w:rsidP="00C3451B">
      <w:pPr>
        <w:ind w:hanging="142"/>
        <w:jc w:val="both"/>
      </w:pPr>
    </w:p>
    <w:p w14:paraId="26F5584A" w14:textId="77777777" w:rsidR="00C3451B" w:rsidRPr="007A1FCC" w:rsidRDefault="00C3451B" w:rsidP="00C3451B">
      <w:pPr>
        <w:ind w:left="-142"/>
        <w:jc w:val="both"/>
      </w:pPr>
      <w:r w:rsidRPr="007A1FCC">
        <w:rPr>
          <w:b/>
          <w:bCs/>
          <w:sz w:val="18"/>
          <w:szCs w:val="22"/>
        </w:rPr>
        <w:t>Państwa zgoda umożliwi naszej firmie złożyć ważną,</w:t>
      </w:r>
      <w:r w:rsidRPr="007A1FCC">
        <w:rPr>
          <w:sz w:val="18"/>
          <w:szCs w:val="22"/>
        </w:rPr>
        <w:t xml:space="preserve"> </w:t>
      </w:r>
      <w:r w:rsidRPr="007A1FCC">
        <w:rPr>
          <w:b/>
          <w:bCs/>
          <w:sz w:val="18"/>
          <w:szCs w:val="22"/>
        </w:rPr>
        <w:t xml:space="preserve">rzetelną, wiarygodną  oraz konkurencyjną ofertę, </w:t>
      </w:r>
      <w:r w:rsidRPr="007A1FCC">
        <w:rPr>
          <w:b/>
          <w:bCs/>
          <w:sz w:val="18"/>
          <w:szCs w:val="22"/>
        </w:rPr>
        <w:br/>
        <w:t xml:space="preserve">a jednocześnie rozszerzy krąg potencjalnych wykonawców, pozwalając osiągnąć Zamawiającemu najlepszą jakość dostaw, uzasadnioną charakterem zamówienia, w ramach środków, które zamawiający może przeznaczyć na jego realizację, a nie spowoduje zarzutu naruszenie zasad uczciwej konkurencji </w:t>
      </w:r>
      <w:r w:rsidRPr="007A1FCC">
        <w:rPr>
          <w:b/>
          <w:bCs/>
          <w:sz w:val="18"/>
          <w:szCs w:val="22"/>
          <w:u w:val="single"/>
        </w:rPr>
        <w:t>(egalitarna i elementarna zasada prawa zamówień publicznych).</w:t>
      </w:r>
      <w:r w:rsidRPr="007A1FCC">
        <w:rPr>
          <w:b/>
          <w:bCs/>
          <w:sz w:val="18"/>
          <w:szCs w:val="22"/>
        </w:rPr>
        <w:t xml:space="preserve">   </w:t>
      </w:r>
    </w:p>
    <w:p w14:paraId="2D48E906" w14:textId="77777777" w:rsidR="00C3451B" w:rsidRPr="007A1FCC" w:rsidRDefault="00C3451B" w:rsidP="00C3451B">
      <w:pPr>
        <w:ind w:hanging="142"/>
        <w:jc w:val="both"/>
      </w:pPr>
    </w:p>
    <w:p w14:paraId="6120525C" w14:textId="77777777" w:rsidR="00C3451B" w:rsidRPr="007A1FCC" w:rsidRDefault="00C3451B" w:rsidP="00C3451B">
      <w:pPr>
        <w:ind w:left="-142"/>
        <w:jc w:val="both"/>
        <w:rPr>
          <w:sz w:val="18"/>
          <w:szCs w:val="22"/>
        </w:rPr>
      </w:pPr>
      <w:r w:rsidRPr="007A1FCC">
        <w:rPr>
          <w:sz w:val="18"/>
          <w:szCs w:val="22"/>
        </w:rPr>
        <w:t xml:space="preserve">Jednocześnie opierając się o tą samą argumentację wnosimy o potwierdzenia dopuszczenia możliwości zaoferowania </w:t>
      </w:r>
      <w:r w:rsidRPr="007A1FCC">
        <w:rPr>
          <w:rFonts w:ascii="Arial" w:hAnsi="Arial" w:cs="Arial"/>
          <w:b/>
          <w:bCs/>
          <w:color w:val="0070C0"/>
          <w:sz w:val="18"/>
          <w:szCs w:val="22"/>
        </w:rPr>
        <w:t>OBECNIE UŻYTKOWANEGO</w:t>
      </w:r>
      <w:r w:rsidRPr="007A1FCC">
        <w:rPr>
          <w:sz w:val="18"/>
          <w:szCs w:val="22"/>
        </w:rPr>
        <w:t xml:space="preserve"> medycznego tlenku azotu w butlach o pojemności 10l, stężeniu NO w N2 wynoszącym 800ppm oraz ciśnieniu </w:t>
      </w:r>
      <w:r w:rsidRPr="00BD0BAF">
        <w:rPr>
          <w:sz w:val="18"/>
          <w:szCs w:val="22"/>
        </w:rPr>
        <w:t>napełnienia butli 155 bar</w:t>
      </w:r>
      <w:r w:rsidRPr="007A1FCC">
        <w:rPr>
          <w:sz w:val="18"/>
          <w:szCs w:val="22"/>
        </w:rPr>
        <w:t xml:space="preserve"> </w:t>
      </w:r>
    </w:p>
    <w:p w14:paraId="300482B1" w14:textId="77777777" w:rsidR="00C3451B" w:rsidRPr="007A1FCC" w:rsidRDefault="00C3451B" w:rsidP="00C3451B">
      <w:pPr>
        <w:ind w:left="-142"/>
        <w:jc w:val="both"/>
        <w:rPr>
          <w:sz w:val="18"/>
          <w:szCs w:val="22"/>
        </w:rPr>
      </w:pPr>
    </w:p>
    <w:p w14:paraId="38169006" w14:textId="77777777" w:rsidR="00C3451B" w:rsidRPr="007A1FCC" w:rsidRDefault="00C3451B" w:rsidP="00C3451B">
      <w:pPr>
        <w:ind w:left="-142"/>
        <w:jc w:val="both"/>
        <w:rPr>
          <w:u w:val="single"/>
        </w:rPr>
      </w:pPr>
      <w:r w:rsidRPr="007A1FCC">
        <w:rPr>
          <w:sz w:val="18"/>
          <w:szCs w:val="22"/>
          <w:u w:val="single"/>
        </w:rPr>
        <w:t xml:space="preserve">W PRZYPADKU ODPOWIEDZI ODMOWNEJ WNOSIMY O UZASADNIENIE MERYTORYCZNE BRAKU DOPUSZCZENIA ASORTYMENTU UŻYTKOWANEGO PRZEZ ZAMAWIAJĄCEGO OD KILKU LAT, W TYM RÓWNIEŻ W CHWILI OBECNEJ. </w:t>
      </w:r>
    </w:p>
    <w:p w14:paraId="54A01A35" w14:textId="77777777" w:rsidR="00C3451B" w:rsidRPr="007A1FCC" w:rsidRDefault="00C3451B" w:rsidP="00C3451B">
      <w:pPr>
        <w:ind w:left="-142"/>
        <w:jc w:val="both"/>
      </w:pPr>
    </w:p>
    <w:p w14:paraId="589C02C3" w14:textId="77777777" w:rsidR="007A1FCC" w:rsidRDefault="007A1FCC" w:rsidP="007A1FCC">
      <w:pPr>
        <w:ind w:left="-142"/>
        <w:jc w:val="both"/>
        <w:rPr>
          <w:b/>
          <w:color w:val="0070C0"/>
        </w:rPr>
      </w:pPr>
      <w:r w:rsidRPr="008F10BD">
        <w:rPr>
          <w:b/>
          <w:color w:val="0070C0"/>
        </w:rPr>
        <w:t>Zamawiają</w:t>
      </w:r>
      <w:r>
        <w:rPr>
          <w:b/>
          <w:color w:val="0070C0"/>
        </w:rPr>
        <w:t>cy dopuszcza w/w rozwiązanie.</w:t>
      </w:r>
    </w:p>
    <w:p w14:paraId="2BFBC339" w14:textId="77777777" w:rsidR="007A1FCC" w:rsidRDefault="007A1FCC" w:rsidP="007A1FCC">
      <w:pPr>
        <w:ind w:left="-142"/>
        <w:jc w:val="both"/>
        <w:rPr>
          <w:b/>
          <w:color w:val="0070C0"/>
        </w:rPr>
      </w:pPr>
    </w:p>
    <w:p w14:paraId="3A7B0F46" w14:textId="77777777" w:rsidR="00C3451B" w:rsidRPr="00F915DF" w:rsidRDefault="00C3451B" w:rsidP="00C3451B">
      <w:pPr>
        <w:ind w:hanging="142"/>
        <w:jc w:val="both"/>
      </w:pPr>
      <w:r w:rsidRPr="00F915DF">
        <w:rPr>
          <w:rFonts w:ascii="Arial" w:hAnsi="Arial" w:cs="Arial"/>
          <w:b/>
          <w:bCs/>
          <w:color w:val="0070C0"/>
          <w:sz w:val="18"/>
          <w:szCs w:val="18"/>
          <w:u w:val="single"/>
        </w:rPr>
        <w:t>Pytanie nr 14  – Pakiet 3</w:t>
      </w:r>
    </w:p>
    <w:p w14:paraId="1E05CFF7" w14:textId="77777777" w:rsidR="00C3451B" w:rsidRPr="00F915DF" w:rsidRDefault="00C3451B" w:rsidP="00C3451B">
      <w:pPr>
        <w:ind w:left="-142"/>
        <w:jc w:val="both"/>
      </w:pPr>
      <w:r w:rsidRPr="00F915DF">
        <w:rPr>
          <w:sz w:val="18"/>
          <w:szCs w:val="22"/>
        </w:rPr>
        <w:t xml:space="preserve">Wnosimy do Zamawiającego o doprecyzowanie przedmiotu zamówienia w zakresie pakietu 3 poprzez wskazanie dokładnego pierwotnego opisu w zakresie  którego należy złożyć ofertę na medyczny tlenek azotu oraz wskazanie niezbędnych oczekiwanych parametrów lub ich dopuszczalnych zakresów : </w:t>
      </w:r>
    </w:p>
    <w:p w14:paraId="600800E8" w14:textId="77777777" w:rsidR="00C3451B" w:rsidRPr="00F915DF" w:rsidRDefault="00C3451B" w:rsidP="00C3451B">
      <w:pPr>
        <w:ind w:left="-142"/>
        <w:jc w:val="both"/>
      </w:pPr>
      <w:r w:rsidRPr="00F915DF">
        <w:rPr>
          <w:sz w:val="18"/>
          <w:szCs w:val="22"/>
        </w:rPr>
        <w:t xml:space="preserve">[pojemność wodna butli wyrażona w litrach, ciśnienie w butli [bary], Stężenie NO w N2 (ppm)]. </w:t>
      </w:r>
    </w:p>
    <w:p w14:paraId="2E17BDBE" w14:textId="77777777" w:rsidR="00C3451B" w:rsidRPr="00F915DF" w:rsidRDefault="00C3451B" w:rsidP="00C3451B">
      <w:pPr>
        <w:ind w:left="-142"/>
        <w:jc w:val="both"/>
      </w:pPr>
    </w:p>
    <w:p w14:paraId="5FD6E65B" w14:textId="77777777" w:rsidR="00C3451B" w:rsidRPr="00F915DF" w:rsidRDefault="00C3451B" w:rsidP="00C3451B">
      <w:pPr>
        <w:ind w:left="-142"/>
        <w:jc w:val="both"/>
      </w:pPr>
      <w:r w:rsidRPr="00F915DF">
        <w:rPr>
          <w:sz w:val="18"/>
          <w:szCs w:val="22"/>
        </w:rPr>
        <w:t xml:space="preserve">Mieszanina tlenku azotu w azocie w butlach dostępna jest w opcjach o różnych właściwościach fizyczno – chemicznych </w:t>
      </w:r>
      <w:r w:rsidRPr="00F915DF">
        <w:rPr>
          <w:sz w:val="18"/>
          <w:szCs w:val="22"/>
        </w:rPr>
        <w:br/>
        <w:t xml:space="preserve">i parametrach technicznych, a zastosowany opis przedmiotu zamówienia: </w:t>
      </w:r>
      <w:r w:rsidRPr="00F915DF">
        <w:rPr>
          <w:i/>
          <w:iCs/>
          <w:sz w:val="18"/>
          <w:szCs w:val="22"/>
        </w:rPr>
        <w:t>„tlenek azotu w azocie od 450 ppm”</w:t>
      </w:r>
      <w:r w:rsidRPr="00F915DF">
        <w:rPr>
          <w:sz w:val="18"/>
          <w:szCs w:val="22"/>
        </w:rPr>
        <w:t xml:space="preserve"> stoi w sprzeczności </w:t>
      </w:r>
      <w:r w:rsidRPr="00F915DF">
        <w:rPr>
          <w:sz w:val="18"/>
          <w:szCs w:val="22"/>
        </w:rPr>
        <w:br/>
        <w:t>z fundamentalnymi zapisami ustawy Prawo zamówień publicznych, tj. :</w:t>
      </w:r>
    </w:p>
    <w:p w14:paraId="52502413" w14:textId="77777777" w:rsidR="00C3451B" w:rsidRPr="00F915DF" w:rsidRDefault="00C3451B" w:rsidP="00C3451B">
      <w:pPr>
        <w:ind w:left="-142"/>
        <w:jc w:val="both"/>
        <w:rPr>
          <w:sz w:val="18"/>
          <w:szCs w:val="22"/>
        </w:rPr>
      </w:pPr>
    </w:p>
    <w:p w14:paraId="6784BFC5" w14:textId="77777777" w:rsidR="00C3451B" w:rsidRPr="00F915DF" w:rsidRDefault="00C3451B" w:rsidP="00C3451B">
      <w:pPr>
        <w:ind w:left="-142"/>
        <w:jc w:val="both"/>
        <w:rPr>
          <w:sz w:val="18"/>
          <w:szCs w:val="22"/>
        </w:rPr>
      </w:pPr>
      <w:r w:rsidRPr="00F915DF">
        <w:rPr>
          <w:sz w:val="18"/>
          <w:szCs w:val="22"/>
        </w:rPr>
        <w:t xml:space="preserve">Art. 16. Zamawiający przygotowuje i przeprowadza postępowanie o udzielenie zamówienia w sposób: </w:t>
      </w:r>
    </w:p>
    <w:p w14:paraId="6ABDE4B8" w14:textId="77777777" w:rsidR="00C3451B" w:rsidRPr="00F915DF" w:rsidRDefault="00C3451B" w:rsidP="00C3451B">
      <w:pPr>
        <w:ind w:left="-142"/>
        <w:jc w:val="both"/>
        <w:rPr>
          <w:sz w:val="18"/>
          <w:szCs w:val="22"/>
        </w:rPr>
      </w:pPr>
      <w:r w:rsidRPr="00F915DF">
        <w:rPr>
          <w:sz w:val="18"/>
          <w:szCs w:val="22"/>
        </w:rPr>
        <w:t xml:space="preserve">1) zapewniający zachowanie uczciwej konkurencji oraz równe traktowanie wykonawców; </w:t>
      </w:r>
    </w:p>
    <w:p w14:paraId="11FC663A" w14:textId="77777777" w:rsidR="00C3451B" w:rsidRPr="00F915DF" w:rsidRDefault="00C3451B" w:rsidP="00C3451B">
      <w:pPr>
        <w:ind w:left="-142"/>
        <w:jc w:val="both"/>
        <w:rPr>
          <w:sz w:val="18"/>
          <w:szCs w:val="22"/>
        </w:rPr>
      </w:pPr>
      <w:r w:rsidRPr="00F915DF">
        <w:rPr>
          <w:sz w:val="18"/>
          <w:szCs w:val="22"/>
        </w:rPr>
        <w:t xml:space="preserve">2) przejrzysty; </w:t>
      </w:r>
    </w:p>
    <w:p w14:paraId="1AEA6A75" w14:textId="77777777" w:rsidR="00C3451B" w:rsidRPr="00F915DF" w:rsidRDefault="00C3451B" w:rsidP="00C3451B">
      <w:pPr>
        <w:ind w:left="-142"/>
        <w:jc w:val="both"/>
        <w:rPr>
          <w:sz w:val="18"/>
          <w:szCs w:val="22"/>
        </w:rPr>
      </w:pPr>
      <w:r w:rsidRPr="00F915DF">
        <w:rPr>
          <w:sz w:val="18"/>
          <w:szCs w:val="22"/>
        </w:rPr>
        <w:t>3) proporcjonalny.</w:t>
      </w:r>
    </w:p>
    <w:p w14:paraId="2E02C480" w14:textId="77777777" w:rsidR="00C3451B" w:rsidRPr="00F915DF" w:rsidRDefault="00C3451B" w:rsidP="00C3451B">
      <w:pPr>
        <w:ind w:left="-142"/>
        <w:jc w:val="both"/>
        <w:rPr>
          <w:sz w:val="18"/>
          <w:szCs w:val="22"/>
        </w:rPr>
      </w:pPr>
    </w:p>
    <w:p w14:paraId="3B392C9B" w14:textId="77777777" w:rsidR="00C3451B" w:rsidRPr="00F915DF" w:rsidRDefault="00C3451B" w:rsidP="00C3451B">
      <w:pPr>
        <w:ind w:left="-142"/>
        <w:jc w:val="both"/>
        <w:rPr>
          <w:sz w:val="18"/>
          <w:szCs w:val="22"/>
        </w:rPr>
      </w:pPr>
      <w:r w:rsidRPr="00F915DF">
        <w:rPr>
          <w:sz w:val="18"/>
          <w:szCs w:val="22"/>
        </w:rPr>
        <w:lastRenderedPageBreak/>
        <w:t xml:space="preserve">Art. 99. </w:t>
      </w:r>
    </w:p>
    <w:p w14:paraId="1B710270" w14:textId="77777777" w:rsidR="00C3451B" w:rsidRPr="00F915DF" w:rsidRDefault="00C3451B" w:rsidP="00C3451B">
      <w:pPr>
        <w:numPr>
          <w:ilvl w:val="0"/>
          <w:numId w:val="45"/>
        </w:numPr>
        <w:ind w:left="0" w:hanging="142"/>
        <w:jc w:val="both"/>
        <w:rPr>
          <w:sz w:val="18"/>
          <w:szCs w:val="22"/>
        </w:rPr>
      </w:pPr>
      <w:r w:rsidRPr="00F915DF">
        <w:rPr>
          <w:sz w:val="18"/>
          <w:szCs w:val="22"/>
        </w:rPr>
        <w:t xml:space="preserve">Przedmiot zamówienia opisuje się w sposób jednoznaczny i wyczerpujący, za pomocą dostatecznie dokładnych i zrozumiałych określeń, uwzględniając wymagania i okoliczności mogące mieć wpływ na sporządzenie oferty. </w:t>
      </w:r>
    </w:p>
    <w:p w14:paraId="59774B24" w14:textId="77777777" w:rsidR="00C3451B" w:rsidRPr="00C3451B" w:rsidRDefault="00C3451B" w:rsidP="00C3451B">
      <w:pPr>
        <w:jc w:val="both"/>
        <w:rPr>
          <w:sz w:val="18"/>
          <w:szCs w:val="22"/>
          <w:highlight w:val="yellow"/>
        </w:rPr>
      </w:pPr>
    </w:p>
    <w:p w14:paraId="7E15D17D" w14:textId="3BC677D6" w:rsidR="00B91286" w:rsidRPr="00B91286" w:rsidRDefault="00B91286" w:rsidP="00B91286">
      <w:pPr>
        <w:ind w:left="-142"/>
        <w:jc w:val="both"/>
        <w:rPr>
          <w:b/>
          <w:color w:val="0070C0"/>
        </w:rPr>
      </w:pPr>
      <w:r w:rsidRPr="008F10BD">
        <w:rPr>
          <w:b/>
          <w:color w:val="0070C0"/>
        </w:rPr>
        <w:t>Zamawiają</w:t>
      </w:r>
      <w:r>
        <w:rPr>
          <w:b/>
          <w:color w:val="0070C0"/>
        </w:rPr>
        <w:t xml:space="preserve">cy wskazuje </w:t>
      </w:r>
      <w:r w:rsidR="0062194E">
        <w:rPr>
          <w:b/>
          <w:color w:val="0070C0"/>
        </w:rPr>
        <w:t>niezbędne</w:t>
      </w:r>
      <w:r w:rsidRPr="00B91286">
        <w:rPr>
          <w:b/>
          <w:color w:val="0070C0"/>
        </w:rPr>
        <w:t xml:space="preserve"> parametr</w:t>
      </w:r>
      <w:r w:rsidR="0062194E">
        <w:rPr>
          <w:b/>
          <w:color w:val="0070C0"/>
        </w:rPr>
        <w:t>y</w:t>
      </w:r>
      <w:r w:rsidRPr="00B91286">
        <w:rPr>
          <w:b/>
          <w:color w:val="0070C0"/>
        </w:rPr>
        <w:t xml:space="preserve"> zakresów </w:t>
      </w:r>
      <w:r w:rsidR="0062194E" w:rsidRPr="00B91286">
        <w:rPr>
          <w:b/>
          <w:color w:val="0070C0"/>
        </w:rPr>
        <w:t>medyczn</w:t>
      </w:r>
      <w:r w:rsidR="008B31B5">
        <w:rPr>
          <w:b/>
          <w:color w:val="0070C0"/>
        </w:rPr>
        <w:t>ego</w:t>
      </w:r>
      <w:r w:rsidR="0062194E" w:rsidRPr="00B91286">
        <w:rPr>
          <w:b/>
          <w:color w:val="0070C0"/>
        </w:rPr>
        <w:t xml:space="preserve"> tlenk</w:t>
      </w:r>
      <w:r w:rsidR="008B31B5">
        <w:rPr>
          <w:b/>
          <w:color w:val="0070C0"/>
        </w:rPr>
        <w:t>u</w:t>
      </w:r>
      <w:r w:rsidR="0062194E" w:rsidRPr="00B91286">
        <w:rPr>
          <w:b/>
          <w:color w:val="0070C0"/>
        </w:rPr>
        <w:t xml:space="preserve"> azotu</w:t>
      </w:r>
      <w:r w:rsidR="008B31B5">
        <w:rPr>
          <w:b/>
          <w:color w:val="0070C0"/>
        </w:rPr>
        <w:t xml:space="preserve"> w azocie</w:t>
      </w:r>
      <w:r w:rsidRPr="00B91286">
        <w:rPr>
          <w:b/>
          <w:color w:val="0070C0"/>
        </w:rPr>
        <w:t xml:space="preserve">: </w:t>
      </w:r>
    </w:p>
    <w:p w14:paraId="26129F19" w14:textId="2FA4CE4B" w:rsidR="00B91286" w:rsidRPr="002437A5" w:rsidRDefault="00B91286" w:rsidP="00B91286">
      <w:pPr>
        <w:ind w:left="-142"/>
        <w:jc w:val="both"/>
        <w:rPr>
          <w:b/>
          <w:color w:val="0070C0"/>
        </w:rPr>
      </w:pPr>
      <w:r w:rsidRPr="00B91286">
        <w:rPr>
          <w:b/>
          <w:color w:val="0070C0"/>
        </w:rPr>
        <w:t>[pojemność wodna butli wyrażona w litrach</w:t>
      </w:r>
      <w:r w:rsidR="00C86777">
        <w:rPr>
          <w:b/>
          <w:color w:val="0070C0"/>
        </w:rPr>
        <w:t>:</w:t>
      </w:r>
      <w:r w:rsidR="008B31B5">
        <w:rPr>
          <w:b/>
          <w:color w:val="0070C0"/>
        </w:rPr>
        <w:t xml:space="preserve"> 10</w:t>
      </w:r>
      <w:r w:rsidR="00C86777">
        <w:rPr>
          <w:b/>
          <w:color w:val="0070C0"/>
        </w:rPr>
        <w:t xml:space="preserve"> - 20</w:t>
      </w:r>
      <w:r w:rsidR="008B31B5">
        <w:rPr>
          <w:b/>
          <w:color w:val="0070C0"/>
        </w:rPr>
        <w:t>l.</w:t>
      </w:r>
      <w:r w:rsidRPr="00B91286">
        <w:rPr>
          <w:b/>
          <w:color w:val="0070C0"/>
        </w:rPr>
        <w:t>, ciśnienie w butli [bary]</w:t>
      </w:r>
      <w:r w:rsidR="00C86777">
        <w:rPr>
          <w:b/>
          <w:color w:val="0070C0"/>
        </w:rPr>
        <w:t>: 15</w:t>
      </w:r>
      <w:r w:rsidR="008B31B5">
        <w:rPr>
          <w:b/>
          <w:color w:val="0070C0"/>
        </w:rPr>
        <w:t>5</w:t>
      </w:r>
      <w:r w:rsidR="00C86777">
        <w:rPr>
          <w:b/>
          <w:color w:val="0070C0"/>
        </w:rPr>
        <w:t xml:space="preserve"> – 200 </w:t>
      </w:r>
      <w:r w:rsidR="008B31B5">
        <w:rPr>
          <w:b/>
          <w:color w:val="0070C0"/>
        </w:rPr>
        <w:t>bar</w:t>
      </w:r>
      <w:r w:rsidR="00C86777">
        <w:rPr>
          <w:b/>
          <w:color w:val="0070C0"/>
        </w:rPr>
        <w:t xml:space="preserve">, </w:t>
      </w:r>
      <w:r w:rsidR="00C86777" w:rsidRPr="002437A5">
        <w:rPr>
          <w:b/>
          <w:color w:val="0070C0"/>
        </w:rPr>
        <w:t xml:space="preserve">Stężenie NO </w:t>
      </w:r>
      <w:r w:rsidRPr="002437A5">
        <w:rPr>
          <w:b/>
          <w:color w:val="0070C0"/>
        </w:rPr>
        <w:t>w N2 (ppm)</w:t>
      </w:r>
      <w:r w:rsidR="008B31B5" w:rsidRPr="002437A5">
        <w:rPr>
          <w:b/>
          <w:color w:val="0070C0"/>
        </w:rPr>
        <w:t xml:space="preserve"> – od 400 ppm do 800 ppm</w:t>
      </w:r>
      <w:r w:rsidRPr="002437A5">
        <w:rPr>
          <w:b/>
          <w:color w:val="0070C0"/>
        </w:rPr>
        <w:t xml:space="preserve">]. </w:t>
      </w:r>
    </w:p>
    <w:p w14:paraId="5CFD46F8" w14:textId="7B317D35" w:rsidR="00B91286" w:rsidRDefault="001A18DD" w:rsidP="00B91286">
      <w:pPr>
        <w:ind w:left="-142"/>
        <w:jc w:val="both"/>
        <w:rPr>
          <w:b/>
          <w:color w:val="0070C0"/>
        </w:rPr>
      </w:pPr>
      <w:r>
        <w:rPr>
          <w:b/>
          <w:color w:val="0070C0"/>
        </w:rPr>
        <w:t>Zamawiający wskazuje</w:t>
      </w:r>
      <w:r w:rsidR="00F915DF">
        <w:rPr>
          <w:b/>
          <w:color w:val="0070C0"/>
        </w:rPr>
        <w:t xml:space="preserve"> </w:t>
      </w:r>
      <w:r w:rsidRPr="001A18DD">
        <w:rPr>
          <w:b/>
          <w:color w:val="0070C0"/>
        </w:rPr>
        <w:t>tabel</w:t>
      </w:r>
      <w:r>
        <w:rPr>
          <w:b/>
          <w:color w:val="0070C0"/>
        </w:rPr>
        <w:t>ę</w:t>
      </w:r>
      <w:r w:rsidRPr="001A18DD">
        <w:rPr>
          <w:b/>
          <w:color w:val="0070C0"/>
        </w:rPr>
        <w:t xml:space="preserve"> przeliczeniow</w:t>
      </w:r>
      <w:r>
        <w:rPr>
          <w:b/>
          <w:color w:val="0070C0"/>
        </w:rPr>
        <w:t>ą dla w/w parametrów</w:t>
      </w:r>
      <w:r w:rsidR="00F915DF">
        <w:rPr>
          <w:b/>
          <w:color w:val="0070C0"/>
        </w:rPr>
        <w:t xml:space="preserve"> względem składanej </w:t>
      </w:r>
      <w:r w:rsidR="00CD1623">
        <w:rPr>
          <w:b/>
          <w:color w:val="0070C0"/>
        </w:rPr>
        <w:t xml:space="preserve">przez Wykonawcę </w:t>
      </w:r>
      <w:r w:rsidR="00F915DF">
        <w:rPr>
          <w:b/>
          <w:color w:val="0070C0"/>
        </w:rPr>
        <w:t>oferty</w:t>
      </w:r>
      <w:r>
        <w:rPr>
          <w:b/>
          <w:color w:val="0070C0"/>
        </w:rPr>
        <w:t>:</w:t>
      </w:r>
    </w:p>
    <w:p w14:paraId="3BE6AB32" w14:textId="77777777" w:rsidR="001A18DD" w:rsidRPr="001A18DD" w:rsidRDefault="001A18DD" w:rsidP="001A18DD">
      <w:pPr>
        <w:rPr>
          <w:rFonts w:ascii="Calibri" w:eastAsia="Calibri" w:hAnsi="Calibri" w:cs="Calibri"/>
          <w:sz w:val="22"/>
          <w:szCs w:val="22"/>
          <w:lang w:eastAsia="en-US"/>
        </w:rPr>
      </w:pPr>
    </w:p>
    <w:tbl>
      <w:tblPr>
        <w:tblW w:w="6480" w:type="dxa"/>
        <w:tblInd w:w="-3" w:type="dxa"/>
        <w:tblCellMar>
          <w:left w:w="0" w:type="dxa"/>
          <w:right w:w="0" w:type="dxa"/>
        </w:tblCellMar>
        <w:tblLook w:val="04A0" w:firstRow="1" w:lastRow="0" w:firstColumn="1" w:lastColumn="0" w:noHBand="0" w:noVBand="1"/>
      </w:tblPr>
      <w:tblGrid>
        <w:gridCol w:w="1300"/>
        <w:gridCol w:w="2840"/>
        <w:gridCol w:w="2340"/>
      </w:tblGrid>
      <w:tr w:rsidR="001A18DD" w:rsidRPr="001A18DD" w14:paraId="6AC6AC59" w14:textId="77777777" w:rsidTr="001A18DD">
        <w:trPr>
          <w:trHeight w:val="255"/>
        </w:trPr>
        <w:tc>
          <w:tcPr>
            <w:tcW w:w="1300" w:type="dxa"/>
            <w:tcBorders>
              <w:top w:val="single" w:sz="8" w:space="0" w:color="auto"/>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center"/>
            <w:hideMark/>
          </w:tcPr>
          <w:p w14:paraId="1B426E6D"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1.</w:t>
            </w:r>
          </w:p>
        </w:tc>
        <w:tc>
          <w:tcPr>
            <w:tcW w:w="2840"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5E9311E1"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800ppm/10l/155bar</w:t>
            </w:r>
          </w:p>
        </w:tc>
        <w:tc>
          <w:tcPr>
            <w:tcW w:w="2340"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B21CD1D" w14:textId="77777777" w:rsidR="001A18DD" w:rsidRPr="001A18DD" w:rsidRDefault="001A18DD" w:rsidP="001A18DD">
            <w:pPr>
              <w:jc w:val="center"/>
              <w:rPr>
                <w:rFonts w:eastAsia="Calibri" w:cs="Times New Roman"/>
                <w:color w:val="0070C0"/>
                <w:sz w:val="20"/>
                <w:szCs w:val="20"/>
              </w:rPr>
            </w:pPr>
            <w:r w:rsidRPr="001A18DD">
              <w:rPr>
                <w:rFonts w:eastAsia="Calibri" w:cs="Times New Roman"/>
                <w:color w:val="0070C0"/>
                <w:sz w:val="20"/>
                <w:szCs w:val="20"/>
              </w:rPr>
              <w:t>4</w:t>
            </w:r>
          </w:p>
        </w:tc>
      </w:tr>
      <w:tr w:rsidR="001A18DD" w:rsidRPr="001A18DD" w14:paraId="1BEB31C3" w14:textId="77777777" w:rsidTr="001A18DD">
        <w:trPr>
          <w:trHeight w:val="255"/>
        </w:trPr>
        <w:tc>
          <w:tcPr>
            <w:tcW w:w="1300"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center"/>
            <w:hideMark/>
          </w:tcPr>
          <w:p w14:paraId="62CEB1DD"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2.</w:t>
            </w:r>
          </w:p>
        </w:tc>
        <w:tc>
          <w:tcPr>
            <w:tcW w:w="28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E8A5BE7"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400ppm/10l/155bar</w:t>
            </w:r>
          </w:p>
        </w:tc>
        <w:tc>
          <w:tcPr>
            <w:tcW w:w="23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CF486FC" w14:textId="77777777" w:rsidR="001A18DD" w:rsidRPr="001A18DD" w:rsidRDefault="001A18DD" w:rsidP="001A18DD">
            <w:pPr>
              <w:jc w:val="center"/>
              <w:rPr>
                <w:rFonts w:eastAsia="Calibri" w:cs="Times New Roman"/>
                <w:color w:val="0070C0"/>
                <w:sz w:val="20"/>
                <w:szCs w:val="20"/>
              </w:rPr>
            </w:pPr>
            <w:r w:rsidRPr="001A18DD">
              <w:rPr>
                <w:rFonts w:eastAsia="Calibri" w:cs="Times New Roman"/>
                <w:color w:val="0070C0"/>
                <w:sz w:val="20"/>
                <w:szCs w:val="20"/>
              </w:rPr>
              <w:t>8</w:t>
            </w:r>
          </w:p>
        </w:tc>
      </w:tr>
      <w:tr w:rsidR="001A18DD" w:rsidRPr="001A18DD" w14:paraId="21C1F754" w14:textId="77777777" w:rsidTr="001A18DD">
        <w:trPr>
          <w:trHeight w:val="255"/>
        </w:trPr>
        <w:tc>
          <w:tcPr>
            <w:tcW w:w="1300"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center"/>
            <w:hideMark/>
          </w:tcPr>
          <w:p w14:paraId="28E0D2DE"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3.</w:t>
            </w:r>
          </w:p>
        </w:tc>
        <w:tc>
          <w:tcPr>
            <w:tcW w:w="28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54065DFF"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450ppm/20l/200bar</w:t>
            </w:r>
          </w:p>
        </w:tc>
        <w:tc>
          <w:tcPr>
            <w:tcW w:w="23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350E731" w14:textId="77777777" w:rsidR="001A18DD" w:rsidRPr="001A18DD" w:rsidRDefault="001A18DD" w:rsidP="001A18DD">
            <w:pPr>
              <w:jc w:val="center"/>
              <w:rPr>
                <w:rFonts w:eastAsia="Calibri" w:cs="Times New Roman"/>
                <w:color w:val="0070C0"/>
                <w:sz w:val="20"/>
                <w:szCs w:val="20"/>
              </w:rPr>
            </w:pPr>
            <w:r w:rsidRPr="001A18DD">
              <w:rPr>
                <w:rFonts w:eastAsia="Calibri" w:cs="Times New Roman"/>
                <w:color w:val="0070C0"/>
                <w:sz w:val="20"/>
                <w:szCs w:val="20"/>
              </w:rPr>
              <w:t>4</w:t>
            </w:r>
          </w:p>
        </w:tc>
      </w:tr>
      <w:tr w:rsidR="001A18DD" w:rsidRPr="001A18DD" w14:paraId="2AF0B6D5" w14:textId="77777777" w:rsidTr="001A18DD">
        <w:trPr>
          <w:trHeight w:val="255"/>
        </w:trPr>
        <w:tc>
          <w:tcPr>
            <w:tcW w:w="1300"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center"/>
            <w:hideMark/>
          </w:tcPr>
          <w:p w14:paraId="293A11A8"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5.</w:t>
            </w:r>
          </w:p>
        </w:tc>
        <w:tc>
          <w:tcPr>
            <w:tcW w:w="28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33C42017"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800ppm/10l/200bar</w:t>
            </w:r>
          </w:p>
        </w:tc>
        <w:tc>
          <w:tcPr>
            <w:tcW w:w="23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60FE5D4" w14:textId="77777777" w:rsidR="001A18DD" w:rsidRPr="001A18DD" w:rsidRDefault="001A18DD" w:rsidP="001A18DD">
            <w:pPr>
              <w:jc w:val="center"/>
              <w:rPr>
                <w:rFonts w:eastAsia="Calibri" w:cs="Times New Roman"/>
                <w:color w:val="0070C0"/>
                <w:sz w:val="20"/>
                <w:szCs w:val="20"/>
              </w:rPr>
            </w:pPr>
            <w:r w:rsidRPr="001A18DD">
              <w:rPr>
                <w:rFonts w:eastAsia="Calibri" w:cs="Times New Roman"/>
                <w:color w:val="0070C0"/>
                <w:sz w:val="20"/>
                <w:szCs w:val="20"/>
              </w:rPr>
              <w:t>4</w:t>
            </w:r>
          </w:p>
        </w:tc>
      </w:tr>
      <w:tr w:rsidR="001A18DD" w:rsidRPr="001A18DD" w14:paraId="5D99001E" w14:textId="77777777" w:rsidTr="001A18DD">
        <w:trPr>
          <w:trHeight w:val="255"/>
        </w:trPr>
        <w:tc>
          <w:tcPr>
            <w:tcW w:w="1300"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center"/>
            <w:hideMark/>
          </w:tcPr>
          <w:p w14:paraId="6FA2C16C"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6.</w:t>
            </w:r>
          </w:p>
        </w:tc>
        <w:tc>
          <w:tcPr>
            <w:tcW w:w="28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51E34757" w14:textId="77777777" w:rsidR="001A18DD" w:rsidRPr="001A18DD" w:rsidRDefault="001A18DD" w:rsidP="001A18DD">
            <w:pPr>
              <w:rPr>
                <w:rFonts w:eastAsia="Calibri" w:cs="Times New Roman"/>
                <w:color w:val="0070C0"/>
                <w:sz w:val="20"/>
                <w:szCs w:val="20"/>
              </w:rPr>
            </w:pPr>
            <w:r w:rsidRPr="001A18DD">
              <w:rPr>
                <w:rFonts w:eastAsia="Calibri" w:cs="Times New Roman"/>
                <w:color w:val="0070C0"/>
                <w:sz w:val="20"/>
                <w:szCs w:val="20"/>
              </w:rPr>
              <w:t>800ppm/20l/200bar</w:t>
            </w:r>
          </w:p>
        </w:tc>
        <w:tc>
          <w:tcPr>
            <w:tcW w:w="2340" w:type="dxa"/>
            <w:tcBorders>
              <w:top w:val="nil"/>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734BF3B" w14:textId="77777777" w:rsidR="001A18DD" w:rsidRPr="001A18DD" w:rsidRDefault="001A18DD" w:rsidP="001A18DD">
            <w:pPr>
              <w:jc w:val="center"/>
              <w:rPr>
                <w:rFonts w:eastAsia="Calibri" w:cs="Times New Roman"/>
                <w:color w:val="0070C0"/>
                <w:sz w:val="20"/>
                <w:szCs w:val="20"/>
              </w:rPr>
            </w:pPr>
            <w:r w:rsidRPr="001A18DD">
              <w:rPr>
                <w:rFonts w:eastAsia="Calibri" w:cs="Times New Roman"/>
                <w:color w:val="0070C0"/>
                <w:sz w:val="20"/>
                <w:szCs w:val="20"/>
              </w:rPr>
              <w:t>2</w:t>
            </w:r>
          </w:p>
        </w:tc>
      </w:tr>
    </w:tbl>
    <w:p w14:paraId="51A655E4" w14:textId="77777777" w:rsidR="001A18DD" w:rsidRPr="001A18DD" w:rsidRDefault="001A18DD" w:rsidP="001A18DD">
      <w:pPr>
        <w:rPr>
          <w:rFonts w:eastAsia="Calibri" w:cs="Times New Roman"/>
          <w:color w:val="0070C0"/>
          <w:sz w:val="22"/>
          <w:szCs w:val="22"/>
          <w:lang w:eastAsia="en-US"/>
        </w:rPr>
      </w:pPr>
    </w:p>
    <w:p w14:paraId="22413CEA" w14:textId="12CD0AFD" w:rsidR="008B31B5" w:rsidRPr="001A18DD" w:rsidRDefault="00C86777" w:rsidP="00B91286">
      <w:pPr>
        <w:ind w:left="-142"/>
        <w:jc w:val="both"/>
        <w:rPr>
          <w:rFonts w:cs="Times New Roman"/>
          <w:b/>
          <w:color w:val="0070C0"/>
        </w:rPr>
      </w:pPr>
      <w:r>
        <w:rPr>
          <w:rFonts w:cs="Times New Roman"/>
          <w:b/>
          <w:color w:val="0070C0"/>
        </w:rPr>
        <w:t xml:space="preserve">Wykonawca winien dokonać stosownego przeliczenia liczby butli względem składanej oferty. </w:t>
      </w:r>
    </w:p>
    <w:p w14:paraId="50CE6EAB" w14:textId="02D37822" w:rsidR="008B31B5" w:rsidRPr="001A18DD" w:rsidRDefault="008B31B5" w:rsidP="00B91286">
      <w:pPr>
        <w:ind w:left="-142"/>
        <w:jc w:val="both"/>
        <w:rPr>
          <w:rFonts w:cs="Times New Roman"/>
          <w:b/>
          <w:color w:val="0070C0"/>
        </w:rPr>
      </w:pPr>
    </w:p>
    <w:p w14:paraId="6FC4E73C" w14:textId="77777777" w:rsidR="00C3451B" w:rsidRPr="001076BA" w:rsidRDefault="00C3451B" w:rsidP="00C3451B">
      <w:pPr>
        <w:ind w:hanging="142"/>
        <w:jc w:val="both"/>
        <w:rPr>
          <w:rFonts w:ascii="Arial" w:hAnsi="Arial" w:cs="Arial"/>
          <w:b/>
          <w:bCs/>
          <w:color w:val="0070C0"/>
          <w:sz w:val="18"/>
          <w:szCs w:val="18"/>
          <w:u w:val="single"/>
        </w:rPr>
      </w:pPr>
      <w:r w:rsidRPr="001076BA">
        <w:rPr>
          <w:rFonts w:ascii="Arial" w:hAnsi="Arial" w:cs="Arial"/>
          <w:b/>
          <w:bCs/>
          <w:color w:val="0070C0"/>
          <w:sz w:val="18"/>
          <w:szCs w:val="18"/>
          <w:u w:val="single"/>
        </w:rPr>
        <w:t>Pytanie nr 15  – Pakiet 3</w:t>
      </w:r>
    </w:p>
    <w:p w14:paraId="6FE7D331" w14:textId="77777777" w:rsidR="00C3451B" w:rsidRPr="001076BA" w:rsidRDefault="00C3451B" w:rsidP="00C3451B">
      <w:pPr>
        <w:ind w:left="-142"/>
        <w:jc w:val="both"/>
        <w:rPr>
          <w:sz w:val="18"/>
          <w:szCs w:val="22"/>
        </w:rPr>
      </w:pPr>
      <w:r w:rsidRPr="001076BA">
        <w:rPr>
          <w:sz w:val="18"/>
          <w:szCs w:val="22"/>
        </w:rPr>
        <w:t xml:space="preserve">Wnosimy do Zamawiającego o dopuszczenie zaoferowania w pełni sprawnego, regularnie kalibrowanego przez wykwalifikowany personel wykonawcy, a przede wszystkim poddawanego regularnym przeglądom i oględzinom urządzenia pod podawania medycznego tlenku azotu wyprodukowanego nie wcześniej niż 2016r. </w:t>
      </w:r>
    </w:p>
    <w:p w14:paraId="2B9DFC4F" w14:textId="6A36A72D" w:rsidR="00C3451B" w:rsidRDefault="00C3451B" w:rsidP="00C3451B">
      <w:pPr>
        <w:ind w:left="-142"/>
        <w:jc w:val="both"/>
        <w:rPr>
          <w:sz w:val="18"/>
          <w:szCs w:val="22"/>
          <w:highlight w:val="yellow"/>
        </w:rPr>
      </w:pPr>
    </w:p>
    <w:p w14:paraId="5B3804ED" w14:textId="619F616C" w:rsidR="001076BA" w:rsidRPr="002437A5" w:rsidRDefault="001076BA" w:rsidP="001076BA">
      <w:pPr>
        <w:ind w:left="-142"/>
        <w:jc w:val="both"/>
        <w:rPr>
          <w:b/>
          <w:color w:val="0070C0"/>
        </w:rPr>
      </w:pPr>
      <w:r w:rsidRPr="002437A5">
        <w:rPr>
          <w:b/>
          <w:color w:val="0070C0"/>
        </w:rPr>
        <w:t>Zamawiający dopuszcza urządzenie wyprodukowane nie wcześniej niż 2016 r.</w:t>
      </w:r>
    </w:p>
    <w:p w14:paraId="4DB84EE0" w14:textId="17014364" w:rsidR="001076BA" w:rsidRDefault="001076BA" w:rsidP="00C3451B">
      <w:pPr>
        <w:ind w:left="-142"/>
        <w:jc w:val="both"/>
        <w:rPr>
          <w:sz w:val="18"/>
          <w:szCs w:val="22"/>
          <w:highlight w:val="yellow"/>
        </w:rPr>
      </w:pPr>
    </w:p>
    <w:p w14:paraId="268315B7" w14:textId="77777777" w:rsidR="001076BA" w:rsidRPr="00C3451B" w:rsidRDefault="001076BA" w:rsidP="00C3451B">
      <w:pPr>
        <w:ind w:left="-142"/>
        <w:jc w:val="both"/>
        <w:rPr>
          <w:sz w:val="18"/>
          <w:szCs w:val="22"/>
          <w:highlight w:val="yellow"/>
        </w:rPr>
      </w:pPr>
    </w:p>
    <w:p w14:paraId="66E51FC4" w14:textId="77777777" w:rsidR="00C3451B" w:rsidRPr="006842EB" w:rsidRDefault="00C3451B" w:rsidP="00C3451B">
      <w:pPr>
        <w:ind w:hanging="142"/>
        <w:jc w:val="both"/>
        <w:rPr>
          <w:rFonts w:ascii="Arial" w:hAnsi="Arial" w:cs="Arial"/>
          <w:b/>
          <w:bCs/>
          <w:color w:val="0070C0"/>
          <w:sz w:val="18"/>
          <w:szCs w:val="18"/>
          <w:u w:val="single"/>
        </w:rPr>
      </w:pPr>
      <w:r w:rsidRPr="006842EB">
        <w:rPr>
          <w:rFonts w:ascii="Arial" w:hAnsi="Arial" w:cs="Arial"/>
          <w:b/>
          <w:bCs/>
          <w:color w:val="0070C0"/>
          <w:sz w:val="18"/>
          <w:szCs w:val="18"/>
          <w:u w:val="single"/>
        </w:rPr>
        <w:t>Pytanie nr 16  – Pakiet 3</w:t>
      </w:r>
    </w:p>
    <w:p w14:paraId="7F007D76" w14:textId="69651E1D" w:rsidR="00C3451B" w:rsidRPr="006842EB" w:rsidRDefault="00C3451B" w:rsidP="00C3451B">
      <w:pPr>
        <w:ind w:left="-142"/>
        <w:jc w:val="both"/>
        <w:rPr>
          <w:rFonts w:cs="Arial"/>
          <w:sz w:val="18"/>
          <w:szCs w:val="22"/>
        </w:rPr>
      </w:pPr>
      <w:r w:rsidRPr="006842EB">
        <w:rPr>
          <w:rFonts w:cs="Arial"/>
          <w:sz w:val="18"/>
          <w:szCs w:val="22"/>
        </w:rPr>
        <w:t>Wnosimy  o weryfikację pod kątem opisu przedmiotu zamówienia w zakresie oczekiwanej ilości dzierżawionych butli z medycznym tlenkiem azotu. Prawidłowo i bezpiecznie działające urządzenie do podawania medycznego tlenku azotu winno być podłączone jednocześnie do dwóch butli z przedmiotowym gazem, z założeniem że jedna z tych butli stanowi backup/rezerwę dla prowadzonej terapii. Wydaje się, iż minimalna ilość dzierżawionych jednocześnie butli z NO winna wynosić co najmniej dwie butle.</w:t>
      </w:r>
    </w:p>
    <w:p w14:paraId="674133DF" w14:textId="6B0C3E0F" w:rsidR="006842EB" w:rsidRDefault="006842EB" w:rsidP="00C3451B">
      <w:pPr>
        <w:ind w:left="-142"/>
        <w:jc w:val="both"/>
        <w:rPr>
          <w:rFonts w:cs="Arial"/>
          <w:sz w:val="18"/>
          <w:szCs w:val="22"/>
          <w:highlight w:val="yellow"/>
        </w:rPr>
      </w:pPr>
    </w:p>
    <w:p w14:paraId="7F49F6B5" w14:textId="04469FC3" w:rsidR="006842EB" w:rsidRPr="002437A5" w:rsidRDefault="006842EB" w:rsidP="006842EB">
      <w:pPr>
        <w:ind w:left="-142"/>
        <w:jc w:val="both"/>
        <w:rPr>
          <w:b/>
          <w:color w:val="0070C0"/>
        </w:rPr>
      </w:pPr>
      <w:r w:rsidRPr="002437A5">
        <w:rPr>
          <w:b/>
          <w:color w:val="0070C0"/>
        </w:rPr>
        <w:t>Zamawiający dokonuje zmiany na dwie butle.</w:t>
      </w:r>
    </w:p>
    <w:p w14:paraId="204FCB76" w14:textId="77777777" w:rsidR="006842EB" w:rsidRPr="0093469C" w:rsidRDefault="006842EB" w:rsidP="006842EB">
      <w:pPr>
        <w:ind w:left="-142"/>
        <w:jc w:val="both"/>
        <w:rPr>
          <w:b/>
          <w:color w:val="FF0000"/>
        </w:rPr>
      </w:pPr>
    </w:p>
    <w:p w14:paraId="50DA2136" w14:textId="3FD7B5BA" w:rsidR="00C3451B" w:rsidRDefault="00C3451B" w:rsidP="00C3451B">
      <w:pPr>
        <w:jc w:val="both"/>
        <w:rPr>
          <w:sz w:val="18"/>
          <w:szCs w:val="22"/>
          <w:highlight w:val="yellow"/>
          <w:u w:val="single"/>
        </w:rPr>
      </w:pPr>
    </w:p>
    <w:p w14:paraId="5B38EC82" w14:textId="77777777" w:rsidR="00C3451B" w:rsidRPr="00882532" w:rsidRDefault="00C3451B" w:rsidP="00C3451B">
      <w:pPr>
        <w:autoSpaceDE w:val="0"/>
        <w:autoSpaceDN w:val="0"/>
        <w:adjustRightInd w:val="0"/>
        <w:ind w:left="-142"/>
        <w:jc w:val="both"/>
        <w:rPr>
          <w:rFonts w:ascii="Arial" w:hAnsi="Arial" w:cs="Arial"/>
          <w:b/>
          <w:bCs/>
          <w:color w:val="0070C0"/>
          <w:sz w:val="18"/>
          <w:szCs w:val="22"/>
          <w:u w:val="single"/>
        </w:rPr>
      </w:pPr>
      <w:r w:rsidRPr="00882532">
        <w:rPr>
          <w:rFonts w:ascii="Arial" w:hAnsi="Arial" w:cs="Arial"/>
          <w:b/>
          <w:bCs/>
          <w:color w:val="0070C0"/>
          <w:sz w:val="18"/>
          <w:szCs w:val="22"/>
          <w:u w:val="single"/>
        </w:rPr>
        <w:t>Pytanie nr 17 – Pakiet 4</w:t>
      </w:r>
    </w:p>
    <w:p w14:paraId="31D6138A" w14:textId="77777777" w:rsidR="00C3451B" w:rsidRPr="00882532" w:rsidRDefault="00C3451B" w:rsidP="00C3451B">
      <w:pPr>
        <w:autoSpaceDE w:val="0"/>
        <w:autoSpaceDN w:val="0"/>
        <w:adjustRightInd w:val="0"/>
        <w:ind w:left="-142"/>
        <w:jc w:val="both"/>
        <w:rPr>
          <w:rFonts w:cs="Arial"/>
          <w:sz w:val="18"/>
          <w:szCs w:val="22"/>
        </w:rPr>
      </w:pPr>
      <w:r w:rsidRPr="00882532">
        <w:rPr>
          <w:rFonts w:cs="Arial"/>
          <w:sz w:val="18"/>
          <w:szCs w:val="22"/>
        </w:rPr>
        <w:t xml:space="preserve">Wnosimy  o dookreślenie, czy  Zamawiający oczekuje  w pakiecie nr 4 pozycja: „powietrze syntetyczne”, powietrza sprężonego medycznego zarejestrowanego jako produkt leczniczy, który wydaje się być stosownym produktem  do zastosowania medycznego </w:t>
      </w:r>
      <w:r w:rsidRPr="00882532">
        <w:rPr>
          <w:rFonts w:cs="Arial"/>
          <w:sz w:val="18"/>
          <w:szCs w:val="22"/>
        </w:rPr>
        <w:br/>
        <w:t xml:space="preserve">w jednostkach służby zdrowia. </w:t>
      </w:r>
    </w:p>
    <w:p w14:paraId="7CB86694" w14:textId="7E626A25" w:rsidR="00C3451B" w:rsidRDefault="00C3451B" w:rsidP="00C3451B">
      <w:pPr>
        <w:ind w:left="-142"/>
        <w:jc w:val="both"/>
        <w:rPr>
          <w:sz w:val="18"/>
          <w:szCs w:val="22"/>
          <w:highlight w:val="yellow"/>
          <w:u w:val="single"/>
        </w:rPr>
      </w:pPr>
    </w:p>
    <w:p w14:paraId="2E0D6271" w14:textId="77777777" w:rsidR="00882532" w:rsidRPr="008F10BD" w:rsidRDefault="00882532" w:rsidP="00882532">
      <w:pPr>
        <w:ind w:left="-142"/>
        <w:jc w:val="both"/>
        <w:rPr>
          <w:b/>
          <w:color w:val="0070C0"/>
        </w:rPr>
      </w:pPr>
      <w:r w:rsidRPr="008F10BD">
        <w:rPr>
          <w:b/>
          <w:color w:val="0070C0"/>
        </w:rPr>
        <w:t>Zamawiający pozostawia zapis</w:t>
      </w:r>
      <w:r>
        <w:rPr>
          <w:b/>
          <w:color w:val="0070C0"/>
        </w:rPr>
        <w:t>y</w:t>
      </w:r>
      <w:r w:rsidRPr="008F10BD">
        <w:rPr>
          <w:b/>
          <w:color w:val="0070C0"/>
        </w:rPr>
        <w:t xml:space="preserve"> bez zmian. </w:t>
      </w:r>
    </w:p>
    <w:p w14:paraId="208F0D32" w14:textId="488DFE0F" w:rsidR="00882532" w:rsidRDefault="00882532" w:rsidP="00C3451B">
      <w:pPr>
        <w:ind w:left="-142"/>
        <w:jc w:val="both"/>
        <w:rPr>
          <w:sz w:val="18"/>
          <w:szCs w:val="22"/>
          <w:highlight w:val="yellow"/>
          <w:u w:val="single"/>
        </w:rPr>
      </w:pPr>
    </w:p>
    <w:p w14:paraId="0A585ACC" w14:textId="2DCD2901" w:rsidR="00882532" w:rsidRPr="00882532" w:rsidRDefault="00882532" w:rsidP="00C3451B">
      <w:pPr>
        <w:ind w:left="-142"/>
        <w:jc w:val="both"/>
        <w:rPr>
          <w:sz w:val="18"/>
          <w:szCs w:val="22"/>
          <w:u w:val="single"/>
        </w:rPr>
      </w:pPr>
    </w:p>
    <w:p w14:paraId="4944269D" w14:textId="77777777" w:rsidR="00C3451B" w:rsidRPr="00882532" w:rsidRDefault="00C3451B" w:rsidP="00C3451B">
      <w:pPr>
        <w:autoSpaceDE w:val="0"/>
        <w:autoSpaceDN w:val="0"/>
        <w:adjustRightInd w:val="0"/>
        <w:ind w:left="-142"/>
        <w:jc w:val="both"/>
        <w:rPr>
          <w:rFonts w:ascii="Arial" w:hAnsi="Arial" w:cs="Arial"/>
          <w:b/>
          <w:bCs/>
          <w:color w:val="0070C0"/>
          <w:sz w:val="18"/>
          <w:szCs w:val="18"/>
          <w:u w:val="single"/>
        </w:rPr>
      </w:pPr>
      <w:r w:rsidRPr="00882532">
        <w:rPr>
          <w:rFonts w:ascii="Arial" w:hAnsi="Arial" w:cs="Arial"/>
          <w:b/>
          <w:bCs/>
          <w:color w:val="0070C0"/>
          <w:sz w:val="18"/>
          <w:szCs w:val="18"/>
          <w:u w:val="single"/>
        </w:rPr>
        <w:t xml:space="preserve">Pytanie nr 18 – pozacenowe kryteria oceny ofert (termin dostaw – 20%) </w:t>
      </w:r>
    </w:p>
    <w:p w14:paraId="568A2FC6" w14:textId="77777777" w:rsidR="00C3451B" w:rsidRPr="00882532" w:rsidRDefault="00C3451B" w:rsidP="00C3451B">
      <w:pPr>
        <w:autoSpaceDE w:val="0"/>
        <w:autoSpaceDN w:val="0"/>
        <w:adjustRightInd w:val="0"/>
        <w:ind w:left="-142"/>
        <w:jc w:val="both"/>
        <w:rPr>
          <w:bCs/>
          <w:sz w:val="18"/>
          <w:szCs w:val="18"/>
        </w:rPr>
      </w:pPr>
      <w:r w:rsidRPr="00882532">
        <w:rPr>
          <w:sz w:val="18"/>
          <w:szCs w:val="18"/>
        </w:rPr>
        <w:t xml:space="preserve">W związku z faktem, że </w:t>
      </w:r>
      <w:r w:rsidRPr="00882532">
        <w:rPr>
          <w:bCs/>
          <w:sz w:val="18"/>
          <w:szCs w:val="18"/>
        </w:rPr>
        <w:t xml:space="preserve"> przedmiot zamówienia, nie jest  w rzeczywistości lekiem ratującym życie, a jego składowanie, termin ważności czy też logistyka z nią związana (posiadanie niezbędnej rezerwy) nie wymaga jakikolwiek szczególnych działań ze strony personelu Zamawiającego, uzasadniających zastosowanie aż tak skróconego  najwyżej ocenianego w kryterium oceny ofert terminu dostawy wnosimy o zmianę zapisów oceny ofert w zakresie kryterium – termin dostaw. Poniżej proponowana treść modyfikacji:</w:t>
      </w:r>
    </w:p>
    <w:p w14:paraId="0E579780" w14:textId="77777777" w:rsidR="00C3451B" w:rsidRPr="00882532" w:rsidRDefault="00C3451B" w:rsidP="00C3451B">
      <w:pPr>
        <w:autoSpaceDE w:val="0"/>
        <w:autoSpaceDN w:val="0"/>
        <w:adjustRightInd w:val="0"/>
        <w:jc w:val="both"/>
        <w:rPr>
          <w:bCs/>
          <w:sz w:val="18"/>
          <w:szCs w:val="18"/>
        </w:rPr>
      </w:pPr>
    </w:p>
    <w:p w14:paraId="515BB170" w14:textId="77777777" w:rsidR="00C3451B" w:rsidRPr="00882532" w:rsidRDefault="00C3451B" w:rsidP="00C3451B">
      <w:pPr>
        <w:autoSpaceDE w:val="0"/>
        <w:autoSpaceDN w:val="0"/>
        <w:adjustRightInd w:val="0"/>
        <w:ind w:left="-142"/>
        <w:jc w:val="both"/>
        <w:rPr>
          <w:rFonts w:ascii="Arial" w:hAnsi="Arial" w:cs="Arial"/>
          <w:b/>
          <w:color w:val="002060"/>
          <w:sz w:val="18"/>
          <w:szCs w:val="18"/>
        </w:rPr>
      </w:pPr>
      <w:r w:rsidRPr="00882532">
        <w:rPr>
          <w:rFonts w:ascii="Arial" w:hAnsi="Arial" w:cs="Arial"/>
          <w:b/>
          <w:color w:val="002060"/>
          <w:sz w:val="18"/>
          <w:szCs w:val="18"/>
        </w:rPr>
        <w:t>Termin dostaw (min. 2 dni– max. 3 dni).</w:t>
      </w:r>
    </w:p>
    <w:p w14:paraId="45B2E869" w14:textId="77777777" w:rsidR="00C3451B" w:rsidRPr="00882532" w:rsidRDefault="00C3451B" w:rsidP="00C3451B">
      <w:pPr>
        <w:autoSpaceDE w:val="0"/>
        <w:autoSpaceDN w:val="0"/>
        <w:adjustRightInd w:val="0"/>
        <w:ind w:left="-142"/>
        <w:jc w:val="both"/>
        <w:rPr>
          <w:rFonts w:ascii="Arial" w:hAnsi="Arial" w:cs="Arial"/>
          <w:b/>
          <w:color w:val="002060"/>
          <w:sz w:val="18"/>
          <w:szCs w:val="18"/>
        </w:rPr>
      </w:pPr>
      <w:r w:rsidRPr="00882532">
        <w:rPr>
          <w:rFonts w:ascii="Arial" w:hAnsi="Arial" w:cs="Arial"/>
          <w:b/>
          <w:color w:val="002060"/>
          <w:sz w:val="18"/>
          <w:szCs w:val="18"/>
        </w:rPr>
        <w:t xml:space="preserve">Zamawiający będzie liczył termin wykonania wg. n/w zasad: punktowany termin minimalny </w:t>
      </w:r>
    </w:p>
    <w:p w14:paraId="7B8ACBFF" w14:textId="77777777" w:rsidR="00C3451B" w:rsidRPr="00882532" w:rsidRDefault="00C3451B" w:rsidP="00C3451B">
      <w:pPr>
        <w:autoSpaceDE w:val="0"/>
        <w:autoSpaceDN w:val="0"/>
        <w:adjustRightInd w:val="0"/>
        <w:ind w:left="-142"/>
        <w:jc w:val="both"/>
        <w:rPr>
          <w:rFonts w:ascii="Arial" w:hAnsi="Arial" w:cs="Arial"/>
          <w:b/>
          <w:color w:val="002060"/>
          <w:sz w:val="18"/>
          <w:szCs w:val="18"/>
        </w:rPr>
      </w:pPr>
      <w:r w:rsidRPr="00882532">
        <w:rPr>
          <w:rFonts w:ascii="Arial" w:hAnsi="Arial" w:cs="Arial"/>
          <w:b/>
          <w:color w:val="002060"/>
          <w:sz w:val="18"/>
          <w:szCs w:val="18"/>
        </w:rPr>
        <w:t xml:space="preserve">wynosi 2 dni robocze. Punktowany maksymalny termin wynosi 3 dni robocze. </w:t>
      </w:r>
    </w:p>
    <w:p w14:paraId="16C0FD43" w14:textId="77777777" w:rsidR="00C3451B" w:rsidRPr="00882532" w:rsidRDefault="00C3451B" w:rsidP="00C3451B">
      <w:pPr>
        <w:autoSpaceDE w:val="0"/>
        <w:autoSpaceDN w:val="0"/>
        <w:adjustRightInd w:val="0"/>
        <w:ind w:left="-142"/>
        <w:jc w:val="both"/>
        <w:rPr>
          <w:bCs/>
          <w:color w:val="002060"/>
          <w:sz w:val="18"/>
          <w:szCs w:val="18"/>
        </w:rPr>
      </w:pPr>
      <w:r w:rsidRPr="00882532">
        <w:rPr>
          <w:rFonts w:ascii="Arial" w:hAnsi="Arial" w:cs="Arial"/>
          <w:b/>
          <w:color w:val="002060"/>
          <w:sz w:val="18"/>
          <w:szCs w:val="18"/>
        </w:rPr>
        <w:t>Wymagany przez Zamawiającego termin dostawy– w ciągu max. 3 dni roboczych pn-pt od dnia złożenia zamówienia, (przy czym - postawienie zbiornika w pierwszym dniu obowiązywania umowy – jeżeli dotyczy</w:t>
      </w:r>
      <w:r w:rsidRPr="00882532">
        <w:rPr>
          <w:bCs/>
          <w:color w:val="002060"/>
          <w:sz w:val="18"/>
          <w:szCs w:val="18"/>
        </w:rPr>
        <w:t>).</w:t>
      </w:r>
    </w:p>
    <w:p w14:paraId="04C09E21" w14:textId="77777777" w:rsidR="00C3451B" w:rsidRPr="00882532" w:rsidRDefault="00C3451B" w:rsidP="00C3451B">
      <w:pPr>
        <w:autoSpaceDE w:val="0"/>
        <w:autoSpaceDN w:val="0"/>
        <w:adjustRightInd w:val="0"/>
        <w:ind w:left="-142"/>
        <w:jc w:val="both"/>
        <w:rPr>
          <w:rFonts w:ascii="Arial" w:hAnsi="Arial" w:cs="Arial"/>
          <w:b/>
          <w:color w:val="002060"/>
          <w:sz w:val="18"/>
          <w:szCs w:val="18"/>
        </w:rPr>
      </w:pPr>
      <w:r w:rsidRPr="00882532">
        <w:rPr>
          <w:rFonts w:ascii="Arial" w:hAnsi="Arial" w:cs="Arial"/>
          <w:b/>
          <w:color w:val="002060"/>
          <w:sz w:val="18"/>
          <w:szCs w:val="18"/>
        </w:rPr>
        <w:lastRenderedPageBreak/>
        <w:t>- zg. z pkt. 5 Załącznik nr 1.</w:t>
      </w:r>
    </w:p>
    <w:p w14:paraId="6C7F0099" w14:textId="77777777" w:rsidR="00C3451B" w:rsidRPr="00882532" w:rsidRDefault="00C3451B" w:rsidP="00C3451B">
      <w:pPr>
        <w:autoSpaceDE w:val="0"/>
        <w:autoSpaceDN w:val="0"/>
        <w:adjustRightInd w:val="0"/>
        <w:jc w:val="both"/>
        <w:rPr>
          <w:bCs/>
          <w:color w:val="002060"/>
          <w:sz w:val="18"/>
          <w:szCs w:val="18"/>
        </w:rPr>
      </w:pPr>
    </w:p>
    <w:p w14:paraId="5F46D8A7" w14:textId="77777777" w:rsidR="00C3451B" w:rsidRPr="00882532" w:rsidRDefault="00C3451B" w:rsidP="00C3451B">
      <w:pPr>
        <w:autoSpaceDE w:val="0"/>
        <w:autoSpaceDN w:val="0"/>
        <w:adjustRightInd w:val="0"/>
        <w:ind w:left="-142"/>
        <w:jc w:val="both"/>
        <w:rPr>
          <w:bCs/>
          <w:sz w:val="18"/>
          <w:szCs w:val="18"/>
        </w:rPr>
      </w:pPr>
      <w:r w:rsidRPr="00882532">
        <w:rPr>
          <w:bCs/>
          <w:sz w:val="18"/>
          <w:szCs w:val="18"/>
        </w:rPr>
        <w:t>Prośbę naszą motywujemy warunkami logistycznymi, produkcyjnymi  oraz specyfiką dostarczanego przedmiotu zamówienia oraz możliwością kontroli stanu napełnienia zbiornika za pomocą zdalnej transmisji danych (tlen medyczny ciekły), co w pełni zabezpiecza Zamawiającego w odpowiednią ilość ciekłego tlenu medycznego.</w:t>
      </w:r>
    </w:p>
    <w:p w14:paraId="5E7BDF64" w14:textId="77777777" w:rsidR="00C3451B" w:rsidRPr="00882532" w:rsidRDefault="00C3451B" w:rsidP="00C3451B">
      <w:pPr>
        <w:autoSpaceDE w:val="0"/>
        <w:autoSpaceDN w:val="0"/>
        <w:adjustRightInd w:val="0"/>
        <w:ind w:left="-142"/>
        <w:jc w:val="both"/>
        <w:rPr>
          <w:bCs/>
          <w:sz w:val="18"/>
          <w:szCs w:val="18"/>
        </w:rPr>
      </w:pPr>
      <w:r w:rsidRPr="00882532">
        <w:rPr>
          <w:bCs/>
          <w:sz w:val="18"/>
          <w:szCs w:val="18"/>
        </w:rPr>
        <w:t>Pragniemy zwrócić uwagę również na czasochłonność procesu prawidłowego napełniania butli oraz jego weryfikacji pod względem bezpieczeństwa (w tym również dla użytkownika), załadunku i transportu specjalnie do tego przeznaczonymi pojazdami przez specjalnie do tego przeszkolonych kierowców z zachowaniem rygorystycznych  zasad obowiązującego prawa (ADR).</w:t>
      </w:r>
    </w:p>
    <w:p w14:paraId="5135F93C" w14:textId="77777777" w:rsidR="00C3451B" w:rsidRPr="00882532" w:rsidRDefault="00C3451B" w:rsidP="00C3451B">
      <w:pPr>
        <w:autoSpaceDE w:val="0"/>
        <w:autoSpaceDN w:val="0"/>
        <w:adjustRightInd w:val="0"/>
        <w:jc w:val="both"/>
        <w:rPr>
          <w:bCs/>
          <w:sz w:val="18"/>
          <w:szCs w:val="18"/>
        </w:rPr>
      </w:pPr>
    </w:p>
    <w:p w14:paraId="1EA760F2" w14:textId="77777777" w:rsidR="00C3451B" w:rsidRPr="00882532" w:rsidRDefault="00C3451B" w:rsidP="00C3451B">
      <w:pPr>
        <w:autoSpaceDE w:val="0"/>
        <w:autoSpaceDN w:val="0"/>
        <w:adjustRightInd w:val="0"/>
        <w:jc w:val="both"/>
        <w:rPr>
          <w:sz w:val="18"/>
          <w:szCs w:val="18"/>
        </w:rPr>
      </w:pPr>
    </w:p>
    <w:p w14:paraId="163ED7D8" w14:textId="77777777" w:rsidR="00C3451B" w:rsidRPr="00882532" w:rsidRDefault="00C3451B" w:rsidP="00C3451B">
      <w:pPr>
        <w:pStyle w:val="Akapitzlist"/>
        <w:ind w:left="-142"/>
        <w:jc w:val="both"/>
        <w:rPr>
          <w:rFonts w:ascii="LindeDaxOffice" w:hAnsi="LindeDaxOffice"/>
          <w:sz w:val="18"/>
          <w:szCs w:val="18"/>
        </w:rPr>
      </w:pPr>
      <w:r w:rsidRPr="00882532">
        <w:rPr>
          <w:rFonts w:ascii="LindeDaxOffice" w:hAnsi="LindeDaxOffice"/>
          <w:sz w:val="18"/>
          <w:szCs w:val="18"/>
        </w:rPr>
        <w:t xml:space="preserve">lub w związku z charakterem zamówienia – gazy medyczne jako lek (produkt farmaceutyczny) lub wyrób medyczny o ustalonym składzie ilościowym i jakościowym (fizycznym i chemicznym),  </w:t>
      </w:r>
      <w:r w:rsidRPr="00882532">
        <w:rPr>
          <w:rFonts w:ascii="Arial" w:hAnsi="Arial" w:cs="Arial"/>
          <w:b/>
          <w:bCs/>
          <w:color w:val="0070C0"/>
          <w:sz w:val="18"/>
          <w:szCs w:val="18"/>
        </w:rPr>
        <w:t xml:space="preserve">rezygnację </w:t>
      </w:r>
      <w:r w:rsidRPr="00882532">
        <w:rPr>
          <w:rFonts w:ascii="LindeDaxOffice" w:hAnsi="LindeDaxOffice"/>
          <w:sz w:val="18"/>
          <w:szCs w:val="18"/>
        </w:rPr>
        <w:t xml:space="preserve">w zgodzie z zapisem Art. 246 ust. 2 ustawy Pzp </w:t>
      </w:r>
      <w:r w:rsidRPr="00882532">
        <w:rPr>
          <w:rFonts w:ascii="LindeDaxOffice" w:hAnsi="LindeDaxOffice"/>
          <w:i/>
          <w:iCs/>
          <w:sz w:val="18"/>
          <w:szCs w:val="18"/>
        </w:rPr>
        <w:t xml:space="preserve">(Zamawiający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t>
      </w:r>
      <w:r w:rsidRPr="00882532">
        <w:rPr>
          <w:rFonts w:ascii="LindeDaxOffice" w:hAnsi="LindeDaxOffice"/>
          <w:sz w:val="18"/>
          <w:szCs w:val="18"/>
        </w:rPr>
        <w:t xml:space="preserve">z kryterium oceny ofert </w:t>
      </w:r>
      <w:r w:rsidRPr="00882532">
        <w:rPr>
          <w:rFonts w:ascii="Arial" w:hAnsi="Arial" w:cs="Arial"/>
          <w:b/>
          <w:bCs/>
          <w:color w:val="0070C0"/>
          <w:sz w:val="18"/>
          <w:szCs w:val="18"/>
        </w:rPr>
        <w:t>Termin dostaw</w:t>
      </w:r>
      <w:r w:rsidRPr="00882532">
        <w:rPr>
          <w:rFonts w:ascii="LindeDaxOffice" w:hAnsi="LindeDaxOffice"/>
          <w:sz w:val="18"/>
          <w:szCs w:val="18"/>
        </w:rPr>
        <w:t xml:space="preserve"> z wymaganym terminem dostaw do (np.) 2 dni roboczych od złożenia dyspozycji przez Zamawiającego .</w:t>
      </w:r>
    </w:p>
    <w:p w14:paraId="03EB283A" w14:textId="49D4A62F" w:rsidR="00C3451B" w:rsidRDefault="00C3451B" w:rsidP="00C3451B">
      <w:pPr>
        <w:ind w:left="-142"/>
        <w:jc w:val="both"/>
        <w:rPr>
          <w:rFonts w:ascii="Arial" w:hAnsi="Arial" w:cs="Arial"/>
          <w:b/>
          <w:bCs/>
          <w:color w:val="0070C0"/>
          <w:sz w:val="18"/>
          <w:szCs w:val="18"/>
          <w:highlight w:val="yellow"/>
          <w:u w:val="single"/>
        </w:rPr>
      </w:pPr>
    </w:p>
    <w:p w14:paraId="2D284274" w14:textId="77777777" w:rsidR="00882532" w:rsidRPr="008F10BD" w:rsidRDefault="00882532" w:rsidP="00882532">
      <w:pPr>
        <w:ind w:left="-142"/>
        <w:jc w:val="both"/>
        <w:rPr>
          <w:b/>
          <w:color w:val="0070C0"/>
        </w:rPr>
      </w:pPr>
      <w:r w:rsidRPr="008F10BD">
        <w:rPr>
          <w:b/>
          <w:color w:val="0070C0"/>
        </w:rPr>
        <w:t>Zamawiający pozostawia zapis</w:t>
      </w:r>
      <w:r>
        <w:rPr>
          <w:b/>
          <w:color w:val="0070C0"/>
        </w:rPr>
        <w:t>y</w:t>
      </w:r>
      <w:r w:rsidRPr="008F10BD">
        <w:rPr>
          <w:b/>
          <w:color w:val="0070C0"/>
        </w:rPr>
        <w:t xml:space="preserve"> bez zmian. </w:t>
      </w:r>
    </w:p>
    <w:p w14:paraId="7DF83874" w14:textId="2C78438C" w:rsidR="00882532" w:rsidRDefault="00882532" w:rsidP="00C3451B">
      <w:pPr>
        <w:ind w:left="-142"/>
        <w:jc w:val="both"/>
        <w:rPr>
          <w:rFonts w:ascii="Arial" w:hAnsi="Arial" w:cs="Arial"/>
          <w:b/>
          <w:bCs/>
          <w:color w:val="0070C0"/>
          <w:sz w:val="18"/>
          <w:szCs w:val="18"/>
          <w:highlight w:val="yellow"/>
          <w:u w:val="single"/>
        </w:rPr>
      </w:pPr>
    </w:p>
    <w:p w14:paraId="1CC4264E" w14:textId="77777777" w:rsidR="00882532" w:rsidRPr="00882532" w:rsidRDefault="00882532" w:rsidP="00C3451B">
      <w:pPr>
        <w:ind w:left="-142"/>
        <w:jc w:val="both"/>
        <w:rPr>
          <w:rFonts w:ascii="Arial" w:hAnsi="Arial" w:cs="Arial"/>
          <w:b/>
          <w:bCs/>
          <w:color w:val="0070C0"/>
          <w:sz w:val="18"/>
          <w:szCs w:val="18"/>
          <w:u w:val="single"/>
        </w:rPr>
      </w:pPr>
    </w:p>
    <w:p w14:paraId="6F72F9BB" w14:textId="77777777" w:rsidR="00C3451B" w:rsidRPr="00882532" w:rsidRDefault="00C3451B" w:rsidP="00C3451B">
      <w:pPr>
        <w:autoSpaceDE w:val="0"/>
        <w:autoSpaceDN w:val="0"/>
        <w:adjustRightInd w:val="0"/>
        <w:ind w:left="-142"/>
        <w:jc w:val="both"/>
        <w:rPr>
          <w:rFonts w:ascii="Arial" w:hAnsi="Arial" w:cs="Arial"/>
          <w:b/>
          <w:bCs/>
          <w:color w:val="0070C0"/>
          <w:sz w:val="18"/>
          <w:szCs w:val="18"/>
          <w:u w:val="single"/>
        </w:rPr>
      </w:pPr>
      <w:r w:rsidRPr="00882532">
        <w:rPr>
          <w:rFonts w:ascii="Arial" w:hAnsi="Arial" w:cs="Arial"/>
          <w:b/>
          <w:bCs/>
          <w:color w:val="0070C0"/>
          <w:sz w:val="18"/>
          <w:szCs w:val="18"/>
          <w:u w:val="single"/>
        </w:rPr>
        <w:t xml:space="preserve">Pytanie nr 19 – pozacenowe kryteria oceny ofert (Czas wykonania napraw/awarii od momentu zgłoszenia – 10%) </w:t>
      </w:r>
    </w:p>
    <w:p w14:paraId="28E371C6" w14:textId="77777777" w:rsidR="00C3451B" w:rsidRPr="00882532" w:rsidRDefault="00C3451B" w:rsidP="00C3451B">
      <w:pPr>
        <w:autoSpaceDE w:val="0"/>
        <w:autoSpaceDN w:val="0"/>
        <w:adjustRightInd w:val="0"/>
        <w:ind w:left="-142"/>
        <w:jc w:val="both"/>
        <w:rPr>
          <w:rFonts w:cs="Arial"/>
          <w:sz w:val="18"/>
          <w:szCs w:val="18"/>
        </w:rPr>
      </w:pPr>
      <w:r w:rsidRPr="00882532">
        <w:rPr>
          <w:rFonts w:cs="Arial"/>
          <w:sz w:val="18"/>
          <w:szCs w:val="18"/>
        </w:rPr>
        <w:t xml:space="preserve">W związku z zapisami SWZ oraz projektu umowy należy wywnioskować, iż kryterium oceny ofert w postaci czasu wykonania napraw/awarii od momentu zgłoszenia dotyczy całości przedmiotu zamówienia w tym również zbiornika i/lub parownicy.  Jednakże zapisy SWZ nie dają w tej kwestii absolutnej pewności, a nawet w przypadku wzoru umowy dotyczącego naliczania kar umownych wykluczają tą możliwość ust. 1 pkt. f: wartość kary naliczana od wartości miesięcznego czynszu. </w:t>
      </w:r>
    </w:p>
    <w:p w14:paraId="38906FB4" w14:textId="77777777" w:rsidR="00C3451B" w:rsidRPr="00882532" w:rsidRDefault="00C3451B" w:rsidP="00C3451B">
      <w:pPr>
        <w:autoSpaceDE w:val="0"/>
        <w:autoSpaceDN w:val="0"/>
        <w:adjustRightInd w:val="0"/>
        <w:ind w:left="-142" w:firstLine="850"/>
        <w:jc w:val="both"/>
        <w:rPr>
          <w:rFonts w:cs="Arial"/>
          <w:sz w:val="18"/>
          <w:szCs w:val="18"/>
        </w:rPr>
      </w:pPr>
      <w:r w:rsidRPr="00882532">
        <w:rPr>
          <w:rFonts w:cs="Arial"/>
          <w:sz w:val="18"/>
          <w:szCs w:val="18"/>
        </w:rPr>
        <w:t xml:space="preserve">Sformułowanie kryteriów oceny ofert stanowi niewątpliwie jedną z fundamentalnych czynności Zamawiającego, dlatego też winna być ona dokonana z poszanowaniem zasad wyrażonych w art. 16  ustawy PZP (w tym równie proporcjonalności) Przyjmuje się też stanowisko, że Zamawiający, działając w granicach ustawy, może precyzować warunki zamówienia publicznego poprzez określenie kryteriów/ tu: głównie czasowych/ o ile nie są one wymogami zbędnymi i </w:t>
      </w:r>
      <w:r w:rsidRPr="00882532">
        <w:rPr>
          <w:rFonts w:ascii="Arial" w:hAnsi="Arial" w:cs="Arial"/>
          <w:b/>
          <w:bCs/>
          <w:color w:val="0070C0"/>
          <w:sz w:val="18"/>
          <w:szCs w:val="18"/>
        </w:rPr>
        <w:t>wygórowanymi.</w:t>
      </w:r>
      <w:r w:rsidRPr="00882532">
        <w:rPr>
          <w:rFonts w:cs="Arial"/>
          <w:sz w:val="18"/>
          <w:szCs w:val="18"/>
        </w:rPr>
        <w:t xml:space="preserve"> Wymogi ustawy Pzp narzucają, iż Zamawiający ma obowiązek wymienić wszystkie kryteria, szczegółowo opisać do czego się odnoszą oraz w jaki sposób nastąpi ocena treści oferty przy ich zastosowaniu.</w:t>
      </w:r>
      <w:r w:rsidRPr="00882532">
        <w:t xml:space="preserve"> </w:t>
      </w:r>
      <w:r w:rsidRPr="00882532">
        <w:rPr>
          <w:rFonts w:cs="Arial"/>
          <w:sz w:val="18"/>
          <w:szCs w:val="18"/>
        </w:rPr>
        <w:t>Sposób oceny ofert powinien być tak skonstruowany, aby zapewniał obiektywną ocenę złożonych ofert. Oznacza to, iż powinna zostać wyłączona możliwość subiektywnej, uznaniowej i dowolnej oceny dokonanej przez członków komisji przetargowej lub inne osoby wykonujące czynności w tym zakresie z ramienia zamawiającego. Konieczne jest bowiem zapewnienie weryfikacji prawidłowości oceny ofert w szczególności przez wykonawców oraz organy uprawnione do orzekania o zgodności z prawem przeprowadzonego postępowania o udzielenie zamówienia publicznego. Osiągnąć można to wyłącznie wtedy, gdy szczegółowość, kompletność i jednoznaczność opisu kryteriów oceny ofert umożliwia każdemu znającemu treść ofert dokonanie ich właściwej i obiektywnie uzasadnionej oceny i hierarchizacji w rankingu ofert najkorzystniejszych.</w:t>
      </w:r>
    </w:p>
    <w:p w14:paraId="181A1DC4" w14:textId="77777777" w:rsidR="00C3451B" w:rsidRPr="00882532" w:rsidRDefault="00C3451B" w:rsidP="00C3451B">
      <w:pPr>
        <w:autoSpaceDE w:val="0"/>
        <w:autoSpaceDN w:val="0"/>
        <w:adjustRightInd w:val="0"/>
        <w:ind w:left="-142" w:firstLine="850"/>
        <w:jc w:val="both"/>
        <w:rPr>
          <w:rFonts w:cs="Arial"/>
          <w:sz w:val="18"/>
          <w:szCs w:val="18"/>
        </w:rPr>
      </w:pPr>
      <w:r w:rsidRPr="00882532">
        <w:rPr>
          <w:rFonts w:cs="Arial"/>
          <w:sz w:val="18"/>
          <w:szCs w:val="18"/>
        </w:rPr>
        <w:t xml:space="preserve">Należy zadać sobie pytanie czy można porównać (zasada proporcjonalności z art. 16 ustawy Pzp) serwis/ naprawę jakiejś drobnej części zamówienia, np. w postaci sprzętu jednorazowego, butli, zaworu (choć i tu bardziej należałoby odnieść ten fakt do wymiany towaru na wolny od wad niż jego naprawę – co Zamawiający uwzględnił de facto w innym kryterium oceny ofert: </w:t>
      </w:r>
      <w:r w:rsidRPr="00882532">
        <w:rPr>
          <w:rFonts w:cs="Arial"/>
          <w:sz w:val="18"/>
          <w:szCs w:val="18"/>
          <w:u w:val="single"/>
        </w:rPr>
        <w:t>Czas wykonania zobowiązań reklamacyjnych dotyczących dostaw od momentu zgłoszenia</w:t>
      </w:r>
      <w:r w:rsidRPr="00882532">
        <w:rPr>
          <w:rFonts w:cs="Arial"/>
          <w:sz w:val="18"/>
          <w:szCs w:val="18"/>
        </w:rPr>
        <w:t xml:space="preserve">), do naprawy zbiornika na ciekły tlen medycznych wraz z jego integralnymi elementami takim jak choćby parownica, czy też zaawansowanego technologicznie urządzenia do podawania tlenku azotu. W obu przypadkach naprawa ( w przypadku poważnych awarii i/lub takich które wymagają specjalistycznego serwisu) tych urządzeń w terminach uwzględnionych w dopuszczalnych terminach podlegających ocenie cytowanego kryterium, tj. 1-2 dni robocze wydaję się być niemożliwa i pozostaje (lub może być) w kwestii życzeniowej. Powyższe czyni niniejsze kryterium pod kątem ustalonego terminu zbyt wygórowanym. Swoboda Zamawiającego w ustalaniu takiego kryterium jak powyższe nie jest więc nieograniczona, ale musi zapewnić przeprowadzenie postępowania i wybór najkorzystniejszej oferty </w:t>
      </w:r>
      <w:r w:rsidRPr="00882532">
        <w:rPr>
          <w:rFonts w:cs="Arial"/>
          <w:sz w:val="18"/>
          <w:szCs w:val="18"/>
        </w:rPr>
        <w:br/>
        <w:t xml:space="preserve">z poszanowaniem zasady uczciwej konkurencji, równego traktowania wykonawców oraz przede wszystkim zasady proporcjonalności. Zamawiający kreując opisywane kryterium oczekuje osiągnięcia pewnego efektu i to wykonawca musi określić, czy jego działania (serwis) ten efekt osiągną. W większości przypadków awaria zaawansowanego sprzętu stanowiącego przedmiot postępowania jest nie do usunięcia w żadnym z możliwych zaproponowanych, a podlegających ocenie terminach (tj. 1 lub 2 dni) i od razu nie poniesienie nie zasłużonych kar wynikających i prowadzi do wykorzystania pozycji dominującej organizatora postępowania </w:t>
      </w:r>
      <w:r w:rsidRPr="00882532">
        <w:rPr>
          <w:rFonts w:cs="Arial"/>
          <w:sz w:val="18"/>
          <w:szCs w:val="18"/>
        </w:rPr>
        <w:br/>
        <w:t>i rażące uprzywilejowanie w treści projektu umowy pozycji Zamawiającego, wbrew zasadom współżycia społecznego i właściwości stosunku prawnego, w sposób stanowiący nadużycie prawa.</w:t>
      </w:r>
    </w:p>
    <w:p w14:paraId="3CF4A5B8" w14:textId="77777777" w:rsidR="00C3451B" w:rsidRPr="00882532" w:rsidRDefault="00C3451B" w:rsidP="00C3451B">
      <w:pPr>
        <w:autoSpaceDE w:val="0"/>
        <w:autoSpaceDN w:val="0"/>
        <w:adjustRightInd w:val="0"/>
        <w:ind w:left="-142" w:firstLine="850"/>
        <w:jc w:val="both"/>
        <w:rPr>
          <w:rFonts w:cs="Arial"/>
          <w:sz w:val="18"/>
          <w:szCs w:val="18"/>
        </w:rPr>
      </w:pPr>
    </w:p>
    <w:p w14:paraId="1086628E" w14:textId="77777777" w:rsidR="00C3451B" w:rsidRPr="00882532" w:rsidRDefault="00C3451B" w:rsidP="00C3451B">
      <w:pPr>
        <w:autoSpaceDE w:val="0"/>
        <w:autoSpaceDN w:val="0"/>
        <w:adjustRightInd w:val="0"/>
        <w:ind w:left="-142" w:firstLine="850"/>
        <w:jc w:val="both"/>
        <w:rPr>
          <w:rFonts w:cs="Arial"/>
          <w:sz w:val="18"/>
          <w:szCs w:val="18"/>
        </w:rPr>
      </w:pPr>
      <w:r w:rsidRPr="00882532">
        <w:rPr>
          <w:rFonts w:cs="Arial"/>
          <w:sz w:val="18"/>
          <w:szCs w:val="18"/>
        </w:rPr>
        <w:t>W związku z powyższym wnosimy o modyfikacje/zredagowanie zastosowanego pozacenowego kryterium oceny ofert „(Czas wykonania napraw/awarii od momentu zgłoszenia” aby spełniał on elementarne zasady prawa zamówień publicznych opisanych w art. 16 ustawy Pzp pod kątem swojej nierealności oraz zbytniego wygórowania, np. :</w:t>
      </w:r>
    </w:p>
    <w:p w14:paraId="0E7FABD8" w14:textId="77777777" w:rsidR="00C3451B" w:rsidRPr="00882532" w:rsidRDefault="00C3451B" w:rsidP="00C3451B">
      <w:pPr>
        <w:autoSpaceDE w:val="0"/>
        <w:autoSpaceDN w:val="0"/>
        <w:adjustRightInd w:val="0"/>
        <w:ind w:left="-142" w:firstLine="850"/>
        <w:jc w:val="both"/>
        <w:rPr>
          <w:rFonts w:cs="Arial"/>
          <w:sz w:val="18"/>
          <w:szCs w:val="18"/>
        </w:rPr>
      </w:pPr>
    </w:p>
    <w:p w14:paraId="52F0312B" w14:textId="77777777" w:rsidR="00C3451B" w:rsidRPr="00882532" w:rsidRDefault="00C3451B" w:rsidP="00C3451B">
      <w:pPr>
        <w:numPr>
          <w:ilvl w:val="0"/>
          <w:numId w:val="46"/>
        </w:numPr>
        <w:autoSpaceDE w:val="0"/>
        <w:autoSpaceDN w:val="0"/>
        <w:adjustRightInd w:val="0"/>
        <w:jc w:val="both"/>
        <w:rPr>
          <w:rFonts w:cs="Arial"/>
          <w:sz w:val="18"/>
          <w:szCs w:val="18"/>
        </w:rPr>
      </w:pPr>
      <w:r w:rsidRPr="00882532">
        <w:rPr>
          <w:rFonts w:cs="Arial"/>
          <w:sz w:val="18"/>
          <w:szCs w:val="18"/>
        </w:rPr>
        <w:t>Uszczegółowienie części (asortymentu) zamówienia podlegającego ocenie w w/w kryterium;</w:t>
      </w:r>
    </w:p>
    <w:p w14:paraId="639B2532" w14:textId="77777777" w:rsidR="00C3451B" w:rsidRPr="00882532" w:rsidRDefault="00C3451B" w:rsidP="00C3451B">
      <w:pPr>
        <w:numPr>
          <w:ilvl w:val="0"/>
          <w:numId w:val="46"/>
        </w:numPr>
        <w:autoSpaceDE w:val="0"/>
        <w:autoSpaceDN w:val="0"/>
        <w:adjustRightInd w:val="0"/>
        <w:jc w:val="both"/>
        <w:rPr>
          <w:rFonts w:cs="Arial"/>
          <w:sz w:val="18"/>
          <w:szCs w:val="18"/>
        </w:rPr>
      </w:pPr>
      <w:r w:rsidRPr="00882532">
        <w:rPr>
          <w:rFonts w:cs="Arial"/>
          <w:sz w:val="18"/>
          <w:szCs w:val="18"/>
        </w:rPr>
        <w:t>Pozostawienie wskazanych terminów z zastrzeżeniem, iż dotyczą one reakcji serwisowej, a nie terminu wykonania bezpośredniej naprawy;</w:t>
      </w:r>
    </w:p>
    <w:p w14:paraId="51EEE28E" w14:textId="77777777" w:rsidR="00C3451B" w:rsidRPr="00882532" w:rsidRDefault="00C3451B" w:rsidP="00C3451B">
      <w:pPr>
        <w:numPr>
          <w:ilvl w:val="0"/>
          <w:numId w:val="46"/>
        </w:numPr>
        <w:autoSpaceDE w:val="0"/>
        <w:autoSpaceDN w:val="0"/>
        <w:adjustRightInd w:val="0"/>
        <w:jc w:val="both"/>
        <w:rPr>
          <w:rFonts w:cs="Arial"/>
          <w:sz w:val="18"/>
          <w:szCs w:val="18"/>
        </w:rPr>
      </w:pPr>
      <w:r w:rsidRPr="00882532">
        <w:rPr>
          <w:rFonts w:cs="Arial"/>
          <w:sz w:val="18"/>
          <w:szCs w:val="18"/>
        </w:rPr>
        <w:t>Wydłużenie terminów z zachowaniem ich realności z możliwością udostępnienia na czas naprawy urządzenia lub rozwiązania zastępczego;</w:t>
      </w:r>
    </w:p>
    <w:p w14:paraId="547630EF" w14:textId="77777777" w:rsidR="00C3451B" w:rsidRPr="00882532" w:rsidRDefault="00C3451B" w:rsidP="00C3451B">
      <w:pPr>
        <w:numPr>
          <w:ilvl w:val="0"/>
          <w:numId w:val="46"/>
        </w:numPr>
        <w:autoSpaceDE w:val="0"/>
        <w:autoSpaceDN w:val="0"/>
        <w:adjustRightInd w:val="0"/>
        <w:jc w:val="both"/>
        <w:rPr>
          <w:rFonts w:cs="Arial"/>
          <w:sz w:val="18"/>
          <w:szCs w:val="18"/>
        </w:rPr>
      </w:pPr>
      <w:r w:rsidRPr="00882532">
        <w:rPr>
          <w:rFonts w:cs="Arial"/>
          <w:sz w:val="18"/>
          <w:szCs w:val="18"/>
        </w:rPr>
        <w:t>Rezygnacja z tego kryterium ze wskazaniem obligatoryjnego terminu naprawy z zachowaniem jego realności z możliwością udostępnienia na czas naprawy urządzenia lub rozwiązania zastępczego;</w:t>
      </w:r>
    </w:p>
    <w:p w14:paraId="55402860" w14:textId="77777777" w:rsidR="00C3451B" w:rsidRPr="00882532" w:rsidRDefault="00C3451B" w:rsidP="00C3451B">
      <w:pPr>
        <w:numPr>
          <w:ilvl w:val="0"/>
          <w:numId w:val="46"/>
        </w:numPr>
        <w:autoSpaceDE w:val="0"/>
        <w:autoSpaceDN w:val="0"/>
        <w:adjustRightInd w:val="0"/>
        <w:jc w:val="both"/>
        <w:rPr>
          <w:rFonts w:cs="Arial"/>
          <w:sz w:val="18"/>
          <w:szCs w:val="18"/>
        </w:rPr>
      </w:pPr>
      <w:r w:rsidRPr="00882532">
        <w:rPr>
          <w:rFonts w:cs="Arial"/>
          <w:sz w:val="18"/>
          <w:szCs w:val="18"/>
        </w:rPr>
        <w:t>Innego rozwiązania pozostającego nie w sprzeczności z art. 16 ustawy Pzp</w:t>
      </w:r>
    </w:p>
    <w:p w14:paraId="1959C5C4" w14:textId="77777777" w:rsidR="00C3451B" w:rsidRPr="00882532" w:rsidRDefault="00C3451B" w:rsidP="00C3451B">
      <w:pPr>
        <w:autoSpaceDE w:val="0"/>
        <w:autoSpaceDN w:val="0"/>
        <w:adjustRightInd w:val="0"/>
        <w:jc w:val="both"/>
        <w:rPr>
          <w:rFonts w:cs="Arial"/>
          <w:sz w:val="18"/>
          <w:szCs w:val="18"/>
        </w:rPr>
      </w:pPr>
    </w:p>
    <w:p w14:paraId="2404B058" w14:textId="77777777" w:rsidR="00C3451B" w:rsidRPr="00882532" w:rsidRDefault="00C3451B" w:rsidP="00C3451B">
      <w:pPr>
        <w:autoSpaceDE w:val="0"/>
        <w:autoSpaceDN w:val="0"/>
        <w:adjustRightInd w:val="0"/>
        <w:jc w:val="both"/>
        <w:rPr>
          <w:rFonts w:cs="Arial"/>
          <w:sz w:val="18"/>
          <w:szCs w:val="18"/>
        </w:rPr>
      </w:pPr>
      <w:r w:rsidRPr="00882532">
        <w:rPr>
          <w:rFonts w:cs="Arial"/>
          <w:sz w:val="18"/>
          <w:szCs w:val="18"/>
        </w:rPr>
        <w:t xml:space="preserve">Uzasadnienie wniosku zaczerpnięto z Materiałów szkoleniowych z zakresu kryteriów oceny ofert (Profesjonalizacja kadr w zamówieniach publicznych), Warszawa 2020 dostępnych na stronie Uzp: </w:t>
      </w:r>
    </w:p>
    <w:p w14:paraId="62EDE606" w14:textId="77777777" w:rsidR="00C3451B" w:rsidRPr="00882532" w:rsidRDefault="00DF76A9" w:rsidP="00C3451B">
      <w:pPr>
        <w:autoSpaceDE w:val="0"/>
        <w:autoSpaceDN w:val="0"/>
        <w:adjustRightInd w:val="0"/>
        <w:jc w:val="both"/>
        <w:rPr>
          <w:rFonts w:cs="Arial"/>
          <w:sz w:val="18"/>
          <w:szCs w:val="18"/>
        </w:rPr>
      </w:pPr>
      <w:hyperlink r:id="rId9" w:history="1">
        <w:r w:rsidR="00C3451B" w:rsidRPr="00882532">
          <w:rPr>
            <w:rStyle w:val="Hipercze"/>
            <w:rFonts w:cs="Arial"/>
            <w:sz w:val="18"/>
            <w:szCs w:val="18"/>
          </w:rPr>
          <w:t>https://www.uzp.gov.pl/__data/assets/pdf_file/0026/45719/Kryteria-oceny-ofert.pdf</w:t>
        </w:r>
      </w:hyperlink>
      <w:r w:rsidR="00C3451B" w:rsidRPr="00882532">
        <w:rPr>
          <w:rFonts w:cs="Arial"/>
          <w:sz w:val="18"/>
          <w:szCs w:val="18"/>
        </w:rPr>
        <w:t xml:space="preserve"> (dostęp 14.12.2023r) </w:t>
      </w:r>
    </w:p>
    <w:p w14:paraId="5B9E6E03" w14:textId="2A7987B5" w:rsidR="00C3451B" w:rsidRDefault="00C3451B" w:rsidP="00C3451B">
      <w:pPr>
        <w:ind w:left="-142"/>
        <w:jc w:val="both"/>
        <w:rPr>
          <w:highlight w:val="yellow"/>
        </w:rPr>
      </w:pPr>
    </w:p>
    <w:p w14:paraId="1357EEB8" w14:textId="6C0E72F5" w:rsidR="00882532" w:rsidRDefault="00882532" w:rsidP="00C3451B">
      <w:pPr>
        <w:ind w:left="-142"/>
        <w:jc w:val="both"/>
        <w:rPr>
          <w:highlight w:val="yellow"/>
        </w:rPr>
      </w:pPr>
    </w:p>
    <w:p w14:paraId="3FCDF171" w14:textId="2C6B285D" w:rsidR="00882532" w:rsidRDefault="00882532" w:rsidP="00882532">
      <w:pPr>
        <w:ind w:left="-142"/>
        <w:jc w:val="both"/>
        <w:rPr>
          <w:b/>
          <w:color w:val="0070C0"/>
        </w:rPr>
      </w:pPr>
      <w:r w:rsidRPr="008F10BD">
        <w:rPr>
          <w:b/>
          <w:color w:val="0070C0"/>
        </w:rPr>
        <w:t>Zamawiający pozostawia zapis</w:t>
      </w:r>
      <w:r>
        <w:rPr>
          <w:b/>
          <w:color w:val="0070C0"/>
        </w:rPr>
        <w:t xml:space="preserve">y kryteriów </w:t>
      </w:r>
      <w:r w:rsidRPr="008F10BD">
        <w:rPr>
          <w:b/>
          <w:color w:val="0070C0"/>
        </w:rPr>
        <w:t xml:space="preserve">bez zmian. </w:t>
      </w:r>
      <w:r>
        <w:rPr>
          <w:b/>
          <w:color w:val="0070C0"/>
        </w:rPr>
        <w:t xml:space="preserve">Dodatkowo Zamawiający doprecyzowuje, iż w przypadku braku możliwości napraw na opisanych warunkach, Wykonawca ma możliwość zastosowania rozwiązania alternatywnego poprzez zapewnienie urządzenia zamiennego.  </w:t>
      </w:r>
      <w:r>
        <w:rPr>
          <w:b/>
          <w:color w:val="0070C0"/>
        </w:rPr>
        <w:br/>
        <w:t xml:space="preserve">Powyższe musi odbyć się w terminach </w:t>
      </w:r>
      <w:r w:rsidRPr="002437A5">
        <w:rPr>
          <w:b/>
          <w:color w:val="0070C0"/>
        </w:rPr>
        <w:t>wskazanych</w:t>
      </w:r>
      <w:r w:rsidR="000B0C1F" w:rsidRPr="002437A5">
        <w:rPr>
          <w:b/>
          <w:color w:val="0070C0"/>
        </w:rPr>
        <w:t xml:space="preserve"> (1 lub 2 </w:t>
      </w:r>
      <w:r w:rsidR="000B0C1F">
        <w:rPr>
          <w:b/>
          <w:color w:val="0070C0"/>
        </w:rPr>
        <w:t>dni)</w:t>
      </w:r>
      <w:r>
        <w:rPr>
          <w:b/>
          <w:color w:val="0070C0"/>
        </w:rPr>
        <w:t xml:space="preserve">.   </w:t>
      </w:r>
    </w:p>
    <w:p w14:paraId="015D1140" w14:textId="77777777" w:rsidR="00882532" w:rsidRPr="00C3451B" w:rsidRDefault="00882532" w:rsidP="00C3451B">
      <w:pPr>
        <w:ind w:left="-142"/>
        <w:jc w:val="both"/>
        <w:rPr>
          <w:highlight w:val="yellow"/>
        </w:rPr>
      </w:pPr>
    </w:p>
    <w:p w14:paraId="67EF5044" w14:textId="77777777" w:rsidR="00C3451B" w:rsidRPr="00C3451B" w:rsidRDefault="00C3451B" w:rsidP="00C3451B">
      <w:pPr>
        <w:rPr>
          <w:color w:val="002060"/>
          <w:sz w:val="16"/>
          <w:highlight w:val="yellow"/>
        </w:rPr>
      </w:pPr>
    </w:p>
    <w:p w14:paraId="62E71F1C" w14:textId="77777777" w:rsidR="00C3451B" w:rsidRPr="00524B1B" w:rsidRDefault="00C3451B" w:rsidP="00C3451B">
      <w:pPr>
        <w:autoSpaceDE w:val="0"/>
        <w:autoSpaceDN w:val="0"/>
        <w:adjustRightInd w:val="0"/>
        <w:ind w:left="-142"/>
        <w:jc w:val="both"/>
        <w:rPr>
          <w:rFonts w:ascii="Arial" w:hAnsi="Arial" w:cs="Arial"/>
          <w:b/>
          <w:bCs/>
          <w:color w:val="0070C0"/>
          <w:sz w:val="18"/>
          <w:szCs w:val="18"/>
          <w:u w:val="single"/>
        </w:rPr>
      </w:pPr>
      <w:r w:rsidRPr="00524B1B">
        <w:rPr>
          <w:rFonts w:ascii="Arial" w:hAnsi="Arial" w:cs="Arial"/>
          <w:b/>
          <w:bCs/>
          <w:color w:val="0070C0"/>
          <w:sz w:val="18"/>
          <w:szCs w:val="18"/>
          <w:u w:val="single"/>
        </w:rPr>
        <w:t>Pytanie nr 20 – załączniki do SWZ</w:t>
      </w:r>
    </w:p>
    <w:p w14:paraId="57A17047" w14:textId="77777777" w:rsidR="00C3451B" w:rsidRPr="00524B1B" w:rsidRDefault="00C3451B" w:rsidP="00C3451B">
      <w:pPr>
        <w:autoSpaceDE w:val="0"/>
        <w:autoSpaceDN w:val="0"/>
        <w:adjustRightInd w:val="0"/>
        <w:ind w:left="-142"/>
        <w:jc w:val="both"/>
        <w:rPr>
          <w:sz w:val="18"/>
          <w:szCs w:val="18"/>
        </w:rPr>
      </w:pPr>
      <w:r w:rsidRPr="00524B1B">
        <w:rPr>
          <w:sz w:val="18"/>
          <w:szCs w:val="18"/>
        </w:rPr>
        <w:t>Wnosimy do Zamawiającego o zamieszczenie na stosownej ogólnodostępnej stronie postępowania formularza JEDZ (ESPD) w formacie XML, opisanego w treści SWZ.</w:t>
      </w:r>
    </w:p>
    <w:p w14:paraId="675D3E57" w14:textId="55C80E36" w:rsidR="00C3451B" w:rsidRPr="00524B1B" w:rsidRDefault="00C3451B" w:rsidP="00C3451B">
      <w:pPr>
        <w:autoSpaceDE w:val="0"/>
        <w:autoSpaceDN w:val="0"/>
        <w:adjustRightInd w:val="0"/>
        <w:ind w:left="-142"/>
        <w:jc w:val="both"/>
        <w:rPr>
          <w:sz w:val="18"/>
          <w:szCs w:val="18"/>
        </w:rPr>
      </w:pPr>
    </w:p>
    <w:p w14:paraId="46E7409F" w14:textId="192CC9C1" w:rsidR="00524B1B" w:rsidRPr="002437A5" w:rsidRDefault="00524B1B" w:rsidP="00524B1B">
      <w:pPr>
        <w:ind w:left="-142"/>
        <w:jc w:val="both"/>
        <w:rPr>
          <w:b/>
          <w:color w:val="0070C0"/>
        </w:rPr>
      </w:pPr>
      <w:r w:rsidRPr="002437A5">
        <w:rPr>
          <w:b/>
          <w:color w:val="0070C0"/>
        </w:rPr>
        <w:t xml:space="preserve">Formularz JEDZ ma zastosowanie na II etapie. Zamawiający zamieści dokument w w/w formacie.  </w:t>
      </w:r>
    </w:p>
    <w:p w14:paraId="60355897" w14:textId="77777777" w:rsidR="00524B1B" w:rsidRDefault="00524B1B" w:rsidP="00524B1B">
      <w:pPr>
        <w:ind w:left="-142"/>
        <w:jc w:val="both"/>
        <w:rPr>
          <w:b/>
          <w:color w:val="0070C0"/>
        </w:rPr>
      </w:pPr>
    </w:p>
    <w:p w14:paraId="1B27E466" w14:textId="77777777" w:rsidR="006C259C" w:rsidRDefault="006C259C" w:rsidP="00C3451B">
      <w:pPr>
        <w:autoSpaceDE w:val="0"/>
        <w:autoSpaceDN w:val="0"/>
        <w:adjustRightInd w:val="0"/>
        <w:ind w:left="-142"/>
        <w:jc w:val="both"/>
        <w:rPr>
          <w:rFonts w:ascii="Arial" w:hAnsi="Arial" w:cs="Arial"/>
          <w:b/>
          <w:bCs/>
          <w:color w:val="0070C0"/>
          <w:sz w:val="18"/>
          <w:szCs w:val="22"/>
          <w:u w:val="single"/>
        </w:rPr>
      </w:pPr>
    </w:p>
    <w:p w14:paraId="1AAE3A4E" w14:textId="77777777" w:rsidR="006C259C" w:rsidRDefault="006C259C" w:rsidP="00C3451B">
      <w:pPr>
        <w:autoSpaceDE w:val="0"/>
        <w:autoSpaceDN w:val="0"/>
        <w:adjustRightInd w:val="0"/>
        <w:ind w:left="-142"/>
        <w:jc w:val="both"/>
        <w:rPr>
          <w:rFonts w:ascii="Arial" w:hAnsi="Arial" w:cs="Arial"/>
          <w:b/>
          <w:bCs/>
          <w:color w:val="0070C0"/>
          <w:sz w:val="18"/>
          <w:szCs w:val="22"/>
          <w:u w:val="single"/>
        </w:rPr>
      </w:pPr>
    </w:p>
    <w:p w14:paraId="7F2D74AE" w14:textId="68763A7A" w:rsidR="00C3451B" w:rsidRPr="00524B1B" w:rsidRDefault="00C3451B" w:rsidP="00C3451B">
      <w:pPr>
        <w:autoSpaceDE w:val="0"/>
        <w:autoSpaceDN w:val="0"/>
        <w:adjustRightInd w:val="0"/>
        <w:ind w:left="-142"/>
        <w:jc w:val="both"/>
        <w:rPr>
          <w:rFonts w:ascii="Arial" w:hAnsi="Arial" w:cs="Arial"/>
          <w:b/>
          <w:bCs/>
          <w:color w:val="0070C0"/>
          <w:sz w:val="18"/>
          <w:szCs w:val="22"/>
          <w:u w:val="single"/>
        </w:rPr>
      </w:pPr>
      <w:r w:rsidRPr="00524B1B">
        <w:rPr>
          <w:rFonts w:ascii="Arial" w:hAnsi="Arial" w:cs="Arial"/>
          <w:b/>
          <w:bCs/>
          <w:color w:val="0070C0"/>
          <w:sz w:val="18"/>
          <w:szCs w:val="22"/>
          <w:u w:val="single"/>
        </w:rPr>
        <w:t xml:space="preserve">Pytanie nr  21 – termin dostawy dla butli będących własnością Zamawiającego </w:t>
      </w:r>
    </w:p>
    <w:p w14:paraId="0DE238B1" w14:textId="77777777" w:rsidR="00C3451B" w:rsidRPr="00524B1B" w:rsidRDefault="00C3451B" w:rsidP="00C3451B">
      <w:pPr>
        <w:autoSpaceDE w:val="0"/>
        <w:autoSpaceDN w:val="0"/>
        <w:adjustRightInd w:val="0"/>
        <w:ind w:left="-142"/>
        <w:jc w:val="both"/>
        <w:rPr>
          <w:rFonts w:ascii="Arial" w:hAnsi="Arial" w:cs="Arial"/>
          <w:b/>
          <w:bCs/>
          <w:sz w:val="18"/>
          <w:szCs w:val="22"/>
          <w:u w:val="single"/>
        </w:rPr>
      </w:pPr>
      <w:r w:rsidRPr="00524B1B">
        <w:rPr>
          <w:sz w:val="18"/>
          <w:szCs w:val="18"/>
        </w:rPr>
        <w:t xml:space="preserve">W  odniesieniu do butli z helem 3,0l i argonem 5.0 5l, będących własnością Zamawiającego (tak wynika z analizy formularza asortymentowo-cenowego: brak dzierżaw butli z w/w gazami) wraz z ich napełnieniem wnosimy o  </w:t>
      </w:r>
      <w:r w:rsidRPr="00524B1B">
        <w:rPr>
          <w:rFonts w:ascii="Arial" w:hAnsi="Arial" w:cs="Arial"/>
          <w:b/>
          <w:bCs/>
          <w:sz w:val="18"/>
          <w:szCs w:val="18"/>
        </w:rPr>
        <w:t>zmianę  terminu dostawy   (w tym odbioru, pełnienia i zwrotu ) butli będących własnością   Zamawiającego  do 14 dni roboczego.</w:t>
      </w:r>
    </w:p>
    <w:p w14:paraId="3AA58CFB" w14:textId="77777777" w:rsidR="00C3451B" w:rsidRPr="00524B1B" w:rsidRDefault="00C3451B" w:rsidP="00C3451B">
      <w:pPr>
        <w:jc w:val="both"/>
        <w:rPr>
          <w:color w:val="FF0000"/>
          <w:sz w:val="18"/>
          <w:szCs w:val="18"/>
        </w:rPr>
      </w:pPr>
    </w:p>
    <w:p w14:paraId="7C1E593D" w14:textId="77777777" w:rsidR="00C3451B" w:rsidRPr="00524B1B" w:rsidRDefault="00C3451B" w:rsidP="00C3451B">
      <w:pPr>
        <w:ind w:left="-142"/>
        <w:jc w:val="both"/>
        <w:rPr>
          <w:sz w:val="18"/>
          <w:szCs w:val="18"/>
        </w:rPr>
      </w:pPr>
      <w:r w:rsidRPr="00524B1B">
        <w:rPr>
          <w:sz w:val="18"/>
          <w:szCs w:val="18"/>
        </w:rPr>
        <w:t xml:space="preserve">Prośbę naszą pragniemy umotywować również względami logistycznymi, technicznymi i produkcyjnymi oraz zwrócić uwagę na czasochłonność procesu prawidłowego napełniania butli oraz jego weryfikacji pod względem bezpieczeństwa (w tym również dla użytkownika), załadunku i transportu specjalnie do tego przeznaczonymi pojazdami przez specjalnie do tego przeszkolonych kierowców z zachowaniem rygorystycznych  zasad obowiązującego prawa (ADR).  </w:t>
      </w:r>
    </w:p>
    <w:p w14:paraId="3352741E" w14:textId="2D00E5A0" w:rsidR="00C3451B" w:rsidRDefault="00C3451B" w:rsidP="00C3451B">
      <w:pPr>
        <w:autoSpaceDE w:val="0"/>
        <w:autoSpaceDN w:val="0"/>
        <w:adjustRightInd w:val="0"/>
        <w:ind w:left="-142"/>
        <w:jc w:val="both"/>
        <w:rPr>
          <w:rFonts w:ascii="Arial" w:hAnsi="Arial" w:cs="Arial"/>
          <w:b/>
          <w:bCs/>
          <w:color w:val="0070C0"/>
          <w:sz w:val="18"/>
          <w:szCs w:val="22"/>
          <w:highlight w:val="yellow"/>
          <w:u w:val="single"/>
        </w:rPr>
      </w:pPr>
    </w:p>
    <w:p w14:paraId="71E32838" w14:textId="77777777" w:rsidR="00B314E8" w:rsidRDefault="00B314E8" w:rsidP="00B314E8">
      <w:pPr>
        <w:ind w:left="-142"/>
        <w:jc w:val="both"/>
        <w:rPr>
          <w:b/>
          <w:color w:val="0070C0"/>
        </w:rPr>
      </w:pPr>
      <w:r w:rsidRPr="003C1B81">
        <w:rPr>
          <w:b/>
          <w:color w:val="0070C0"/>
        </w:rPr>
        <w:t>Zamawiający wyłącza butle będące jego własnością</w:t>
      </w:r>
      <w:r>
        <w:rPr>
          <w:b/>
          <w:color w:val="0070C0"/>
        </w:rPr>
        <w:t xml:space="preserve"> z niniejszego postępowania.</w:t>
      </w:r>
    </w:p>
    <w:p w14:paraId="6CB19166" w14:textId="77777777" w:rsidR="00B314E8" w:rsidRDefault="00853CAC" w:rsidP="00853CAC">
      <w:pPr>
        <w:ind w:left="-142"/>
        <w:jc w:val="both"/>
        <w:rPr>
          <w:b/>
          <w:color w:val="0070C0"/>
        </w:rPr>
      </w:pPr>
      <w:r w:rsidRPr="008F10BD">
        <w:rPr>
          <w:b/>
          <w:color w:val="0070C0"/>
        </w:rPr>
        <w:t>Zamawiają</w:t>
      </w:r>
      <w:r>
        <w:rPr>
          <w:b/>
          <w:color w:val="0070C0"/>
        </w:rPr>
        <w:t xml:space="preserve">cy </w:t>
      </w:r>
      <w:r w:rsidR="00B314E8">
        <w:rPr>
          <w:b/>
          <w:color w:val="0070C0"/>
        </w:rPr>
        <w:t>dokonuje modyfikacji Formularza załącznik nr 2 pakiet nr 4.</w:t>
      </w:r>
    </w:p>
    <w:p w14:paraId="651BD699" w14:textId="77777777" w:rsidR="00B314E8" w:rsidRDefault="00B314E8" w:rsidP="00853CAC">
      <w:pPr>
        <w:ind w:left="-142"/>
        <w:jc w:val="both"/>
        <w:rPr>
          <w:b/>
          <w:color w:val="0070C0"/>
        </w:rPr>
      </w:pPr>
    </w:p>
    <w:p w14:paraId="3A9B0290" w14:textId="77777777" w:rsidR="00853CAC" w:rsidRPr="00C3451B" w:rsidRDefault="00853CAC" w:rsidP="00C3451B">
      <w:pPr>
        <w:autoSpaceDE w:val="0"/>
        <w:autoSpaceDN w:val="0"/>
        <w:adjustRightInd w:val="0"/>
        <w:ind w:left="-142"/>
        <w:jc w:val="both"/>
        <w:rPr>
          <w:rFonts w:ascii="Arial" w:hAnsi="Arial" w:cs="Arial"/>
          <w:b/>
          <w:bCs/>
          <w:color w:val="0070C0"/>
          <w:sz w:val="18"/>
          <w:szCs w:val="22"/>
          <w:highlight w:val="yellow"/>
          <w:u w:val="single"/>
        </w:rPr>
      </w:pPr>
    </w:p>
    <w:p w14:paraId="7D3D7F95" w14:textId="77777777" w:rsidR="00C3451B" w:rsidRPr="003C1B81" w:rsidRDefault="00C3451B" w:rsidP="00C3451B">
      <w:pPr>
        <w:autoSpaceDE w:val="0"/>
        <w:autoSpaceDN w:val="0"/>
        <w:adjustRightInd w:val="0"/>
        <w:ind w:left="-142"/>
        <w:jc w:val="both"/>
        <w:rPr>
          <w:rFonts w:ascii="Arial" w:hAnsi="Arial" w:cs="Arial"/>
          <w:b/>
          <w:bCs/>
          <w:color w:val="0070C0"/>
          <w:sz w:val="18"/>
          <w:szCs w:val="22"/>
          <w:u w:val="single"/>
        </w:rPr>
      </w:pPr>
    </w:p>
    <w:p w14:paraId="3B546B6B" w14:textId="77777777" w:rsidR="00C3451B" w:rsidRPr="003C1B81" w:rsidRDefault="00C3451B" w:rsidP="00C3451B">
      <w:pPr>
        <w:autoSpaceDE w:val="0"/>
        <w:autoSpaceDN w:val="0"/>
        <w:adjustRightInd w:val="0"/>
        <w:ind w:left="-142"/>
        <w:jc w:val="both"/>
        <w:rPr>
          <w:rFonts w:ascii="Arial" w:hAnsi="Arial" w:cs="Arial"/>
          <w:b/>
          <w:bCs/>
          <w:color w:val="0070C0"/>
          <w:sz w:val="18"/>
          <w:szCs w:val="22"/>
          <w:u w:val="single"/>
        </w:rPr>
      </w:pPr>
      <w:r w:rsidRPr="003C1B81">
        <w:rPr>
          <w:rFonts w:ascii="Arial" w:hAnsi="Arial" w:cs="Arial"/>
          <w:b/>
          <w:bCs/>
          <w:color w:val="0070C0"/>
          <w:sz w:val="18"/>
          <w:szCs w:val="22"/>
          <w:u w:val="single"/>
        </w:rPr>
        <w:t xml:space="preserve">Pytanie nr 22 – Butle będące własnością Zamawiającego </w:t>
      </w:r>
    </w:p>
    <w:p w14:paraId="30A9BE1D" w14:textId="77777777" w:rsidR="00C3451B" w:rsidRPr="003C1B81" w:rsidRDefault="00C3451B" w:rsidP="00C3451B">
      <w:pPr>
        <w:autoSpaceDE w:val="0"/>
        <w:autoSpaceDN w:val="0"/>
        <w:adjustRightInd w:val="0"/>
        <w:spacing w:line="276" w:lineRule="auto"/>
        <w:ind w:left="-142"/>
        <w:jc w:val="both"/>
        <w:rPr>
          <w:rFonts w:cs="Arial"/>
          <w:sz w:val="18"/>
          <w:szCs w:val="22"/>
        </w:rPr>
      </w:pPr>
      <w:r w:rsidRPr="003C1B81">
        <w:rPr>
          <w:rFonts w:cs="Arial"/>
          <w:sz w:val="18"/>
          <w:szCs w:val="22"/>
        </w:rPr>
        <w:t>Jednocześnie w związku z obowiązującymi przepisami prawa prosimy o rozszerzenie zapisów projektu umowy o odpowiednie zapisy dotyczące pełnionych butli, uwzględnione załącznikiem do przyszłej umowy – w załączeniu treść stosownego załącznika (poniżej).</w:t>
      </w:r>
    </w:p>
    <w:p w14:paraId="7AEF3AFE" w14:textId="77777777" w:rsidR="00C3451B" w:rsidRPr="003C1B81" w:rsidRDefault="00C3451B" w:rsidP="00C3451B">
      <w:pPr>
        <w:autoSpaceDE w:val="0"/>
        <w:autoSpaceDN w:val="0"/>
        <w:adjustRightInd w:val="0"/>
        <w:spacing w:line="276" w:lineRule="auto"/>
        <w:ind w:left="-142"/>
        <w:jc w:val="both"/>
        <w:rPr>
          <w:rFonts w:cs="Arial"/>
          <w:sz w:val="18"/>
          <w:szCs w:val="22"/>
        </w:rPr>
      </w:pPr>
    </w:p>
    <w:p w14:paraId="46B72805" w14:textId="77777777" w:rsidR="00C3451B" w:rsidRPr="003C1B81" w:rsidRDefault="00C3451B" w:rsidP="00C3451B">
      <w:pPr>
        <w:autoSpaceDE w:val="0"/>
        <w:autoSpaceDN w:val="0"/>
        <w:adjustRightInd w:val="0"/>
        <w:spacing w:after="120"/>
        <w:ind w:left="-142"/>
        <w:jc w:val="right"/>
        <w:rPr>
          <w:sz w:val="18"/>
          <w:szCs w:val="22"/>
        </w:rPr>
      </w:pPr>
      <w:r w:rsidRPr="003C1B81">
        <w:rPr>
          <w:sz w:val="18"/>
          <w:szCs w:val="22"/>
        </w:rPr>
        <w:t>Załącznik nr ….. do umowy</w:t>
      </w:r>
    </w:p>
    <w:p w14:paraId="7B872A7E" w14:textId="77777777" w:rsidR="00C3451B" w:rsidRPr="003C1B81" w:rsidRDefault="00C3451B" w:rsidP="00C3451B">
      <w:pPr>
        <w:pStyle w:val="Akapitzlist"/>
        <w:ind w:left="142" w:hanging="284"/>
        <w:jc w:val="both"/>
        <w:rPr>
          <w:rFonts w:ascii="LindeDaxOffice" w:hAnsi="LindeDaxOffice" w:cs="Calibri"/>
        </w:rPr>
      </w:pPr>
    </w:p>
    <w:p w14:paraId="0B762C72" w14:textId="77777777" w:rsidR="00C3451B" w:rsidRPr="003C1B81" w:rsidRDefault="00C3451B" w:rsidP="00C3451B">
      <w:pPr>
        <w:pStyle w:val="Akapitzlist"/>
        <w:ind w:left="-142"/>
        <w:jc w:val="both"/>
        <w:rPr>
          <w:rFonts w:ascii="LindeDaxOffice" w:hAnsi="LindeDaxOffice" w:cs="Calibri"/>
          <w:b/>
          <w:bCs/>
          <w:sz w:val="18"/>
          <w:szCs w:val="18"/>
        </w:rPr>
      </w:pPr>
      <w:r w:rsidRPr="003C1B81">
        <w:rPr>
          <w:rFonts w:ascii="LindeDaxOffice" w:hAnsi="LindeDaxOffice" w:cs="Calibri"/>
          <w:b/>
          <w:bCs/>
          <w:sz w:val="18"/>
          <w:szCs w:val="18"/>
        </w:rPr>
        <w:t>Informacja dla Klientów zlecających napełnienie butli dla gazów medycznych, będących jednocześnie  właścicielami tych butli.</w:t>
      </w:r>
    </w:p>
    <w:p w14:paraId="4F93D0E1" w14:textId="77777777" w:rsidR="00C3451B" w:rsidRPr="003C1B81" w:rsidRDefault="00C3451B" w:rsidP="00C3451B">
      <w:pPr>
        <w:pStyle w:val="Akapitzlist"/>
        <w:ind w:left="142" w:hanging="284"/>
        <w:jc w:val="both"/>
        <w:rPr>
          <w:rFonts w:ascii="LindeDaxOffice" w:hAnsi="LindeDaxOffice" w:cs="Calibri"/>
        </w:rPr>
      </w:pPr>
    </w:p>
    <w:p w14:paraId="74C11BCE" w14:textId="77777777" w:rsidR="00C3451B" w:rsidRPr="003C1B81" w:rsidRDefault="00C3451B" w:rsidP="00C3451B">
      <w:pPr>
        <w:pStyle w:val="Akapitzlist"/>
        <w:ind w:left="142" w:hanging="284"/>
        <w:jc w:val="both"/>
        <w:rPr>
          <w:rFonts w:ascii="LindeDaxOffice" w:hAnsi="LindeDaxOffice" w:cs="Calibri"/>
          <w:sz w:val="18"/>
          <w:szCs w:val="18"/>
        </w:rPr>
      </w:pPr>
      <w:r w:rsidRPr="003C1B81">
        <w:rPr>
          <w:rFonts w:ascii="LindeDaxOffice" w:hAnsi="LindeDaxOffice" w:cs="Calibri"/>
        </w:rPr>
        <w:t xml:space="preserve">1. </w:t>
      </w:r>
      <w:r w:rsidRPr="003C1B81">
        <w:rPr>
          <w:rFonts w:ascii="LindeDaxOffice" w:hAnsi="LindeDaxOffice" w:cs="Calibri"/>
          <w:sz w:val="18"/>
          <w:szCs w:val="18"/>
        </w:rPr>
        <w:t xml:space="preserve">Klient będący właścicielem butli przeznaczonej dla gazów medycznych zobowiązany jest do trwałego oznakowania butli (wybita nazwa właściciela) zgodnie z wymaganiami </w:t>
      </w:r>
      <w:r w:rsidRPr="003C1B81">
        <w:rPr>
          <w:rFonts w:ascii="Arial" w:hAnsi="Arial" w:cs="Arial"/>
          <w:b/>
          <w:bCs/>
          <w:sz w:val="18"/>
          <w:szCs w:val="18"/>
        </w:rPr>
        <w:t>Rozporządzenia Ministra Gospodarki, Pracy i Polityki Społecznej z dnia 23 grudnia 2003 r. w sprawie bezpieczeństwa i higieny pracy przy produkcji i magazynowaniu gazów, napełnianiu zbiorników gazami oraz używaniu i magazynowaniu karbidu Dz.U. 2004 nr 7 poz. 59 oraz Normy PN-EN ISO 13769 Butle do gazów - Znakowanie butli</w:t>
      </w:r>
      <w:r w:rsidRPr="003C1B81">
        <w:rPr>
          <w:rFonts w:ascii="LindeDaxOffice" w:hAnsi="LindeDaxOffice" w:cs="Calibri"/>
          <w:sz w:val="18"/>
          <w:szCs w:val="18"/>
        </w:rPr>
        <w:t xml:space="preserve"> (z wyłączeniem LPG) - Cechowanie. Koszty trwałego oznakowania ponosi właściciel butli.</w:t>
      </w:r>
    </w:p>
    <w:p w14:paraId="2F54A666" w14:textId="77777777" w:rsidR="00C3451B" w:rsidRPr="003C1B81" w:rsidRDefault="00C3451B" w:rsidP="00C3451B">
      <w:pPr>
        <w:pStyle w:val="Akapitzlist"/>
        <w:ind w:left="142" w:hanging="284"/>
        <w:jc w:val="both"/>
        <w:rPr>
          <w:rFonts w:ascii="LindeDaxOffice" w:hAnsi="LindeDaxOffice" w:cs="Calibri"/>
          <w:sz w:val="18"/>
          <w:szCs w:val="18"/>
        </w:rPr>
      </w:pPr>
    </w:p>
    <w:p w14:paraId="5D805492" w14:textId="77777777" w:rsidR="00C3451B" w:rsidRPr="003C1B81" w:rsidRDefault="00C3451B" w:rsidP="00C3451B">
      <w:pPr>
        <w:pStyle w:val="Akapitzlist"/>
        <w:ind w:left="0" w:hanging="142"/>
        <w:jc w:val="both"/>
        <w:rPr>
          <w:rFonts w:ascii="LindeDaxOffice" w:hAnsi="LindeDaxOffice" w:cs="Calibri"/>
          <w:sz w:val="18"/>
          <w:szCs w:val="18"/>
        </w:rPr>
      </w:pPr>
      <w:r w:rsidRPr="003C1B81">
        <w:rPr>
          <w:rFonts w:ascii="LindeDaxOffice" w:hAnsi="LindeDaxOffice" w:cs="Calibri"/>
          <w:sz w:val="18"/>
          <w:szCs w:val="18"/>
        </w:rPr>
        <w:t xml:space="preserve">2. W przypadku butli przeznaczonej dla gazów medycznych, przekazanej do legalizacji, informuje się, że podczas legalizacji butla zostanie: pomalowana - zgodnie z wymaganiami </w:t>
      </w:r>
      <w:r w:rsidRPr="003C1B81">
        <w:rPr>
          <w:rFonts w:ascii="Arial" w:hAnsi="Arial" w:cs="Arial"/>
          <w:b/>
          <w:bCs/>
          <w:sz w:val="18"/>
          <w:szCs w:val="18"/>
        </w:rPr>
        <w:t>Normy PN-EN 1089-3:2011</w:t>
      </w:r>
      <w:r w:rsidRPr="003C1B81">
        <w:rPr>
          <w:rFonts w:ascii="LindeDaxOffice" w:hAnsi="LindeDaxOffice" w:cs="Calibri"/>
          <w:sz w:val="18"/>
          <w:szCs w:val="18"/>
        </w:rPr>
        <w:t xml:space="preserve"> Butle do gazów - Znakowanie butli (z wyłączeniem LPG) - Część 3: Kod Barwny zostanie wymieniony zawór na zawór przeznaczony dla butli medycznej zgodnie z dokumentacją będącą podstawą wprowadzenia do obrotu produktu leczniczego i  Pozwoleniem na dopuszczenie do obrotu wydanym  na podstawie art. 7 ust. 2 i art. 29 ust. 2 ustawy Prawo farmaceutyczne (Dz. U. z 2008 r. Nr 45, poz. 271 ze zm.)</w:t>
      </w:r>
    </w:p>
    <w:p w14:paraId="1F3943C0" w14:textId="77777777" w:rsidR="00C3451B" w:rsidRPr="003C1B81" w:rsidRDefault="00C3451B" w:rsidP="00C3451B">
      <w:pPr>
        <w:pStyle w:val="Akapitzlist"/>
        <w:ind w:left="0" w:hanging="142"/>
        <w:jc w:val="both"/>
        <w:rPr>
          <w:rFonts w:ascii="LindeDaxOffice" w:hAnsi="LindeDaxOffice" w:cs="Calibri"/>
          <w:sz w:val="18"/>
          <w:szCs w:val="18"/>
        </w:rPr>
      </w:pPr>
      <w:r w:rsidRPr="003C1B81">
        <w:rPr>
          <w:rFonts w:ascii="LindeDaxOffice" w:hAnsi="LindeDaxOffice" w:cs="Calibri"/>
          <w:sz w:val="18"/>
          <w:szCs w:val="18"/>
        </w:rPr>
        <w:t xml:space="preserve">    zostanie oznakowana - jeżeli na butli nie ma wybitych cech z nazwą Zamawiającego, Zamawiający musi określić sposób znakowania (maksymalnie 10 znaków). Wszystkie te elementy są objęte ceną legalizacji.</w:t>
      </w:r>
    </w:p>
    <w:p w14:paraId="72E8E700" w14:textId="77777777" w:rsidR="00C3451B" w:rsidRPr="003C1B81" w:rsidRDefault="00C3451B" w:rsidP="00C3451B">
      <w:pPr>
        <w:pStyle w:val="Akapitzlist"/>
        <w:ind w:left="142" w:hanging="284"/>
        <w:jc w:val="both"/>
        <w:rPr>
          <w:rFonts w:ascii="LindeDaxOffice" w:hAnsi="LindeDaxOffice" w:cs="Calibri"/>
          <w:sz w:val="18"/>
          <w:szCs w:val="18"/>
        </w:rPr>
      </w:pPr>
    </w:p>
    <w:p w14:paraId="6BF2EB6D" w14:textId="77777777" w:rsidR="00C3451B" w:rsidRPr="003C1B81" w:rsidRDefault="00C3451B" w:rsidP="00C3451B">
      <w:pPr>
        <w:pStyle w:val="Akapitzlist"/>
        <w:ind w:left="142" w:hanging="284"/>
        <w:jc w:val="both"/>
        <w:rPr>
          <w:rFonts w:ascii="LindeDaxOffice" w:hAnsi="LindeDaxOffice" w:cs="Calibri"/>
          <w:sz w:val="18"/>
          <w:szCs w:val="18"/>
        </w:rPr>
      </w:pPr>
      <w:r w:rsidRPr="003C1B81">
        <w:rPr>
          <w:rFonts w:ascii="LindeDaxOffice" w:hAnsi="LindeDaxOffice" w:cs="Calibri"/>
          <w:sz w:val="18"/>
          <w:szCs w:val="18"/>
        </w:rPr>
        <w:t xml:space="preserve">3. Informuje się, że w przypadku gdy butla przeznaczona dla gazów medycznych będzie posiadała ważną legalizację natomiast wygląd butli: kod barwny butli, stan powłoki farby, stopień skorodowania nie będzie zgodny z wymaganiami Normy </w:t>
      </w:r>
      <w:r w:rsidRPr="003C1B81">
        <w:rPr>
          <w:rFonts w:ascii="Arial" w:hAnsi="Arial" w:cs="Arial"/>
          <w:b/>
          <w:bCs/>
          <w:sz w:val="18"/>
          <w:szCs w:val="18"/>
        </w:rPr>
        <w:t>PN-EN 1089-3:2011</w:t>
      </w:r>
      <w:r w:rsidRPr="003C1B81">
        <w:rPr>
          <w:rFonts w:ascii="LindeDaxOffice" w:hAnsi="LindeDaxOffice" w:cs="Calibri"/>
          <w:sz w:val="18"/>
          <w:szCs w:val="18"/>
        </w:rPr>
        <w:t xml:space="preserve"> Butle do gazów - Znakowanie butli (z wyłączeniem LPG) - Część 3: Kod Barwny to butla, </w:t>
      </w:r>
      <w:r w:rsidRPr="003C1B81">
        <w:rPr>
          <w:rFonts w:ascii="LindeDaxOffice" w:hAnsi="LindeDaxOffice" w:cs="Calibri"/>
          <w:sz w:val="18"/>
          <w:szCs w:val="18"/>
        </w:rPr>
        <w:br/>
        <w:t xml:space="preserve">o której mowa zostanie przekazana do malowania. Koszt malowania ponosi właściciel butli. Jeżeli na butli nie ma wybitych cech z nazwą Zamawiającego, Zamawiający może zlecić znakowanie za dodatkową opłatą dla wykonawcy. </w:t>
      </w:r>
    </w:p>
    <w:p w14:paraId="613E9B53" w14:textId="77777777" w:rsidR="00C3451B" w:rsidRPr="003C1B81" w:rsidRDefault="00C3451B" w:rsidP="00C3451B">
      <w:pPr>
        <w:pStyle w:val="Akapitzlist"/>
        <w:ind w:left="142" w:hanging="284"/>
        <w:jc w:val="both"/>
        <w:rPr>
          <w:rFonts w:ascii="LindeDaxOffice" w:hAnsi="LindeDaxOffice" w:cs="Calibri"/>
          <w:sz w:val="18"/>
          <w:szCs w:val="18"/>
        </w:rPr>
      </w:pPr>
      <w:r w:rsidRPr="003C1B81">
        <w:rPr>
          <w:rFonts w:ascii="LindeDaxOffice" w:hAnsi="LindeDaxOffice" w:cs="Calibri"/>
          <w:sz w:val="18"/>
          <w:szCs w:val="18"/>
        </w:rPr>
        <w:t xml:space="preserve">        Butle, które nie są trwale oznakowane, a dla których jest wymagane malowanie – bez zgody Zamawiającego na malowanie i oznakowanie – nie będą przyjmowane.</w:t>
      </w:r>
    </w:p>
    <w:p w14:paraId="39D99A31" w14:textId="77777777" w:rsidR="00C3451B" w:rsidRPr="003C1B81" w:rsidRDefault="00C3451B" w:rsidP="00C3451B">
      <w:pPr>
        <w:pStyle w:val="Akapitzlist"/>
        <w:ind w:left="0"/>
        <w:jc w:val="both"/>
        <w:rPr>
          <w:rFonts w:ascii="LindeDaxOffice" w:hAnsi="LindeDaxOffice" w:cs="Calibri"/>
        </w:rPr>
      </w:pPr>
    </w:p>
    <w:p w14:paraId="6BFD17E0" w14:textId="77777777" w:rsidR="00C3451B" w:rsidRPr="003C1B81" w:rsidRDefault="00C3451B" w:rsidP="00C3451B">
      <w:pPr>
        <w:pStyle w:val="Akapitzlist"/>
        <w:ind w:left="142" w:hanging="284"/>
        <w:jc w:val="both"/>
        <w:rPr>
          <w:rFonts w:ascii="LindeDaxOffice" w:hAnsi="LindeDaxOffice" w:cs="Calibri"/>
          <w:sz w:val="18"/>
          <w:szCs w:val="18"/>
        </w:rPr>
      </w:pPr>
      <w:r w:rsidRPr="003C1B81">
        <w:rPr>
          <w:rFonts w:ascii="LindeDaxOffice" w:hAnsi="LindeDaxOffice" w:cs="Calibri"/>
          <w:sz w:val="18"/>
          <w:szCs w:val="18"/>
        </w:rPr>
        <w:t>4.  Informuje się, że w przypadku konieczności wymiany zaworu ( np. uszkodzenie) w butli przeznaczonej dla gazów medycznych, posiadającej ważną legalizację, zawór może zostać wymieniony wyłącznie na zawór przeznaczony dla butli medycznej zgodnie z dokumentacją będącą podstawą wprowadzenia do obrotu produktu leczniczego i  Pozwoleniem na dopuszczenie do obrotu wydanym  na podstawie art. 7 ust. 2 i art. 29 ust. 2 ustawy Prawo farmaceutyczne (Dz. U. z 2008 r. Nr 45, poz. 271 ze zm.) Koszt wymiany zaworu ponosi właściciel butli.</w:t>
      </w:r>
    </w:p>
    <w:p w14:paraId="4D654A92" w14:textId="0B67047F" w:rsidR="00C3451B" w:rsidRPr="003C1B81" w:rsidRDefault="00C3451B" w:rsidP="00135038">
      <w:pPr>
        <w:autoSpaceDE w:val="0"/>
        <w:autoSpaceDN w:val="0"/>
        <w:adjustRightInd w:val="0"/>
        <w:jc w:val="both"/>
      </w:pPr>
    </w:p>
    <w:p w14:paraId="0A242E91" w14:textId="6B185649" w:rsidR="00C3451B" w:rsidRPr="003C1B81" w:rsidRDefault="00C3451B" w:rsidP="00135038">
      <w:pPr>
        <w:autoSpaceDE w:val="0"/>
        <w:autoSpaceDN w:val="0"/>
        <w:adjustRightInd w:val="0"/>
        <w:jc w:val="both"/>
      </w:pPr>
    </w:p>
    <w:p w14:paraId="023E742F" w14:textId="70FE024F" w:rsidR="00821F54" w:rsidRDefault="00821F54" w:rsidP="00821F54">
      <w:pPr>
        <w:ind w:left="-142"/>
        <w:jc w:val="both"/>
        <w:rPr>
          <w:b/>
          <w:color w:val="0070C0"/>
        </w:rPr>
      </w:pPr>
      <w:r w:rsidRPr="003C1B81">
        <w:rPr>
          <w:b/>
          <w:color w:val="0070C0"/>
        </w:rPr>
        <w:t>Zamawiający wyłącza butle będące jego własnością</w:t>
      </w:r>
      <w:r>
        <w:rPr>
          <w:b/>
          <w:color w:val="0070C0"/>
        </w:rPr>
        <w:t xml:space="preserve"> z niniejszego postępowania.</w:t>
      </w:r>
    </w:p>
    <w:p w14:paraId="73196FDA" w14:textId="45C0625E" w:rsidR="00CF5C6E" w:rsidRPr="00CF5C6E" w:rsidRDefault="00CF5C6E" w:rsidP="00CF5C6E">
      <w:pPr>
        <w:ind w:left="-142"/>
        <w:jc w:val="both"/>
        <w:rPr>
          <w:b/>
          <w:bCs/>
          <w:i/>
          <w:iCs/>
          <w:color w:val="0070C0"/>
        </w:rPr>
      </w:pPr>
      <w:r>
        <w:rPr>
          <w:b/>
          <w:color w:val="0070C0"/>
        </w:rPr>
        <w:t xml:space="preserve">Jednocześnie </w:t>
      </w:r>
      <w:r w:rsidRPr="00CF5C6E">
        <w:rPr>
          <w:b/>
          <w:color w:val="0070C0"/>
        </w:rPr>
        <w:t xml:space="preserve">Zamawiający wymaga </w:t>
      </w:r>
      <w:r w:rsidRPr="00CF5C6E">
        <w:rPr>
          <w:b/>
          <w:bCs/>
          <w:i/>
          <w:iCs/>
          <w:color w:val="0070C0"/>
          <w:u w:val="single"/>
        </w:rPr>
        <w:t xml:space="preserve">czytelnego i jednoznacznego oznakowania </w:t>
      </w:r>
      <w:r>
        <w:rPr>
          <w:b/>
          <w:bCs/>
          <w:i/>
          <w:iCs/>
          <w:color w:val="0070C0"/>
          <w:u w:val="single"/>
        </w:rPr>
        <w:t>dostarczanych butli,</w:t>
      </w:r>
      <w:r>
        <w:rPr>
          <w:b/>
          <w:bCs/>
          <w:i/>
          <w:iCs/>
          <w:color w:val="0070C0"/>
          <w:u w:val="single"/>
        </w:rPr>
        <w:br/>
      </w:r>
      <w:r w:rsidRPr="00CF5C6E">
        <w:rPr>
          <w:b/>
          <w:bCs/>
          <w:i/>
          <w:iCs/>
          <w:color w:val="0070C0"/>
        </w:rPr>
        <w:t>m.in. produkt</w:t>
      </w:r>
      <w:r>
        <w:rPr>
          <w:b/>
          <w:bCs/>
          <w:i/>
          <w:iCs/>
          <w:color w:val="0070C0"/>
        </w:rPr>
        <w:t>ów</w:t>
      </w:r>
      <w:r w:rsidRPr="00CF5C6E">
        <w:rPr>
          <w:b/>
          <w:bCs/>
          <w:i/>
          <w:iCs/>
          <w:color w:val="0070C0"/>
        </w:rPr>
        <w:t xml:space="preserve"> zawierają</w:t>
      </w:r>
      <w:r>
        <w:rPr>
          <w:b/>
          <w:bCs/>
          <w:i/>
          <w:iCs/>
          <w:color w:val="0070C0"/>
        </w:rPr>
        <w:t>cych</w:t>
      </w:r>
      <w:r w:rsidRPr="00CF5C6E">
        <w:rPr>
          <w:b/>
          <w:bCs/>
          <w:i/>
          <w:iCs/>
          <w:color w:val="0070C0"/>
        </w:rPr>
        <w:t xml:space="preserve"> tą samą substancję czynną np. przeznaczenia produktu tlenku węgla.</w:t>
      </w:r>
    </w:p>
    <w:p w14:paraId="0F8C5D50" w14:textId="77777777" w:rsidR="00821F54" w:rsidRDefault="00821F54" w:rsidP="00821F54">
      <w:pPr>
        <w:ind w:left="-142"/>
        <w:jc w:val="both"/>
        <w:rPr>
          <w:b/>
          <w:color w:val="0070C0"/>
        </w:rPr>
      </w:pPr>
    </w:p>
    <w:p w14:paraId="69DD94B7" w14:textId="2D019E8F" w:rsidR="0053428F" w:rsidRPr="00EF38FC" w:rsidRDefault="0053428F" w:rsidP="00E054E8">
      <w:pPr>
        <w:jc w:val="both"/>
        <w:rPr>
          <w:rFonts w:eastAsia="Times New Roman" w:cs="Times New Roman"/>
        </w:rPr>
      </w:pPr>
    </w:p>
    <w:p w14:paraId="2F6ADE5D" w14:textId="4B4F72B6" w:rsidR="00A21DA3" w:rsidRPr="00EF38FC" w:rsidRDefault="00EF38FC" w:rsidP="00E054E8">
      <w:pPr>
        <w:jc w:val="both"/>
        <w:rPr>
          <w:rFonts w:eastAsia="Times New Roman" w:cs="Times New Roman"/>
        </w:rPr>
      </w:pPr>
      <w:r w:rsidRPr="00EF38FC">
        <w:rPr>
          <w:rFonts w:eastAsia="Times New Roman" w:cs="Times New Roman"/>
        </w:rPr>
        <w:t xml:space="preserve">Wykonawca oferując rozwiązania / parametry dopuszczone niniejszymi </w:t>
      </w:r>
      <w:r w:rsidR="0093469C" w:rsidRPr="00EF38FC">
        <w:rPr>
          <w:rFonts w:eastAsia="Times New Roman" w:cs="Times New Roman"/>
        </w:rPr>
        <w:t>odpowiedziami</w:t>
      </w:r>
      <w:r w:rsidRPr="00EF38FC">
        <w:rPr>
          <w:rFonts w:eastAsia="Times New Roman" w:cs="Times New Roman"/>
        </w:rPr>
        <w:t xml:space="preserve"> winien pod tabelą zapisać „</w:t>
      </w:r>
      <w:r>
        <w:rPr>
          <w:rFonts w:eastAsia="Times New Roman" w:cs="Times New Roman"/>
        </w:rPr>
        <w:t>*</w:t>
      </w:r>
      <w:r w:rsidRPr="00EF38FC">
        <w:rPr>
          <w:rFonts w:eastAsia="Times New Roman" w:cs="Times New Roman"/>
          <w:i/>
        </w:rPr>
        <w:t xml:space="preserve">parametr </w:t>
      </w:r>
      <w:r>
        <w:rPr>
          <w:rFonts w:eastAsia="Times New Roman" w:cs="Times New Roman"/>
          <w:i/>
        </w:rPr>
        <w:t xml:space="preserve">……… (jego nazwa) </w:t>
      </w:r>
      <w:r w:rsidRPr="00EF38FC">
        <w:rPr>
          <w:rFonts w:eastAsia="Times New Roman" w:cs="Times New Roman"/>
          <w:i/>
        </w:rPr>
        <w:t>zgodnie z dopuszczeniem Zamawiającego</w:t>
      </w:r>
      <w:r w:rsidRPr="00EF38FC">
        <w:rPr>
          <w:rFonts w:eastAsia="Times New Roman" w:cs="Times New Roman"/>
        </w:rPr>
        <w:t xml:space="preserve">”    </w:t>
      </w:r>
    </w:p>
    <w:p w14:paraId="0DF574B1" w14:textId="094B1A70" w:rsidR="0093469C" w:rsidRDefault="0093469C" w:rsidP="00E054E8">
      <w:pPr>
        <w:jc w:val="both"/>
        <w:rPr>
          <w:rFonts w:eastAsia="Times New Roman" w:cs="Times New Roman"/>
        </w:rPr>
      </w:pPr>
    </w:p>
    <w:p w14:paraId="340FB8EA" w14:textId="77777777" w:rsidR="00A21DA3" w:rsidRPr="00D05467" w:rsidRDefault="00A21DA3" w:rsidP="00A21DA3">
      <w:pPr>
        <w:jc w:val="both"/>
        <w:rPr>
          <w:rFonts w:cs="Times New Roman"/>
          <w:iCs/>
        </w:rPr>
      </w:pPr>
      <w:r w:rsidRPr="00D05467">
        <w:rPr>
          <w:rFonts w:cs="Times New Roman"/>
          <w:iCs/>
        </w:rPr>
        <w:t xml:space="preserve">Powyższe odpowiedzi i zmiany są wiążące dla wszystkich Wykonawców. </w:t>
      </w:r>
    </w:p>
    <w:p w14:paraId="5A35BA74" w14:textId="77777777" w:rsidR="00A21DA3" w:rsidRDefault="00A21DA3" w:rsidP="00A21DA3">
      <w:pPr>
        <w:jc w:val="both"/>
        <w:rPr>
          <w:rFonts w:cs="Times New Roman"/>
        </w:rPr>
      </w:pPr>
    </w:p>
    <w:p w14:paraId="5A3EDEFD" w14:textId="47528CF6" w:rsidR="00A21DA3" w:rsidRDefault="00A21DA3" w:rsidP="00A21DA3">
      <w:pPr>
        <w:ind w:firstLine="708"/>
        <w:jc w:val="both"/>
        <w:rPr>
          <w:rFonts w:eastAsia="Times New Roman" w:cs="Times New Roman"/>
          <w:lang w:eastAsia="ar-SA"/>
        </w:rPr>
      </w:pPr>
      <w:r w:rsidRPr="0053428F">
        <w:rPr>
          <w:rFonts w:eastAsia="Times New Roman" w:cs="Times New Roman"/>
          <w:lang w:eastAsia="ar-SA"/>
        </w:rPr>
        <w:t xml:space="preserve">Zamawiający informuje, iż w odpowiedzi na pytania zgodnie z art. 137 ust. 1 ustawy z dnia 11 września 2019 r. – Prawo zamówień publicznych (Dz.U. </w:t>
      </w:r>
      <w:r w:rsidR="0053428F" w:rsidRPr="0053428F">
        <w:rPr>
          <w:rFonts w:eastAsia="Times New Roman" w:cs="Times New Roman"/>
          <w:lang w:eastAsia="ar-SA"/>
        </w:rPr>
        <w:t>202</w:t>
      </w:r>
      <w:r w:rsidR="004C7EF9">
        <w:rPr>
          <w:rFonts w:eastAsia="Times New Roman" w:cs="Times New Roman"/>
          <w:lang w:eastAsia="ar-SA"/>
        </w:rPr>
        <w:t>3</w:t>
      </w:r>
      <w:r w:rsidR="0053428F" w:rsidRPr="0053428F">
        <w:rPr>
          <w:rFonts w:eastAsia="Times New Roman" w:cs="Times New Roman"/>
          <w:lang w:eastAsia="ar-SA"/>
        </w:rPr>
        <w:t xml:space="preserve"> </w:t>
      </w:r>
      <w:r w:rsidRPr="0053428F">
        <w:rPr>
          <w:rFonts w:eastAsia="Times New Roman" w:cs="Times New Roman"/>
          <w:lang w:eastAsia="ar-SA"/>
        </w:rPr>
        <w:t xml:space="preserve">poz. </w:t>
      </w:r>
      <w:r w:rsidR="0053428F" w:rsidRPr="0053428F">
        <w:rPr>
          <w:rFonts w:eastAsia="Times New Roman" w:cs="Times New Roman"/>
          <w:lang w:eastAsia="ar-SA"/>
        </w:rPr>
        <w:t>1</w:t>
      </w:r>
      <w:r w:rsidR="004C7EF9">
        <w:rPr>
          <w:rFonts w:eastAsia="Times New Roman" w:cs="Times New Roman"/>
          <w:lang w:eastAsia="ar-SA"/>
        </w:rPr>
        <w:t>605</w:t>
      </w:r>
      <w:r w:rsidR="003C4729">
        <w:rPr>
          <w:rFonts w:eastAsia="Times New Roman" w:cs="Times New Roman"/>
          <w:lang w:eastAsia="ar-SA"/>
        </w:rPr>
        <w:t xml:space="preserve"> ze zm.), dokonuje </w:t>
      </w:r>
      <w:r w:rsidRPr="0053428F">
        <w:rPr>
          <w:rFonts w:eastAsia="Times New Roman" w:cs="Times New Roman"/>
          <w:lang w:eastAsia="ar-SA"/>
        </w:rPr>
        <w:t xml:space="preserve">zmiany treści swz, tj. załącznika nr 2 do swz. </w:t>
      </w:r>
    </w:p>
    <w:p w14:paraId="29CF3401" w14:textId="4883A823" w:rsidR="00580ABA" w:rsidRDefault="00580ABA" w:rsidP="00A21DA3">
      <w:pPr>
        <w:ind w:firstLine="708"/>
        <w:jc w:val="both"/>
        <w:rPr>
          <w:rFonts w:eastAsia="Times New Roman" w:cs="Times New Roman"/>
          <w:lang w:eastAsia="ar-SA"/>
        </w:rPr>
      </w:pPr>
      <w:r>
        <w:rPr>
          <w:rFonts w:eastAsia="Times New Roman" w:cs="Times New Roman"/>
          <w:lang w:eastAsia="ar-SA"/>
        </w:rPr>
        <w:t>Zamawiający zamieszcza odrębnie pakiety nr 1- 4 w formacie excel</w:t>
      </w:r>
      <w:r w:rsidR="00DF76A9">
        <w:rPr>
          <w:rFonts w:eastAsia="Times New Roman" w:cs="Times New Roman"/>
          <w:lang w:eastAsia="ar-SA"/>
        </w:rPr>
        <w:t xml:space="preserve">, zmiany wzoru umowy oraz zmiany swz. Dodatkowo Zamawiający zamieszcza dokument JEDZ oraz informację o kwocie na sfinansowanie zamówienia.  </w:t>
      </w:r>
    </w:p>
    <w:p w14:paraId="0AC1B6B6" w14:textId="77777777" w:rsidR="00E62E3D" w:rsidRDefault="00E62E3D" w:rsidP="00E62E3D">
      <w:pPr>
        <w:ind w:firstLine="708"/>
        <w:jc w:val="both"/>
        <w:rPr>
          <w:rFonts w:eastAsia="Times New Roman" w:cs="Times New Roman"/>
          <w:lang w:eastAsia="ar-SA"/>
        </w:rPr>
      </w:pPr>
    </w:p>
    <w:p w14:paraId="114AD0A0" w14:textId="0A917EFF" w:rsidR="00E62E3D" w:rsidRPr="00E62E3D" w:rsidRDefault="00E62E3D" w:rsidP="00E62E3D">
      <w:pPr>
        <w:jc w:val="both"/>
        <w:rPr>
          <w:rFonts w:eastAsia="Times New Roman" w:cs="Times New Roman"/>
          <w:lang w:eastAsia="ar-SA"/>
        </w:rPr>
      </w:pPr>
      <w:r w:rsidRPr="00E62E3D">
        <w:rPr>
          <w:rFonts w:eastAsia="Times New Roman" w:cs="Times New Roman"/>
          <w:lang w:eastAsia="ar-SA"/>
        </w:rPr>
        <w:t xml:space="preserve">Zamawiający na podstawie art. 135 ust. 3 ustawy Pzp. przedłuża termin składania ofert. </w:t>
      </w:r>
    </w:p>
    <w:p w14:paraId="3B7E7521" w14:textId="7687F0F4" w:rsidR="00E62E3D" w:rsidRPr="00E62E3D" w:rsidRDefault="00E62E3D" w:rsidP="00E62E3D">
      <w:pPr>
        <w:jc w:val="both"/>
        <w:rPr>
          <w:rFonts w:eastAsia="Times New Roman" w:cs="Times New Roman"/>
          <w:lang w:eastAsia="ar-SA"/>
        </w:rPr>
      </w:pPr>
      <w:r w:rsidRPr="00E62E3D">
        <w:rPr>
          <w:rFonts w:eastAsia="Times New Roman" w:cs="Times New Roman"/>
          <w:lang w:eastAsia="ar-SA"/>
        </w:rPr>
        <w:t>Zamawiający dokonuje zmiany terminu składania ofert na 12.01</w:t>
      </w:r>
      <w:r w:rsidR="00DF76A9">
        <w:rPr>
          <w:rFonts w:eastAsia="Times New Roman" w:cs="Times New Roman"/>
          <w:lang w:eastAsia="ar-SA"/>
        </w:rPr>
        <w:t>.2024</w:t>
      </w:r>
      <w:r w:rsidRPr="00E62E3D">
        <w:rPr>
          <w:rFonts w:eastAsia="Times New Roman" w:cs="Times New Roman"/>
          <w:lang w:eastAsia="ar-SA"/>
        </w:rPr>
        <w:t xml:space="preserve"> r. godz. 12:00</w:t>
      </w:r>
    </w:p>
    <w:p w14:paraId="7D604688" w14:textId="77777777" w:rsidR="00E62E3D" w:rsidRPr="00E62E3D" w:rsidRDefault="00E62E3D" w:rsidP="00E62E3D">
      <w:pPr>
        <w:jc w:val="both"/>
        <w:rPr>
          <w:rFonts w:eastAsia="Times New Roman" w:cs="Times New Roman"/>
          <w:lang w:eastAsia="ar-SA"/>
        </w:rPr>
      </w:pPr>
      <w:r w:rsidRPr="00E62E3D">
        <w:rPr>
          <w:rFonts w:eastAsia="Times New Roman" w:cs="Times New Roman"/>
          <w:lang w:eastAsia="ar-SA"/>
        </w:rPr>
        <w:t>i zmiany terminu otwarcia ofert na 12.01.2024 r. godz. 12:15.</w:t>
      </w:r>
    </w:p>
    <w:p w14:paraId="605EFB8C" w14:textId="77777777" w:rsidR="00E62E3D" w:rsidRPr="00E62E3D" w:rsidRDefault="00E62E3D" w:rsidP="00E62E3D">
      <w:pPr>
        <w:jc w:val="both"/>
        <w:rPr>
          <w:rFonts w:eastAsia="Calibri" w:cs="Times New Roman"/>
          <w:lang w:eastAsia="en-US"/>
        </w:rPr>
      </w:pPr>
      <w:r w:rsidRPr="00E62E3D">
        <w:rPr>
          <w:rFonts w:eastAsia="Calibri" w:cs="Times New Roman"/>
          <w:lang w:eastAsia="en-US"/>
        </w:rPr>
        <w:t xml:space="preserve">Wykonawca związany jest złożoną ofertą zgodnie z art. 220 ust. pkt. 1 przez okres 90 dni. </w:t>
      </w:r>
    </w:p>
    <w:p w14:paraId="36E518C1" w14:textId="77777777" w:rsidR="00E62E3D" w:rsidRPr="00E62E3D" w:rsidRDefault="00E62E3D" w:rsidP="00E62E3D">
      <w:pPr>
        <w:jc w:val="both"/>
        <w:rPr>
          <w:rFonts w:eastAsia="Calibri" w:cs="Times New Roman"/>
          <w:lang w:eastAsia="en-US"/>
        </w:rPr>
      </w:pPr>
      <w:r w:rsidRPr="00E62E3D">
        <w:rPr>
          <w:rFonts w:eastAsia="Calibri" w:cs="Times New Roman"/>
          <w:lang w:eastAsia="en-US"/>
        </w:rPr>
        <w:t xml:space="preserve">Zamawiający określa w dokumentach zamówienia termin związania ofertą przez wskazanie daty, </w:t>
      </w:r>
      <w:r w:rsidRPr="00E62E3D">
        <w:rPr>
          <w:rFonts w:eastAsia="Calibri" w:cs="Times New Roman"/>
          <w:lang w:eastAsia="en-US"/>
        </w:rPr>
        <w:br/>
        <w:t xml:space="preserve">tj. 10.04.2024 r. </w:t>
      </w:r>
    </w:p>
    <w:p w14:paraId="2BA6E8F1" w14:textId="4C8487AF" w:rsidR="00A21DA3" w:rsidRDefault="00A21DA3" w:rsidP="00A21DA3">
      <w:pPr>
        <w:jc w:val="both"/>
        <w:rPr>
          <w:rFonts w:cs="Times New Roman"/>
        </w:rPr>
      </w:pPr>
      <w:r w:rsidRPr="000E7CD3">
        <w:rPr>
          <w:rFonts w:cs="Times New Roman"/>
        </w:rPr>
        <w:t>Pozostałe zapisy bez zmian.</w:t>
      </w:r>
    </w:p>
    <w:p w14:paraId="3D43320E" w14:textId="77777777" w:rsidR="00A21DA3" w:rsidRDefault="00A21DA3" w:rsidP="00A21DA3">
      <w:pPr>
        <w:jc w:val="both"/>
        <w:rPr>
          <w:rFonts w:cs="Times New Roman"/>
        </w:rPr>
      </w:pPr>
      <w:r w:rsidRPr="000E7CD3">
        <w:rPr>
          <w:rFonts w:cs="Times New Roman"/>
        </w:rPr>
        <w:t>Dziękujemy za złożone zapytania.</w:t>
      </w:r>
    </w:p>
    <w:p w14:paraId="365FD476" w14:textId="77777777" w:rsidR="00A21DA3" w:rsidRPr="00DF174C" w:rsidRDefault="00A21DA3" w:rsidP="00A21DA3">
      <w:pPr>
        <w:tabs>
          <w:tab w:val="left" w:pos="1005"/>
        </w:tabs>
        <w:jc w:val="right"/>
        <w:outlineLvl w:val="0"/>
        <w:rPr>
          <w:rFonts w:eastAsia="Times New Roman" w:cs="Times New Roman"/>
        </w:rPr>
      </w:pPr>
      <w:r w:rsidRPr="00BD4441">
        <w:rPr>
          <w:rFonts w:eastAsia="Times New Roman" w:cs="Times New Roman"/>
        </w:rPr>
        <w:t xml:space="preserve">Przewodniczący Komisji Przetargowej </w:t>
      </w:r>
    </w:p>
    <w:p w14:paraId="15668BA9" w14:textId="77777777" w:rsidR="00A21DA3" w:rsidRPr="00DF174C" w:rsidRDefault="00A21DA3" w:rsidP="00A21DA3">
      <w:pPr>
        <w:tabs>
          <w:tab w:val="left" w:pos="1005"/>
        </w:tabs>
        <w:jc w:val="right"/>
        <w:outlineLvl w:val="0"/>
        <w:rPr>
          <w:rFonts w:eastAsia="Times New Roman" w:cs="Times New Roman"/>
        </w:rPr>
      </w:pPr>
    </w:p>
    <w:p w14:paraId="4DE9F600" w14:textId="32EC1885" w:rsidR="00A21DA3" w:rsidRDefault="00A21DA3" w:rsidP="00DF76A9">
      <w:pPr>
        <w:ind w:left="708" w:firstLine="708"/>
        <w:jc w:val="center"/>
        <w:rPr>
          <w:rFonts w:eastAsia="Times New Roman" w:cs="Times New Roman"/>
        </w:rPr>
      </w:pPr>
      <w:r w:rsidRPr="00DF174C">
        <w:rPr>
          <w:rFonts w:eastAsia="Times New Roman" w:cs="Times New Roman"/>
        </w:rPr>
        <w:t xml:space="preserve">                                              Tomasz Miazek</w:t>
      </w:r>
    </w:p>
    <w:sectPr w:rsidR="00A21DA3" w:rsidSect="00460A33">
      <w:headerReference w:type="default" r:id="rId10"/>
      <w:footerReference w:type="default" r:id="rId11"/>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35D4" w14:textId="77777777" w:rsidR="004C0048" w:rsidRDefault="004C0048">
      <w:pPr>
        <w:rPr>
          <w:rFonts w:cs="Times New Roman"/>
        </w:rPr>
      </w:pPr>
      <w:r>
        <w:rPr>
          <w:rFonts w:cs="Times New Roman"/>
        </w:rPr>
        <w:separator/>
      </w:r>
    </w:p>
  </w:endnote>
  <w:endnote w:type="continuationSeparator" w:id="0">
    <w:p w14:paraId="1C4441A6" w14:textId="77777777" w:rsidR="004C0048" w:rsidRDefault="004C00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ndeDaxOffice">
    <w:altName w:val="Bahnschrift Light"/>
    <w:charset w:val="EE"/>
    <w:family w:val="swiss"/>
    <w:pitch w:val="variable"/>
    <w:sig w:usb0="00000001" w:usb1="5000206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AE027E4" w:rsidR="004C0048" w:rsidRPr="00890C97" w:rsidRDefault="004C0048">
        <w:pPr>
          <w:pStyle w:val="Stopka"/>
          <w:rPr>
            <w:rFonts w:asciiTheme="minorHAnsi" w:hAnsiTheme="minorHAnsi"/>
            <w:i/>
            <w:sz w:val="20"/>
          </w:rPr>
        </w:pPr>
        <w:r>
          <w:rPr>
            <w:rFonts w:asciiTheme="minorHAnsi" w:hAnsiTheme="minorHAnsi"/>
            <w:i/>
            <w:sz w:val="20"/>
          </w:rPr>
          <w:t>ZP/1</w:t>
        </w:r>
        <w:r w:rsidR="004C7EF9">
          <w:rPr>
            <w:rFonts w:asciiTheme="minorHAnsi" w:hAnsiTheme="minorHAnsi"/>
            <w:i/>
            <w:sz w:val="20"/>
          </w:rPr>
          <w:t>39</w:t>
        </w:r>
        <w:r>
          <w:rPr>
            <w:rFonts w:asciiTheme="minorHAnsi" w:hAnsiTheme="minorHAnsi"/>
            <w:i/>
            <w:sz w:val="20"/>
          </w:rPr>
          <w:t>/202</w:t>
        </w:r>
        <w:r w:rsidR="004C7EF9">
          <w:rPr>
            <w:rFonts w:asciiTheme="minorHAnsi" w:hAnsiTheme="minorHAnsi"/>
            <w:i/>
            <w:sz w:val="20"/>
          </w:rPr>
          <w:t>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AC47B43" w:rsidR="004C0048" w:rsidRPr="00890C97" w:rsidRDefault="004C004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F76A9" w:rsidRPr="00DF76A9">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AC47B43" w:rsidR="004C0048" w:rsidRPr="00890C97" w:rsidRDefault="004C0048">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DF76A9" w:rsidRPr="00DF76A9">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8EF0" w14:textId="77777777" w:rsidR="004C0048" w:rsidRDefault="004C0048">
      <w:pPr>
        <w:rPr>
          <w:rFonts w:cs="Times New Roman"/>
        </w:rPr>
      </w:pPr>
      <w:r>
        <w:rPr>
          <w:rFonts w:cs="Times New Roman"/>
        </w:rPr>
        <w:separator/>
      </w:r>
    </w:p>
  </w:footnote>
  <w:footnote w:type="continuationSeparator" w:id="0">
    <w:p w14:paraId="0BE1BE8B" w14:textId="77777777" w:rsidR="004C0048" w:rsidRDefault="004C004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2B5246D8" w:rsidR="004C0048" w:rsidRDefault="004C0048">
    <w:pPr>
      <w:spacing w:after="120"/>
      <w:jc w:val="right"/>
      <w:rPr>
        <w:rFonts w:cs="Times New Roman"/>
        <w:sz w:val="16"/>
        <w:szCs w:val="16"/>
        <w:lang w:val="it-IT"/>
      </w:rPr>
    </w:pPr>
    <w:r w:rsidRPr="009D1A14">
      <w:rPr>
        <w:noProof/>
      </w:rPr>
      <w:drawing>
        <wp:inline distT="0" distB="0" distL="0" distR="0" wp14:anchorId="0E74A257" wp14:editId="2B849D3A">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BC670D"/>
    <w:multiLevelType w:val="hybridMultilevel"/>
    <w:tmpl w:val="0F58260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5" w15:restartNumberingAfterBreak="0">
    <w:nsid w:val="01251F8A"/>
    <w:multiLevelType w:val="hybridMultilevel"/>
    <w:tmpl w:val="4F0CF78A"/>
    <w:lvl w:ilvl="0" w:tplc="04150005">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6" w15:restartNumberingAfterBreak="0">
    <w:nsid w:val="019854C6"/>
    <w:multiLevelType w:val="hybridMultilevel"/>
    <w:tmpl w:val="BBD2FCE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01D16211"/>
    <w:multiLevelType w:val="hybridMultilevel"/>
    <w:tmpl w:val="81760C2A"/>
    <w:lvl w:ilvl="0" w:tplc="F118DB88">
      <w:start w:val="9"/>
      <w:numFmt w:val="decimal"/>
      <w:lvlText w:val="%1."/>
      <w:lvlJc w:val="left"/>
      <w:rPr>
        <w:rFonts w:ascii="Arial" w:hAnsi="Arial" w:cs="Arial" w:hint="default"/>
        <w:b/>
        <w:bCs/>
        <w:color w:val="0070C0"/>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07020FE8"/>
    <w:multiLevelType w:val="multilevel"/>
    <w:tmpl w:val="E2B86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7C3EC7"/>
    <w:multiLevelType w:val="hybridMultilevel"/>
    <w:tmpl w:val="F71232BE"/>
    <w:lvl w:ilvl="0" w:tplc="401E40DE">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0C304FDB"/>
    <w:multiLevelType w:val="hybridMultilevel"/>
    <w:tmpl w:val="AD30B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F01489"/>
    <w:multiLevelType w:val="hybridMultilevel"/>
    <w:tmpl w:val="265CE04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10430FA0"/>
    <w:multiLevelType w:val="hybridMultilevel"/>
    <w:tmpl w:val="7AA45FBC"/>
    <w:lvl w:ilvl="0" w:tplc="0BE6CB9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164C59"/>
    <w:multiLevelType w:val="hybridMultilevel"/>
    <w:tmpl w:val="87DA2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982002"/>
    <w:multiLevelType w:val="hybridMultilevel"/>
    <w:tmpl w:val="D304F2E4"/>
    <w:lvl w:ilvl="0" w:tplc="0415000F">
      <w:start w:val="1"/>
      <w:numFmt w:val="decimal"/>
      <w:lvlText w:val="%1."/>
      <w:lvlJc w:val="left"/>
      <w:pPr>
        <w:ind w:left="578" w:hanging="360"/>
      </w:pPr>
    </w:lvl>
    <w:lvl w:ilvl="1" w:tplc="E47C1946">
      <w:numFmt w:val="bullet"/>
      <w:lvlText w:val=""/>
      <w:lvlJc w:val="left"/>
      <w:pPr>
        <w:ind w:left="1298" w:hanging="360"/>
      </w:pPr>
      <w:rPr>
        <w:rFonts w:ascii="Symbol" w:eastAsia="Times New Roman" w:hAnsi="Symbol" w:cs="Times New Roman"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1CF17636"/>
    <w:multiLevelType w:val="hybridMultilevel"/>
    <w:tmpl w:val="6F36C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B936E2"/>
    <w:multiLevelType w:val="hybridMultilevel"/>
    <w:tmpl w:val="7530496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2BE9364C"/>
    <w:multiLevelType w:val="hybridMultilevel"/>
    <w:tmpl w:val="6F50E9BE"/>
    <w:lvl w:ilvl="0" w:tplc="6B8E9B6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2D84622A"/>
    <w:multiLevelType w:val="hybridMultilevel"/>
    <w:tmpl w:val="2D3CD8CE"/>
    <w:lvl w:ilvl="0" w:tplc="04150005">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9" w15:restartNumberingAfterBreak="0">
    <w:nsid w:val="2FDA09C4"/>
    <w:multiLevelType w:val="hybridMultilevel"/>
    <w:tmpl w:val="03FE799C"/>
    <w:lvl w:ilvl="0" w:tplc="7D9C3DB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3493C4B"/>
    <w:multiLevelType w:val="hybridMultilevel"/>
    <w:tmpl w:val="1BE20E5A"/>
    <w:lvl w:ilvl="0" w:tplc="7D9C3DB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5C05545"/>
    <w:multiLevelType w:val="hybridMultilevel"/>
    <w:tmpl w:val="9F9EE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1D1BE8"/>
    <w:multiLevelType w:val="hybridMultilevel"/>
    <w:tmpl w:val="F926E11C"/>
    <w:lvl w:ilvl="0" w:tplc="857EA226">
      <w:start w:val="5"/>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3ED95753"/>
    <w:multiLevelType w:val="hybridMultilevel"/>
    <w:tmpl w:val="85C2CB70"/>
    <w:lvl w:ilvl="0" w:tplc="9154AF1E">
      <w:start w:val="1"/>
      <w:numFmt w:val="bullet"/>
      <w:pStyle w:val="StandardListe"/>
      <w:lvlText w:val="–"/>
      <w:lvlJc w:val="left"/>
      <w:pPr>
        <w:tabs>
          <w:tab w:val="num" w:pos="227"/>
        </w:tabs>
        <w:ind w:left="227"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DB0CB1"/>
    <w:multiLevelType w:val="hybridMultilevel"/>
    <w:tmpl w:val="20141B4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FFB1B90"/>
    <w:multiLevelType w:val="hybridMultilevel"/>
    <w:tmpl w:val="3F1C702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7" w15:restartNumberingAfterBreak="0">
    <w:nsid w:val="57DA0234"/>
    <w:multiLevelType w:val="hybridMultilevel"/>
    <w:tmpl w:val="78C0CC5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8" w15:restartNumberingAfterBreak="0">
    <w:nsid w:val="5AF352CA"/>
    <w:multiLevelType w:val="hybridMultilevel"/>
    <w:tmpl w:val="899809A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EA8308E"/>
    <w:multiLevelType w:val="hybridMultilevel"/>
    <w:tmpl w:val="A4642A1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61705644"/>
    <w:multiLevelType w:val="hybridMultilevel"/>
    <w:tmpl w:val="509CE41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7395491"/>
    <w:multiLevelType w:val="hybridMultilevel"/>
    <w:tmpl w:val="EA2C5C6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3" w15:restartNumberingAfterBreak="0">
    <w:nsid w:val="694B3A37"/>
    <w:multiLevelType w:val="hybridMultilevel"/>
    <w:tmpl w:val="C7300DA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6A324CAB"/>
    <w:multiLevelType w:val="hybridMultilevel"/>
    <w:tmpl w:val="CE5A1090"/>
    <w:lvl w:ilvl="0" w:tplc="D91468D8">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FF6FCC"/>
    <w:multiLevelType w:val="hybridMultilevel"/>
    <w:tmpl w:val="73E44B1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6" w15:restartNumberingAfterBreak="0">
    <w:nsid w:val="6F7E069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FB96A7E"/>
    <w:multiLevelType w:val="hybridMultilevel"/>
    <w:tmpl w:val="7DA6AA46"/>
    <w:lvl w:ilvl="0" w:tplc="BEE6EF7A">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70B93F69"/>
    <w:multiLevelType w:val="multilevel"/>
    <w:tmpl w:val="56AA3AC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9" w15:restartNumberingAfterBreak="0">
    <w:nsid w:val="7126107F"/>
    <w:multiLevelType w:val="hybridMultilevel"/>
    <w:tmpl w:val="9B78F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EB510C"/>
    <w:multiLevelType w:val="hybridMultilevel"/>
    <w:tmpl w:val="2584830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1" w15:restartNumberingAfterBreak="0">
    <w:nsid w:val="75B913ED"/>
    <w:multiLevelType w:val="hybridMultilevel"/>
    <w:tmpl w:val="44664C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7652185"/>
    <w:multiLevelType w:val="hybridMultilevel"/>
    <w:tmpl w:val="9CFCDEF8"/>
    <w:lvl w:ilvl="0" w:tplc="8A0EAC2C">
      <w:start w:val="1"/>
      <w:numFmt w:val="decimal"/>
      <w:lvlText w:val="%1."/>
      <w:lvlJc w:val="left"/>
      <w:pPr>
        <w:ind w:left="578" w:hanging="360"/>
      </w:pPr>
      <w:rPr>
        <w:rFonts w:ascii="LindeDaxOffice" w:hAnsi="LindeDaxOffice" w:hint="default"/>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3" w15:restartNumberingAfterBreak="0">
    <w:nsid w:val="7A196F2A"/>
    <w:multiLevelType w:val="hybridMultilevel"/>
    <w:tmpl w:val="0F4C4FD2"/>
    <w:lvl w:ilvl="0" w:tplc="386A83C2">
      <w:start w:val="1"/>
      <w:numFmt w:val="decimal"/>
      <w:lvlText w:val="%1."/>
      <w:lvlJc w:val="left"/>
      <w:pPr>
        <w:ind w:left="720" w:hanging="360"/>
      </w:pPr>
      <w:rPr>
        <w:rFonts w:hint="default"/>
        <w:b/>
        <w:color w:val="auto"/>
        <w:sz w:val="2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47339A"/>
    <w:multiLevelType w:val="hybridMultilevel"/>
    <w:tmpl w:val="B0380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5759DC"/>
    <w:multiLevelType w:val="hybridMultilevel"/>
    <w:tmpl w:val="B0D6B5E4"/>
    <w:lvl w:ilvl="0" w:tplc="2C725B84">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9767DD"/>
    <w:multiLevelType w:val="hybridMultilevel"/>
    <w:tmpl w:val="D15679A6"/>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7" w15:restartNumberingAfterBreak="0">
    <w:nsid w:val="7FF956E9"/>
    <w:multiLevelType w:val="hybridMultilevel"/>
    <w:tmpl w:val="02B2D416"/>
    <w:lvl w:ilvl="0" w:tplc="DB0848E2">
      <w:start w:val="1"/>
      <w:numFmt w:val="decimal"/>
      <w:lvlText w:val="%1."/>
      <w:lvlJc w:val="left"/>
      <w:pPr>
        <w:ind w:left="578" w:hanging="360"/>
      </w:pPr>
      <w:rPr>
        <w:i w:val="0"/>
        <w:i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8"/>
  </w:num>
  <w:num w:numId="2">
    <w:abstractNumId w:val="49"/>
  </w:num>
  <w:num w:numId="3">
    <w:abstractNumId w:val="45"/>
  </w:num>
  <w:num w:numId="4">
    <w:abstractNumId w:val="67"/>
  </w:num>
  <w:num w:numId="5">
    <w:abstractNumId w:val="48"/>
  </w:num>
  <w:num w:numId="6">
    <w:abstractNumId w:val="55"/>
  </w:num>
  <w:num w:numId="7">
    <w:abstractNumId w:val="47"/>
  </w:num>
  <w:num w:numId="8">
    <w:abstractNumId w:val="28"/>
  </w:num>
  <w:num w:numId="9">
    <w:abstractNumId w:val="40"/>
  </w:num>
  <w:num w:numId="10">
    <w:abstractNumId w:val="39"/>
  </w:num>
  <w:num w:numId="11">
    <w:abstractNumId w:val="63"/>
  </w:num>
  <w:num w:numId="12">
    <w:abstractNumId w:val="56"/>
  </w:num>
  <w:num w:numId="13">
    <w:abstractNumId w:val="58"/>
  </w:num>
  <w:num w:numId="14">
    <w:abstractNumId w:val="43"/>
  </w:num>
  <w:num w:numId="15">
    <w:abstractNumId w:val="62"/>
  </w:num>
  <w:num w:numId="16">
    <w:abstractNumId w:val="65"/>
  </w:num>
  <w:num w:numId="17">
    <w:abstractNumId w:val="33"/>
  </w:num>
  <w:num w:numId="18">
    <w:abstractNumId w:val="24"/>
  </w:num>
  <w:num w:numId="19">
    <w:abstractNumId w:val="38"/>
  </w:num>
  <w:num w:numId="20">
    <w:abstractNumId w:val="52"/>
  </w:num>
  <w:num w:numId="21">
    <w:abstractNumId w:val="25"/>
  </w:num>
  <w:num w:numId="22">
    <w:abstractNumId w:val="46"/>
  </w:num>
  <w:num w:numId="23">
    <w:abstractNumId w:val="34"/>
  </w:num>
  <w:num w:numId="24">
    <w:abstractNumId w:val="29"/>
  </w:num>
  <w:num w:numId="25">
    <w:abstractNumId w:val="31"/>
  </w:num>
  <w:num w:numId="26">
    <w:abstractNumId w:val="26"/>
  </w:num>
  <w:num w:numId="27">
    <w:abstractNumId w:val="64"/>
  </w:num>
  <w:num w:numId="28">
    <w:abstractNumId w:val="50"/>
  </w:num>
  <w:num w:numId="29">
    <w:abstractNumId w:val="30"/>
  </w:num>
  <w:num w:numId="30">
    <w:abstractNumId w:val="44"/>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53"/>
  </w:num>
  <w:num w:numId="34">
    <w:abstractNumId w:val="60"/>
  </w:num>
  <w:num w:numId="35">
    <w:abstractNumId w:val="57"/>
  </w:num>
  <w:num w:numId="36">
    <w:abstractNumId w:val="42"/>
  </w:num>
  <w:num w:numId="37">
    <w:abstractNumId w:val="35"/>
  </w:num>
  <w:num w:numId="38">
    <w:abstractNumId w:val="36"/>
  </w:num>
  <w:num w:numId="39">
    <w:abstractNumId w:val="54"/>
  </w:num>
  <w:num w:numId="40">
    <w:abstractNumId w:val="61"/>
  </w:num>
  <w:num w:numId="41">
    <w:abstractNumId w:val="51"/>
  </w:num>
  <w:num w:numId="42">
    <w:abstractNumId w:val="59"/>
  </w:num>
  <w:num w:numId="43">
    <w:abstractNumId w:val="27"/>
  </w:num>
  <w:num w:numId="44">
    <w:abstractNumId w:val="32"/>
  </w:num>
  <w:num w:numId="45">
    <w:abstractNumId w:val="37"/>
  </w:num>
  <w:num w:numId="46">
    <w:abstractNumId w:val="6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5EC"/>
    <w:rsid w:val="000076BF"/>
    <w:rsid w:val="00007CD3"/>
    <w:rsid w:val="00012EE6"/>
    <w:rsid w:val="000135B3"/>
    <w:rsid w:val="00014B2F"/>
    <w:rsid w:val="00014FAA"/>
    <w:rsid w:val="00015851"/>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362"/>
    <w:rsid w:val="00044342"/>
    <w:rsid w:val="0004700D"/>
    <w:rsid w:val="000519E5"/>
    <w:rsid w:val="00051E8E"/>
    <w:rsid w:val="00052CAD"/>
    <w:rsid w:val="000539BB"/>
    <w:rsid w:val="00054126"/>
    <w:rsid w:val="00055225"/>
    <w:rsid w:val="00055C11"/>
    <w:rsid w:val="00056A4B"/>
    <w:rsid w:val="00056C6F"/>
    <w:rsid w:val="00056EF4"/>
    <w:rsid w:val="00057CD8"/>
    <w:rsid w:val="0006201B"/>
    <w:rsid w:val="000627DF"/>
    <w:rsid w:val="00062FF3"/>
    <w:rsid w:val="000636AA"/>
    <w:rsid w:val="00064F2F"/>
    <w:rsid w:val="00065420"/>
    <w:rsid w:val="00067362"/>
    <w:rsid w:val="00070593"/>
    <w:rsid w:val="00071F7E"/>
    <w:rsid w:val="00072F62"/>
    <w:rsid w:val="000736A3"/>
    <w:rsid w:val="00075AFC"/>
    <w:rsid w:val="00077FE5"/>
    <w:rsid w:val="00080D4E"/>
    <w:rsid w:val="00083E76"/>
    <w:rsid w:val="00090007"/>
    <w:rsid w:val="000903C8"/>
    <w:rsid w:val="000915A8"/>
    <w:rsid w:val="000930D4"/>
    <w:rsid w:val="00094A67"/>
    <w:rsid w:val="00095723"/>
    <w:rsid w:val="00095A3C"/>
    <w:rsid w:val="0009635C"/>
    <w:rsid w:val="000978A7"/>
    <w:rsid w:val="000A189F"/>
    <w:rsid w:val="000A2302"/>
    <w:rsid w:val="000A2E1A"/>
    <w:rsid w:val="000A44CD"/>
    <w:rsid w:val="000A4677"/>
    <w:rsid w:val="000A4992"/>
    <w:rsid w:val="000A4D8C"/>
    <w:rsid w:val="000A6B2C"/>
    <w:rsid w:val="000A7D5C"/>
    <w:rsid w:val="000B0B04"/>
    <w:rsid w:val="000B0B17"/>
    <w:rsid w:val="000B0C1F"/>
    <w:rsid w:val="000B2626"/>
    <w:rsid w:val="000B42D1"/>
    <w:rsid w:val="000B59BB"/>
    <w:rsid w:val="000B603C"/>
    <w:rsid w:val="000B672C"/>
    <w:rsid w:val="000C096C"/>
    <w:rsid w:val="000C3984"/>
    <w:rsid w:val="000C4598"/>
    <w:rsid w:val="000C6362"/>
    <w:rsid w:val="000D01B0"/>
    <w:rsid w:val="000D2244"/>
    <w:rsid w:val="000D282F"/>
    <w:rsid w:val="000D3C57"/>
    <w:rsid w:val="000D651D"/>
    <w:rsid w:val="000D7320"/>
    <w:rsid w:val="000E017A"/>
    <w:rsid w:val="000E0575"/>
    <w:rsid w:val="000E09FD"/>
    <w:rsid w:val="000E4563"/>
    <w:rsid w:val="000E4EED"/>
    <w:rsid w:val="000E6349"/>
    <w:rsid w:val="000E7CD3"/>
    <w:rsid w:val="000F3623"/>
    <w:rsid w:val="000F4599"/>
    <w:rsid w:val="000F6080"/>
    <w:rsid w:val="00100FAB"/>
    <w:rsid w:val="00105EFF"/>
    <w:rsid w:val="00106BF2"/>
    <w:rsid w:val="001073A3"/>
    <w:rsid w:val="001076BA"/>
    <w:rsid w:val="00107EBD"/>
    <w:rsid w:val="0011228C"/>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246"/>
    <w:rsid w:val="00132D0D"/>
    <w:rsid w:val="00133873"/>
    <w:rsid w:val="00135038"/>
    <w:rsid w:val="00137107"/>
    <w:rsid w:val="00140459"/>
    <w:rsid w:val="00140AAF"/>
    <w:rsid w:val="00142016"/>
    <w:rsid w:val="001432EE"/>
    <w:rsid w:val="001439F0"/>
    <w:rsid w:val="0014418B"/>
    <w:rsid w:val="00144DC1"/>
    <w:rsid w:val="00145879"/>
    <w:rsid w:val="00145993"/>
    <w:rsid w:val="0014660D"/>
    <w:rsid w:val="001505C5"/>
    <w:rsid w:val="0015190E"/>
    <w:rsid w:val="00154298"/>
    <w:rsid w:val="001603C1"/>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0E8"/>
    <w:rsid w:val="00182FC7"/>
    <w:rsid w:val="0018377C"/>
    <w:rsid w:val="00185B4F"/>
    <w:rsid w:val="00186168"/>
    <w:rsid w:val="00186C39"/>
    <w:rsid w:val="001904AD"/>
    <w:rsid w:val="00190509"/>
    <w:rsid w:val="0019155C"/>
    <w:rsid w:val="0019180A"/>
    <w:rsid w:val="0019366F"/>
    <w:rsid w:val="00193AF2"/>
    <w:rsid w:val="00193E4F"/>
    <w:rsid w:val="0019415C"/>
    <w:rsid w:val="00195600"/>
    <w:rsid w:val="0019772F"/>
    <w:rsid w:val="0019796D"/>
    <w:rsid w:val="00197DFE"/>
    <w:rsid w:val="001A086F"/>
    <w:rsid w:val="001A18DD"/>
    <w:rsid w:val="001A1E63"/>
    <w:rsid w:val="001A245E"/>
    <w:rsid w:val="001A407B"/>
    <w:rsid w:val="001A44F6"/>
    <w:rsid w:val="001A4594"/>
    <w:rsid w:val="001A5E6D"/>
    <w:rsid w:val="001B23AC"/>
    <w:rsid w:val="001B3BB6"/>
    <w:rsid w:val="001B4414"/>
    <w:rsid w:val="001B5CA4"/>
    <w:rsid w:val="001B6918"/>
    <w:rsid w:val="001B79C9"/>
    <w:rsid w:val="001C04F2"/>
    <w:rsid w:val="001C10B1"/>
    <w:rsid w:val="001C12DD"/>
    <w:rsid w:val="001C3853"/>
    <w:rsid w:val="001C5E2F"/>
    <w:rsid w:val="001C7B0D"/>
    <w:rsid w:val="001D12DB"/>
    <w:rsid w:val="001D1346"/>
    <w:rsid w:val="001D2E3B"/>
    <w:rsid w:val="001D4FA8"/>
    <w:rsid w:val="001D543E"/>
    <w:rsid w:val="001D5B4A"/>
    <w:rsid w:val="001D73BA"/>
    <w:rsid w:val="001E0899"/>
    <w:rsid w:val="001E0A51"/>
    <w:rsid w:val="001E3154"/>
    <w:rsid w:val="001E59D8"/>
    <w:rsid w:val="001E5BD9"/>
    <w:rsid w:val="001E6A9F"/>
    <w:rsid w:val="001E778B"/>
    <w:rsid w:val="001F13D5"/>
    <w:rsid w:val="001F3035"/>
    <w:rsid w:val="001F3A84"/>
    <w:rsid w:val="001F4DCE"/>
    <w:rsid w:val="001F5D7C"/>
    <w:rsid w:val="002019A0"/>
    <w:rsid w:val="00203FF6"/>
    <w:rsid w:val="00204314"/>
    <w:rsid w:val="002051B6"/>
    <w:rsid w:val="0020729E"/>
    <w:rsid w:val="00212F7A"/>
    <w:rsid w:val="002135D8"/>
    <w:rsid w:val="00213EF9"/>
    <w:rsid w:val="00214546"/>
    <w:rsid w:val="00214E8F"/>
    <w:rsid w:val="00215A89"/>
    <w:rsid w:val="00217E15"/>
    <w:rsid w:val="002209E0"/>
    <w:rsid w:val="00222260"/>
    <w:rsid w:val="00223B56"/>
    <w:rsid w:val="00224DED"/>
    <w:rsid w:val="0022569C"/>
    <w:rsid w:val="0022686F"/>
    <w:rsid w:val="00226F52"/>
    <w:rsid w:val="002273BC"/>
    <w:rsid w:val="00231C79"/>
    <w:rsid w:val="002323C1"/>
    <w:rsid w:val="00242F92"/>
    <w:rsid w:val="002437A5"/>
    <w:rsid w:val="002442BF"/>
    <w:rsid w:val="002463BA"/>
    <w:rsid w:val="00250919"/>
    <w:rsid w:val="00252F35"/>
    <w:rsid w:val="0025575F"/>
    <w:rsid w:val="00255E52"/>
    <w:rsid w:val="00256796"/>
    <w:rsid w:val="00257B68"/>
    <w:rsid w:val="002618A7"/>
    <w:rsid w:val="002620F2"/>
    <w:rsid w:val="00264620"/>
    <w:rsid w:val="0027278F"/>
    <w:rsid w:val="002756A0"/>
    <w:rsid w:val="0027664A"/>
    <w:rsid w:val="00276FC4"/>
    <w:rsid w:val="002811F3"/>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393E"/>
    <w:rsid w:val="002D43F9"/>
    <w:rsid w:val="002D4CCD"/>
    <w:rsid w:val="002D52AC"/>
    <w:rsid w:val="002E0B72"/>
    <w:rsid w:val="002E4250"/>
    <w:rsid w:val="002E672C"/>
    <w:rsid w:val="002E734D"/>
    <w:rsid w:val="002E79CA"/>
    <w:rsid w:val="002E7CC1"/>
    <w:rsid w:val="002F02AA"/>
    <w:rsid w:val="002F0A7D"/>
    <w:rsid w:val="002F29E6"/>
    <w:rsid w:val="002F3807"/>
    <w:rsid w:val="002F3D71"/>
    <w:rsid w:val="002F4BD4"/>
    <w:rsid w:val="002F4BD5"/>
    <w:rsid w:val="002F6FDE"/>
    <w:rsid w:val="003002FA"/>
    <w:rsid w:val="003016AD"/>
    <w:rsid w:val="00304DB3"/>
    <w:rsid w:val="003058FE"/>
    <w:rsid w:val="00305E5F"/>
    <w:rsid w:val="003062F5"/>
    <w:rsid w:val="003064D4"/>
    <w:rsid w:val="003067F6"/>
    <w:rsid w:val="00306BDB"/>
    <w:rsid w:val="0030790D"/>
    <w:rsid w:val="00307F0A"/>
    <w:rsid w:val="00310D6A"/>
    <w:rsid w:val="0031437E"/>
    <w:rsid w:val="00315089"/>
    <w:rsid w:val="003153F7"/>
    <w:rsid w:val="00316244"/>
    <w:rsid w:val="003204E3"/>
    <w:rsid w:val="00321807"/>
    <w:rsid w:val="0032494C"/>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5EC7"/>
    <w:rsid w:val="00362D18"/>
    <w:rsid w:val="00363AB6"/>
    <w:rsid w:val="003708A2"/>
    <w:rsid w:val="00371906"/>
    <w:rsid w:val="003724AB"/>
    <w:rsid w:val="00372D8F"/>
    <w:rsid w:val="003739F1"/>
    <w:rsid w:val="003747D6"/>
    <w:rsid w:val="00375AAD"/>
    <w:rsid w:val="00376500"/>
    <w:rsid w:val="003768E3"/>
    <w:rsid w:val="00377A16"/>
    <w:rsid w:val="0038341C"/>
    <w:rsid w:val="00383DFC"/>
    <w:rsid w:val="00387E87"/>
    <w:rsid w:val="003925B8"/>
    <w:rsid w:val="0039306F"/>
    <w:rsid w:val="0039424E"/>
    <w:rsid w:val="00395006"/>
    <w:rsid w:val="00395228"/>
    <w:rsid w:val="003964AF"/>
    <w:rsid w:val="003A0D92"/>
    <w:rsid w:val="003A0F62"/>
    <w:rsid w:val="003A189B"/>
    <w:rsid w:val="003A2B0A"/>
    <w:rsid w:val="003A2D7C"/>
    <w:rsid w:val="003A3189"/>
    <w:rsid w:val="003A4268"/>
    <w:rsid w:val="003A6F3C"/>
    <w:rsid w:val="003B0ADA"/>
    <w:rsid w:val="003B0BC5"/>
    <w:rsid w:val="003B170B"/>
    <w:rsid w:val="003B19D3"/>
    <w:rsid w:val="003B2D81"/>
    <w:rsid w:val="003B381B"/>
    <w:rsid w:val="003B4524"/>
    <w:rsid w:val="003B4779"/>
    <w:rsid w:val="003B6CF2"/>
    <w:rsid w:val="003C1B81"/>
    <w:rsid w:val="003C2E85"/>
    <w:rsid w:val="003C353F"/>
    <w:rsid w:val="003C4729"/>
    <w:rsid w:val="003C58BD"/>
    <w:rsid w:val="003C7FB8"/>
    <w:rsid w:val="003D17F4"/>
    <w:rsid w:val="003D27D9"/>
    <w:rsid w:val="003D50C8"/>
    <w:rsid w:val="003D5266"/>
    <w:rsid w:val="003D5270"/>
    <w:rsid w:val="003D72AC"/>
    <w:rsid w:val="003E2AAA"/>
    <w:rsid w:val="003E2ED1"/>
    <w:rsid w:val="003E5548"/>
    <w:rsid w:val="003E5BE4"/>
    <w:rsid w:val="003E7ADC"/>
    <w:rsid w:val="003F1CC3"/>
    <w:rsid w:val="003F264B"/>
    <w:rsid w:val="003F27B9"/>
    <w:rsid w:val="003F2C67"/>
    <w:rsid w:val="003F3370"/>
    <w:rsid w:val="003F385F"/>
    <w:rsid w:val="003F3E54"/>
    <w:rsid w:val="003F5D05"/>
    <w:rsid w:val="003F6DAB"/>
    <w:rsid w:val="003F7826"/>
    <w:rsid w:val="00402B4E"/>
    <w:rsid w:val="004037AD"/>
    <w:rsid w:val="004038E3"/>
    <w:rsid w:val="004044E5"/>
    <w:rsid w:val="004044E8"/>
    <w:rsid w:val="0040458A"/>
    <w:rsid w:val="0040539F"/>
    <w:rsid w:val="00405BDD"/>
    <w:rsid w:val="0041021F"/>
    <w:rsid w:val="00410556"/>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2FF"/>
    <w:rsid w:val="0044774B"/>
    <w:rsid w:val="00447CC9"/>
    <w:rsid w:val="00450B50"/>
    <w:rsid w:val="00451F3B"/>
    <w:rsid w:val="00453526"/>
    <w:rsid w:val="00455027"/>
    <w:rsid w:val="004566BA"/>
    <w:rsid w:val="00460A33"/>
    <w:rsid w:val="0046328C"/>
    <w:rsid w:val="00463A2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12BF"/>
    <w:rsid w:val="004938EC"/>
    <w:rsid w:val="00493E96"/>
    <w:rsid w:val="00495D65"/>
    <w:rsid w:val="00496B68"/>
    <w:rsid w:val="00497F41"/>
    <w:rsid w:val="004A1C8A"/>
    <w:rsid w:val="004A30A0"/>
    <w:rsid w:val="004A3BE4"/>
    <w:rsid w:val="004A3E48"/>
    <w:rsid w:val="004A41E0"/>
    <w:rsid w:val="004B2844"/>
    <w:rsid w:val="004B2BF0"/>
    <w:rsid w:val="004B3257"/>
    <w:rsid w:val="004B4A97"/>
    <w:rsid w:val="004C0048"/>
    <w:rsid w:val="004C161E"/>
    <w:rsid w:val="004C1C33"/>
    <w:rsid w:val="004C26A4"/>
    <w:rsid w:val="004C38C1"/>
    <w:rsid w:val="004C3BB5"/>
    <w:rsid w:val="004C7AA7"/>
    <w:rsid w:val="004C7EF9"/>
    <w:rsid w:val="004D01BB"/>
    <w:rsid w:val="004D02CD"/>
    <w:rsid w:val="004D0390"/>
    <w:rsid w:val="004D12F9"/>
    <w:rsid w:val="004D5697"/>
    <w:rsid w:val="004D5D70"/>
    <w:rsid w:val="004D7B8E"/>
    <w:rsid w:val="004D7F05"/>
    <w:rsid w:val="004E019B"/>
    <w:rsid w:val="004E3F1E"/>
    <w:rsid w:val="004E4C0C"/>
    <w:rsid w:val="004E4D9F"/>
    <w:rsid w:val="004E72B8"/>
    <w:rsid w:val="004E7F54"/>
    <w:rsid w:val="004F1938"/>
    <w:rsid w:val="004F5E7C"/>
    <w:rsid w:val="004F66FD"/>
    <w:rsid w:val="004F7F83"/>
    <w:rsid w:val="005005D3"/>
    <w:rsid w:val="0050317A"/>
    <w:rsid w:val="00504332"/>
    <w:rsid w:val="00504383"/>
    <w:rsid w:val="00504655"/>
    <w:rsid w:val="0050480A"/>
    <w:rsid w:val="00510F67"/>
    <w:rsid w:val="00515638"/>
    <w:rsid w:val="005205AA"/>
    <w:rsid w:val="00521C45"/>
    <w:rsid w:val="005222DD"/>
    <w:rsid w:val="0052271B"/>
    <w:rsid w:val="00522C1C"/>
    <w:rsid w:val="005230BA"/>
    <w:rsid w:val="00524254"/>
    <w:rsid w:val="00524553"/>
    <w:rsid w:val="00524B1B"/>
    <w:rsid w:val="00524D1D"/>
    <w:rsid w:val="0052511D"/>
    <w:rsid w:val="00525E8B"/>
    <w:rsid w:val="005266DF"/>
    <w:rsid w:val="005277A8"/>
    <w:rsid w:val="00530C75"/>
    <w:rsid w:val="0053428F"/>
    <w:rsid w:val="00534362"/>
    <w:rsid w:val="005346A9"/>
    <w:rsid w:val="00537387"/>
    <w:rsid w:val="00540034"/>
    <w:rsid w:val="005402D6"/>
    <w:rsid w:val="00541752"/>
    <w:rsid w:val="005432D6"/>
    <w:rsid w:val="00543C5C"/>
    <w:rsid w:val="00544296"/>
    <w:rsid w:val="005450E0"/>
    <w:rsid w:val="005452C7"/>
    <w:rsid w:val="00547847"/>
    <w:rsid w:val="00550134"/>
    <w:rsid w:val="00550BD8"/>
    <w:rsid w:val="00551821"/>
    <w:rsid w:val="005518B2"/>
    <w:rsid w:val="005550AF"/>
    <w:rsid w:val="005558B5"/>
    <w:rsid w:val="00555A7F"/>
    <w:rsid w:val="00560518"/>
    <w:rsid w:val="00561175"/>
    <w:rsid w:val="00561A43"/>
    <w:rsid w:val="00562022"/>
    <w:rsid w:val="0056440B"/>
    <w:rsid w:val="00566C51"/>
    <w:rsid w:val="005670EB"/>
    <w:rsid w:val="00570358"/>
    <w:rsid w:val="0057180C"/>
    <w:rsid w:val="00572327"/>
    <w:rsid w:val="00572CCD"/>
    <w:rsid w:val="0057467C"/>
    <w:rsid w:val="00574BA7"/>
    <w:rsid w:val="0057608D"/>
    <w:rsid w:val="00580ABA"/>
    <w:rsid w:val="005843D4"/>
    <w:rsid w:val="00585A2A"/>
    <w:rsid w:val="005863A1"/>
    <w:rsid w:val="00591134"/>
    <w:rsid w:val="00592A73"/>
    <w:rsid w:val="00593196"/>
    <w:rsid w:val="0059425B"/>
    <w:rsid w:val="005945B7"/>
    <w:rsid w:val="00597471"/>
    <w:rsid w:val="005A02F1"/>
    <w:rsid w:val="005A101C"/>
    <w:rsid w:val="005A34E6"/>
    <w:rsid w:val="005A5444"/>
    <w:rsid w:val="005B21C4"/>
    <w:rsid w:val="005B2EB1"/>
    <w:rsid w:val="005B34FD"/>
    <w:rsid w:val="005B7E7D"/>
    <w:rsid w:val="005C037A"/>
    <w:rsid w:val="005C0C7D"/>
    <w:rsid w:val="005C5DA5"/>
    <w:rsid w:val="005D07AC"/>
    <w:rsid w:val="005D2BE6"/>
    <w:rsid w:val="005D5122"/>
    <w:rsid w:val="005D53D6"/>
    <w:rsid w:val="005D55BB"/>
    <w:rsid w:val="005E0656"/>
    <w:rsid w:val="005E106C"/>
    <w:rsid w:val="005E2211"/>
    <w:rsid w:val="005E3390"/>
    <w:rsid w:val="005E3E3D"/>
    <w:rsid w:val="005E6E7E"/>
    <w:rsid w:val="005E7773"/>
    <w:rsid w:val="005F1261"/>
    <w:rsid w:val="005F4615"/>
    <w:rsid w:val="005F5128"/>
    <w:rsid w:val="005F589F"/>
    <w:rsid w:val="005F5E91"/>
    <w:rsid w:val="005F7EE5"/>
    <w:rsid w:val="00600940"/>
    <w:rsid w:val="00602207"/>
    <w:rsid w:val="00602F03"/>
    <w:rsid w:val="00603D7A"/>
    <w:rsid w:val="00604272"/>
    <w:rsid w:val="00605771"/>
    <w:rsid w:val="00605B1F"/>
    <w:rsid w:val="00606651"/>
    <w:rsid w:val="00613A28"/>
    <w:rsid w:val="0062194E"/>
    <w:rsid w:val="006220DC"/>
    <w:rsid w:val="006307D7"/>
    <w:rsid w:val="00631233"/>
    <w:rsid w:val="00631605"/>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2A0C"/>
    <w:rsid w:val="00663679"/>
    <w:rsid w:val="00663BC2"/>
    <w:rsid w:val="00664098"/>
    <w:rsid w:val="006645FF"/>
    <w:rsid w:val="00664746"/>
    <w:rsid w:val="006651BE"/>
    <w:rsid w:val="00665262"/>
    <w:rsid w:val="00671A32"/>
    <w:rsid w:val="006724E4"/>
    <w:rsid w:val="00672889"/>
    <w:rsid w:val="00674519"/>
    <w:rsid w:val="00674B63"/>
    <w:rsid w:val="006770BE"/>
    <w:rsid w:val="00677B95"/>
    <w:rsid w:val="00677CF9"/>
    <w:rsid w:val="0068084E"/>
    <w:rsid w:val="0068095F"/>
    <w:rsid w:val="00680ED6"/>
    <w:rsid w:val="00682BE0"/>
    <w:rsid w:val="00683AAD"/>
    <w:rsid w:val="006842EB"/>
    <w:rsid w:val="0068570D"/>
    <w:rsid w:val="006872D1"/>
    <w:rsid w:val="00691C63"/>
    <w:rsid w:val="00692BB5"/>
    <w:rsid w:val="00692EF4"/>
    <w:rsid w:val="006935DF"/>
    <w:rsid w:val="006946BB"/>
    <w:rsid w:val="00694BB8"/>
    <w:rsid w:val="0069509C"/>
    <w:rsid w:val="00695F36"/>
    <w:rsid w:val="00696408"/>
    <w:rsid w:val="0069689A"/>
    <w:rsid w:val="0069726C"/>
    <w:rsid w:val="00697A39"/>
    <w:rsid w:val="006A0D57"/>
    <w:rsid w:val="006A1089"/>
    <w:rsid w:val="006A1475"/>
    <w:rsid w:val="006A26BA"/>
    <w:rsid w:val="006A37ED"/>
    <w:rsid w:val="006A4CC0"/>
    <w:rsid w:val="006A4ED0"/>
    <w:rsid w:val="006A6284"/>
    <w:rsid w:val="006A7317"/>
    <w:rsid w:val="006A783E"/>
    <w:rsid w:val="006B169A"/>
    <w:rsid w:val="006B23C7"/>
    <w:rsid w:val="006B5DDE"/>
    <w:rsid w:val="006B6BF8"/>
    <w:rsid w:val="006B6C6E"/>
    <w:rsid w:val="006C2398"/>
    <w:rsid w:val="006C259C"/>
    <w:rsid w:val="006C2F83"/>
    <w:rsid w:val="006C7C69"/>
    <w:rsid w:val="006D06A8"/>
    <w:rsid w:val="006D4BD6"/>
    <w:rsid w:val="006D5C7E"/>
    <w:rsid w:val="006D78DE"/>
    <w:rsid w:val="006D79FC"/>
    <w:rsid w:val="006D7A08"/>
    <w:rsid w:val="006D7CE7"/>
    <w:rsid w:val="006E1089"/>
    <w:rsid w:val="006E3414"/>
    <w:rsid w:val="006E4601"/>
    <w:rsid w:val="006E4892"/>
    <w:rsid w:val="006E6362"/>
    <w:rsid w:val="006E6ACB"/>
    <w:rsid w:val="006F037F"/>
    <w:rsid w:val="006F05C8"/>
    <w:rsid w:val="006F1EDF"/>
    <w:rsid w:val="006F3EBF"/>
    <w:rsid w:val="006F4F82"/>
    <w:rsid w:val="006F68EB"/>
    <w:rsid w:val="006F73EC"/>
    <w:rsid w:val="00701592"/>
    <w:rsid w:val="00704523"/>
    <w:rsid w:val="00704D3B"/>
    <w:rsid w:val="00707E09"/>
    <w:rsid w:val="007122E6"/>
    <w:rsid w:val="00712578"/>
    <w:rsid w:val="007127B4"/>
    <w:rsid w:val="007132BA"/>
    <w:rsid w:val="007165D4"/>
    <w:rsid w:val="00716815"/>
    <w:rsid w:val="00720DB1"/>
    <w:rsid w:val="00720E47"/>
    <w:rsid w:val="00722012"/>
    <w:rsid w:val="007220E8"/>
    <w:rsid w:val="00722B10"/>
    <w:rsid w:val="00723ED5"/>
    <w:rsid w:val="007244E7"/>
    <w:rsid w:val="007246EE"/>
    <w:rsid w:val="00724AEA"/>
    <w:rsid w:val="00725F05"/>
    <w:rsid w:val="0072654E"/>
    <w:rsid w:val="007268A8"/>
    <w:rsid w:val="00726F8A"/>
    <w:rsid w:val="00731C61"/>
    <w:rsid w:val="007337EE"/>
    <w:rsid w:val="00735543"/>
    <w:rsid w:val="0073753D"/>
    <w:rsid w:val="00737EAB"/>
    <w:rsid w:val="007413B8"/>
    <w:rsid w:val="0074247D"/>
    <w:rsid w:val="007427D0"/>
    <w:rsid w:val="00743FA3"/>
    <w:rsid w:val="007458AB"/>
    <w:rsid w:val="00745E70"/>
    <w:rsid w:val="0075005D"/>
    <w:rsid w:val="0075055C"/>
    <w:rsid w:val="00750C2E"/>
    <w:rsid w:val="00751B56"/>
    <w:rsid w:val="00752297"/>
    <w:rsid w:val="00754024"/>
    <w:rsid w:val="00757AA6"/>
    <w:rsid w:val="00757BF1"/>
    <w:rsid w:val="00757E0D"/>
    <w:rsid w:val="0076098C"/>
    <w:rsid w:val="00761021"/>
    <w:rsid w:val="007610AC"/>
    <w:rsid w:val="00762BDA"/>
    <w:rsid w:val="0076322D"/>
    <w:rsid w:val="00763809"/>
    <w:rsid w:val="007643CC"/>
    <w:rsid w:val="007664F3"/>
    <w:rsid w:val="00772C43"/>
    <w:rsid w:val="00776530"/>
    <w:rsid w:val="00785C42"/>
    <w:rsid w:val="007876E8"/>
    <w:rsid w:val="00787A0D"/>
    <w:rsid w:val="00790704"/>
    <w:rsid w:val="007913A1"/>
    <w:rsid w:val="007920BF"/>
    <w:rsid w:val="0079338D"/>
    <w:rsid w:val="00794DC4"/>
    <w:rsid w:val="00795752"/>
    <w:rsid w:val="007961A2"/>
    <w:rsid w:val="00796D13"/>
    <w:rsid w:val="007A1FCC"/>
    <w:rsid w:val="007A460A"/>
    <w:rsid w:val="007A467A"/>
    <w:rsid w:val="007A5FE3"/>
    <w:rsid w:val="007A6F70"/>
    <w:rsid w:val="007A7460"/>
    <w:rsid w:val="007A7C95"/>
    <w:rsid w:val="007B0806"/>
    <w:rsid w:val="007B641D"/>
    <w:rsid w:val="007B6B15"/>
    <w:rsid w:val="007B6B26"/>
    <w:rsid w:val="007B7292"/>
    <w:rsid w:val="007C231D"/>
    <w:rsid w:val="007D1198"/>
    <w:rsid w:val="007D15FD"/>
    <w:rsid w:val="007D47E7"/>
    <w:rsid w:val="007D4AC9"/>
    <w:rsid w:val="007D566D"/>
    <w:rsid w:val="007D5BFE"/>
    <w:rsid w:val="007D60AC"/>
    <w:rsid w:val="007D6A86"/>
    <w:rsid w:val="007E0486"/>
    <w:rsid w:val="007E0B3C"/>
    <w:rsid w:val="007E10CB"/>
    <w:rsid w:val="007E425B"/>
    <w:rsid w:val="007E5012"/>
    <w:rsid w:val="007E5257"/>
    <w:rsid w:val="007E5344"/>
    <w:rsid w:val="007F008B"/>
    <w:rsid w:val="007F144B"/>
    <w:rsid w:val="007F18F0"/>
    <w:rsid w:val="007F58A5"/>
    <w:rsid w:val="007F6505"/>
    <w:rsid w:val="007F698B"/>
    <w:rsid w:val="007F6E63"/>
    <w:rsid w:val="007F7EC6"/>
    <w:rsid w:val="008020C6"/>
    <w:rsid w:val="00813C2A"/>
    <w:rsid w:val="00813F3A"/>
    <w:rsid w:val="00815002"/>
    <w:rsid w:val="00816EAE"/>
    <w:rsid w:val="00817DF1"/>
    <w:rsid w:val="00821F54"/>
    <w:rsid w:val="00824C6D"/>
    <w:rsid w:val="008252DA"/>
    <w:rsid w:val="00825407"/>
    <w:rsid w:val="008260C8"/>
    <w:rsid w:val="00827B68"/>
    <w:rsid w:val="00830366"/>
    <w:rsid w:val="00831DB6"/>
    <w:rsid w:val="00831FFE"/>
    <w:rsid w:val="00832C2E"/>
    <w:rsid w:val="008369C9"/>
    <w:rsid w:val="00840E57"/>
    <w:rsid w:val="00842BC3"/>
    <w:rsid w:val="008454F5"/>
    <w:rsid w:val="0084582B"/>
    <w:rsid w:val="00845900"/>
    <w:rsid w:val="00846898"/>
    <w:rsid w:val="00846973"/>
    <w:rsid w:val="008470AE"/>
    <w:rsid w:val="008472F8"/>
    <w:rsid w:val="00851DB5"/>
    <w:rsid w:val="00852720"/>
    <w:rsid w:val="00852913"/>
    <w:rsid w:val="00852A86"/>
    <w:rsid w:val="0085300B"/>
    <w:rsid w:val="0085350A"/>
    <w:rsid w:val="00853527"/>
    <w:rsid w:val="00853CAC"/>
    <w:rsid w:val="0085571C"/>
    <w:rsid w:val="00857F82"/>
    <w:rsid w:val="00860343"/>
    <w:rsid w:val="008626CC"/>
    <w:rsid w:val="00862A1A"/>
    <w:rsid w:val="00871039"/>
    <w:rsid w:val="0087344B"/>
    <w:rsid w:val="0087409E"/>
    <w:rsid w:val="00874A87"/>
    <w:rsid w:val="00875C40"/>
    <w:rsid w:val="00875E37"/>
    <w:rsid w:val="00876B93"/>
    <w:rsid w:val="008775B6"/>
    <w:rsid w:val="00880D0A"/>
    <w:rsid w:val="00882532"/>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2706"/>
    <w:rsid w:val="008B2774"/>
    <w:rsid w:val="008B31B5"/>
    <w:rsid w:val="008B3210"/>
    <w:rsid w:val="008B4D67"/>
    <w:rsid w:val="008B5799"/>
    <w:rsid w:val="008B5C50"/>
    <w:rsid w:val="008B7417"/>
    <w:rsid w:val="008C0645"/>
    <w:rsid w:val="008C0D56"/>
    <w:rsid w:val="008C277E"/>
    <w:rsid w:val="008C342F"/>
    <w:rsid w:val="008C4F72"/>
    <w:rsid w:val="008C52FC"/>
    <w:rsid w:val="008C5A0D"/>
    <w:rsid w:val="008C7214"/>
    <w:rsid w:val="008D46C3"/>
    <w:rsid w:val="008D46C8"/>
    <w:rsid w:val="008D4934"/>
    <w:rsid w:val="008D701E"/>
    <w:rsid w:val="008E08B6"/>
    <w:rsid w:val="008E0DE1"/>
    <w:rsid w:val="008E180F"/>
    <w:rsid w:val="008E1C02"/>
    <w:rsid w:val="008E2109"/>
    <w:rsid w:val="008E3EAA"/>
    <w:rsid w:val="008E52E5"/>
    <w:rsid w:val="008E573A"/>
    <w:rsid w:val="008E5E3D"/>
    <w:rsid w:val="008E65BD"/>
    <w:rsid w:val="008F10BD"/>
    <w:rsid w:val="008F30DC"/>
    <w:rsid w:val="008F34B1"/>
    <w:rsid w:val="008F3F92"/>
    <w:rsid w:val="008F76F8"/>
    <w:rsid w:val="008F7C3E"/>
    <w:rsid w:val="009014C3"/>
    <w:rsid w:val="0090262F"/>
    <w:rsid w:val="009033B1"/>
    <w:rsid w:val="009053F1"/>
    <w:rsid w:val="009103C4"/>
    <w:rsid w:val="00911226"/>
    <w:rsid w:val="00911A24"/>
    <w:rsid w:val="0091530F"/>
    <w:rsid w:val="00915EDE"/>
    <w:rsid w:val="00916262"/>
    <w:rsid w:val="009175A9"/>
    <w:rsid w:val="00917FE5"/>
    <w:rsid w:val="009258B7"/>
    <w:rsid w:val="009262F0"/>
    <w:rsid w:val="009266B1"/>
    <w:rsid w:val="00926E20"/>
    <w:rsid w:val="00927845"/>
    <w:rsid w:val="00927935"/>
    <w:rsid w:val="00930175"/>
    <w:rsid w:val="00930EEB"/>
    <w:rsid w:val="00930FAF"/>
    <w:rsid w:val="009325FE"/>
    <w:rsid w:val="00933619"/>
    <w:rsid w:val="00933753"/>
    <w:rsid w:val="0093469C"/>
    <w:rsid w:val="009346A0"/>
    <w:rsid w:val="009346EE"/>
    <w:rsid w:val="00934917"/>
    <w:rsid w:val="00937D76"/>
    <w:rsid w:val="00941C40"/>
    <w:rsid w:val="009424AF"/>
    <w:rsid w:val="00944746"/>
    <w:rsid w:val="0094567E"/>
    <w:rsid w:val="00945AEF"/>
    <w:rsid w:val="009514EC"/>
    <w:rsid w:val="009521B5"/>
    <w:rsid w:val="00954770"/>
    <w:rsid w:val="00955CE7"/>
    <w:rsid w:val="00956A13"/>
    <w:rsid w:val="00956C87"/>
    <w:rsid w:val="00956D1F"/>
    <w:rsid w:val="00957117"/>
    <w:rsid w:val="00960DD1"/>
    <w:rsid w:val="00961401"/>
    <w:rsid w:val="00964100"/>
    <w:rsid w:val="00964E64"/>
    <w:rsid w:val="009668ED"/>
    <w:rsid w:val="009706F6"/>
    <w:rsid w:val="00970AF0"/>
    <w:rsid w:val="00971315"/>
    <w:rsid w:val="00973A20"/>
    <w:rsid w:val="00974147"/>
    <w:rsid w:val="009748CE"/>
    <w:rsid w:val="00976341"/>
    <w:rsid w:val="0097649F"/>
    <w:rsid w:val="00976DE3"/>
    <w:rsid w:val="009815DB"/>
    <w:rsid w:val="00984626"/>
    <w:rsid w:val="00987318"/>
    <w:rsid w:val="0099153A"/>
    <w:rsid w:val="00992C61"/>
    <w:rsid w:val="00992E70"/>
    <w:rsid w:val="00993CE3"/>
    <w:rsid w:val="00994570"/>
    <w:rsid w:val="00995FCE"/>
    <w:rsid w:val="00996688"/>
    <w:rsid w:val="009A273C"/>
    <w:rsid w:val="009A4769"/>
    <w:rsid w:val="009A4FFA"/>
    <w:rsid w:val="009A5795"/>
    <w:rsid w:val="009A6252"/>
    <w:rsid w:val="009B1A21"/>
    <w:rsid w:val="009B1C54"/>
    <w:rsid w:val="009B1EE4"/>
    <w:rsid w:val="009B253E"/>
    <w:rsid w:val="009B2D2B"/>
    <w:rsid w:val="009B374B"/>
    <w:rsid w:val="009B4F49"/>
    <w:rsid w:val="009C2839"/>
    <w:rsid w:val="009C28D2"/>
    <w:rsid w:val="009C32A3"/>
    <w:rsid w:val="009C3562"/>
    <w:rsid w:val="009C5489"/>
    <w:rsid w:val="009C56FE"/>
    <w:rsid w:val="009C589D"/>
    <w:rsid w:val="009C6CF4"/>
    <w:rsid w:val="009C7007"/>
    <w:rsid w:val="009D031B"/>
    <w:rsid w:val="009D03E8"/>
    <w:rsid w:val="009D1099"/>
    <w:rsid w:val="009D1E22"/>
    <w:rsid w:val="009D68CF"/>
    <w:rsid w:val="009E1BCF"/>
    <w:rsid w:val="009E4D20"/>
    <w:rsid w:val="009E5534"/>
    <w:rsid w:val="009E61DB"/>
    <w:rsid w:val="009F008C"/>
    <w:rsid w:val="009F17CE"/>
    <w:rsid w:val="009F2BAF"/>
    <w:rsid w:val="009F3837"/>
    <w:rsid w:val="009F4B6B"/>
    <w:rsid w:val="00A02EC0"/>
    <w:rsid w:val="00A0306C"/>
    <w:rsid w:val="00A030AC"/>
    <w:rsid w:val="00A054CB"/>
    <w:rsid w:val="00A05FBE"/>
    <w:rsid w:val="00A06594"/>
    <w:rsid w:val="00A0792C"/>
    <w:rsid w:val="00A1050E"/>
    <w:rsid w:val="00A10952"/>
    <w:rsid w:val="00A113C5"/>
    <w:rsid w:val="00A12458"/>
    <w:rsid w:val="00A13717"/>
    <w:rsid w:val="00A15015"/>
    <w:rsid w:val="00A15016"/>
    <w:rsid w:val="00A158FF"/>
    <w:rsid w:val="00A16F93"/>
    <w:rsid w:val="00A173ED"/>
    <w:rsid w:val="00A20B62"/>
    <w:rsid w:val="00A210B6"/>
    <w:rsid w:val="00A2156A"/>
    <w:rsid w:val="00A21D20"/>
    <w:rsid w:val="00A21DA3"/>
    <w:rsid w:val="00A228CF"/>
    <w:rsid w:val="00A25F20"/>
    <w:rsid w:val="00A2726C"/>
    <w:rsid w:val="00A27F9B"/>
    <w:rsid w:val="00A304AC"/>
    <w:rsid w:val="00A31C4A"/>
    <w:rsid w:val="00A3234E"/>
    <w:rsid w:val="00A35ED5"/>
    <w:rsid w:val="00A36349"/>
    <w:rsid w:val="00A3718F"/>
    <w:rsid w:val="00A408CF"/>
    <w:rsid w:val="00A41906"/>
    <w:rsid w:val="00A42098"/>
    <w:rsid w:val="00A42248"/>
    <w:rsid w:val="00A45342"/>
    <w:rsid w:val="00A50597"/>
    <w:rsid w:val="00A50D2D"/>
    <w:rsid w:val="00A52102"/>
    <w:rsid w:val="00A524F7"/>
    <w:rsid w:val="00A54372"/>
    <w:rsid w:val="00A54A39"/>
    <w:rsid w:val="00A55BF2"/>
    <w:rsid w:val="00A578AA"/>
    <w:rsid w:val="00A57D0B"/>
    <w:rsid w:val="00A616D1"/>
    <w:rsid w:val="00A6199F"/>
    <w:rsid w:val="00A6370D"/>
    <w:rsid w:val="00A6562A"/>
    <w:rsid w:val="00A65918"/>
    <w:rsid w:val="00A664BD"/>
    <w:rsid w:val="00A67BF7"/>
    <w:rsid w:val="00A67D2A"/>
    <w:rsid w:val="00A73A01"/>
    <w:rsid w:val="00A73E61"/>
    <w:rsid w:val="00A75241"/>
    <w:rsid w:val="00A77DF7"/>
    <w:rsid w:val="00A81C1B"/>
    <w:rsid w:val="00A86472"/>
    <w:rsid w:val="00A87599"/>
    <w:rsid w:val="00A90723"/>
    <w:rsid w:val="00A90FE4"/>
    <w:rsid w:val="00A911A0"/>
    <w:rsid w:val="00A9388D"/>
    <w:rsid w:val="00A938C7"/>
    <w:rsid w:val="00A93964"/>
    <w:rsid w:val="00A94ABE"/>
    <w:rsid w:val="00A96342"/>
    <w:rsid w:val="00A967BB"/>
    <w:rsid w:val="00A97ECE"/>
    <w:rsid w:val="00AA06DF"/>
    <w:rsid w:val="00AA0A01"/>
    <w:rsid w:val="00AA0A7C"/>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56F9"/>
    <w:rsid w:val="00AC63F5"/>
    <w:rsid w:val="00AD223F"/>
    <w:rsid w:val="00AD2620"/>
    <w:rsid w:val="00AD35AA"/>
    <w:rsid w:val="00AD3E0C"/>
    <w:rsid w:val="00AD409A"/>
    <w:rsid w:val="00AD483F"/>
    <w:rsid w:val="00AE131C"/>
    <w:rsid w:val="00AE29A1"/>
    <w:rsid w:val="00AE37D0"/>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422"/>
    <w:rsid w:val="00B05627"/>
    <w:rsid w:val="00B05D56"/>
    <w:rsid w:val="00B06CC6"/>
    <w:rsid w:val="00B109F1"/>
    <w:rsid w:val="00B10B61"/>
    <w:rsid w:val="00B10F73"/>
    <w:rsid w:val="00B1227C"/>
    <w:rsid w:val="00B13A7F"/>
    <w:rsid w:val="00B154CE"/>
    <w:rsid w:val="00B15723"/>
    <w:rsid w:val="00B15A06"/>
    <w:rsid w:val="00B15F74"/>
    <w:rsid w:val="00B20F35"/>
    <w:rsid w:val="00B22D96"/>
    <w:rsid w:val="00B26A06"/>
    <w:rsid w:val="00B27D1F"/>
    <w:rsid w:val="00B30E66"/>
    <w:rsid w:val="00B314E8"/>
    <w:rsid w:val="00B34C21"/>
    <w:rsid w:val="00B35EE0"/>
    <w:rsid w:val="00B36CCA"/>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215B"/>
    <w:rsid w:val="00B5490B"/>
    <w:rsid w:val="00B54B45"/>
    <w:rsid w:val="00B56C6A"/>
    <w:rsid w:val="00B5731A"/>
    <w:rsid w:val="00B57F6C"/>
    <w:rsid w:val="00B61C4F"/>
    <w:rsid w:val="00B636AD"/>
    <w:rsid w:val="00B652F8"/>
    <w:rsid w:val="00B65487"/>
    <w:rsid w:val="00B66F9B"/>
    <w:rsid w:val="00B67EB5"/>
    <w:rsid w:val="00B716DA"/>
    <w:rsid w:val="00B71C07"/>
    <w:rsid w:val="00B74CFA"/>
    <w:rsid w:val="00B76B82"/>
    <w:rsid w:val="00B76F24"/>
    <w:rsid w:val="00B77257"/>
    <w:rsid w:val="00B82563"/>
    <w:rsid w:val="00B82959"/>
    <w:rsid w:val="00B838E4"/>
    <w:rsid w:val="00B839F6"/>
    <w:rsid w:val="00B8483A"/>
    <w:rsid w:val="00B8488D"/>
    <w:rsid w:val="00B84A6D"/>
    <w:rsid w:val="00B86754"/>
    <w:rsid w:val="00B86E78"/>
    <w:rsid w:val="00B91286"/>
    <w:rsid w:val="00B9270E"/>
    <w:rsid w:val="00B939E4"/>
    <w:rsid w:val="00B95C1F"/>
    <w:rsid w:val="00B96203"/>
    <w:rsid w:val="00B9771F"/>
    <w:rsid w:val="00B9772D"/>
    <w:rsid w:val="00BA02E7"/>
    <w:rsid w:val="00BA0BC8"/>
    <w:rsid w:val="00BA1708"/>
    <w:rsid w:val="00BA1896"/>
    <w:rsid w:val="00BA1E0C"/>
    <w:rsid w:val="00BA26F4"/>
    <w:rsid w:val="00BA273E"/>
    <w:rsid w:val="00BA70E3"/>
    <w:rsid w:val="00BB028F"/>
    <w:rsid w:val="00BB092E"/>
    <w:rsid w:val="00BB0B12"/>
    <w:rsid w:val="00BB1CC9"/>
    <w:rsid w:val="00BB4E5A"/>
    <w:rsid w:val="00BB5100"/>
    <w:rsid w:val="00BB5910"/>
    <w:rsid w:val="00BB6153"/>
    <w:rsid w:val="00BB6D86"/>
    <w:rsid w:val="00BB7540"/>
    <w:rsid w:val="00BB792F"/>
    <w:rsid w:val="00BB7CC3"/>
    <w:rsid w:val="00BC2F78"/>
    <w:rsid w:val="00BC66B4"/>
    <w:rsid w:val="00BD053D"/>
    <w:rsid w:val="00BD0ABC"/>
    <w:rsid w:val="00BD0BAF"/>
    <w:rsid w:val="00BD4BA0"/>
    <w:rsid w:val="00BD6966"/>
    <w:rsid w:val="00BD7754"/>
    <w:rsid w:val="00BE0CF0"/>
    <w:rsid w:val="00BE0F2F"/>
    <w:rsid w:val="00BE1686"/>
    <w:rsid w:val="00BE1FE5"/>
    <w:rsid w:val="00BE4241"/>
    <w:rsid w:val="00BE51C6"/>
    <w:rsid w:val="00BE5C55"/>
    <w:rsid w:val="00BE6CEC"/>
    <w:rsid w:val="00BE77CC"/>
    <w:rsid w:val="00BF07F9"/>
    <w:rsid w:val="00BF0D1C"/>
    <w:rsid w:val="00BF1430"/>
    <w:rsid w:val="00BF3099"/>
    <w:rsid w:val="00BF32A0"/>
    <w:rsid w:val="00BF3E70"/>
    <w:rsid w:val="00BF5572"/>
    <w:rsid w:val="00BF75BB"/>
    <w:rsid w:val="00C01200"/>
    <w:rsid w:val="00C02C97"/>
    <w:rsid w:val="00C04017"/>
    <w:rsid w:val="00C06166"/>
    <w:rsid w:val="00C07159"/>
    <w:rsid w:val="00C07DD4"/>
    <w:rsid w:val="00C07F15"/>
    <w:rsid w:val="00C10BDF"/>
    <w:rsid w:val="00C14C13"/>
    <w:rsid w:val="00C15F4A"/>
    <w:rsid w:val="00C17BBD"/>
    <w:rsid w:val="00C20ACD"/>
    <w:rsid w:val="00C211E3"/>
    <w:rsid w:val="00C215CE"/>
    <w:rsid w:val="00C23DF4"/>
    <w:rsid w:val="00C25D27"/>
    <w:rsid w:val="00C26E61"/>
    <w:rsid w:val="00C27067"/>
    <w:rsid w:val="00C27101"/>
    <w:rsid w:val="00C31120"/>
    <w:rsid w:val="00C31813"/>
    <w:rsid w:val="00C32511"/>
    <w:rsid w:val="00C34292"/>
    <w:rsid w:val="00C3451B"/>
    <w:rsid w:val="00C358E0"/>
    <w:rsid w:val="00C35F84"/>
    <w:rsid w:val="00C35FE7"/>
    <w:rsid w:val="00C37CAD"/>
    <w:rsid w:val="00C403F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1E9E"/>
    <w:rsid w:val="00C73698"/>
    <w:rsid w:val="00C74B8F"/>
    <w:rsid w:val="00C75A7F"/>
    <w:rsid w:val="00C76141"/>
    <w:rsid w:val="00C77C1E"/>
    <w:rsid w:val="00C81AEB"/>
    <w:rsid w:val="00C8293F"/>
    <w:rsid w:val="00C8309C"/>
    <w:rsid w:val="00C83E77"/>
    <w:rsid w:val="00C8448E"/>
    <w:rsid w:val="00C845DC"/>
    <w:rsid w:val="00C84965"/>
    <w:rsid w:val="00C85951"/>
    <w:rsid w:val="00C86600"/>
    <w:rsid w:val="00C86777"/>
    <w:rsid w:val="00C86AC9"/>
    <w:rsid w:val="00C90276"/>
    <w:rsid w:val="00C917AA"/>
    <w:rsid w:val="00C92823"/>
    <w:rsid w:val="00C93F20"/>
    <w:rsid w:val="00C96840"/>
    <w:rsid w:val="00C96E15"/>
    <w:rsid w:val="00C9769C"/>
    <w:rsid w:val="00CA12ED"/>
    <w:rsid w:val="00CA37C6"/>
    <w:rsid w:val="00CA3C67"/>
    <w:rsid w:val="00CA4959"/>
    <w:rsid w:val="00CA64A8"/>
    <w:rsid w:val="00CA6BDF"/>
    <w:rsid w:val="00CB080B"/>
    <w:rsid w:val="00CB2108"/>
    <w:rsid w:val="00CB29F1"/>
    <w:rsid w:val="00CB533D"/>
    <w:rsid w:val="00CB6E1B"/>
    <w:rsid w:val="00CB7F29"/>
    <w:rsid w:val="00CC0F72"/>
    <w:rsid w:val="00CC148C"/>
    <w:rsid w:val="00CC37EE"/>
    <w:rsid w:val="00CC43D8"/>
    <w:rsid w:val="00CC4FCD"/>
    <w:rsid w:val="00CC5652"/>
    <w:rsid w:val="00CC5E06"/>
    <w:rsid w:val="00CC60B5"/>
    <w:rsid w:val="00CC61D1"/>
    <w:rsid w:val="00CC6D7B"/>
    <w:rsid w:val="00CC77F5"/>
    <w:rsid w:val="00CD1623"/>
    <w:rsid w:val="00CD34A9"/>
    <w:rsid w:val="00CD3AAF"/>
    <w:rsid w:val="00CD3DF0"/>
    <w:rsid w:val="00CD3F21"/>
    <w:rsid w:val="00CD411F"/>
    <w:rsid w:val="00CD496B"/>
    <w:rsid w:val="00CD4F84"/>
    <w:rsid w:val="00CD5847"/>
    <w:rsid w:val="00CD641B"/>
    <w:rsid w:val="00CD6725"/>
    <w:rsid w:val="00CD6946"/>
    <w:rsid w:val="00CD6FB4"/>
    <w:rsid w:val="00CE02D0"/>
    <w:rsid w:val="00CE3174"/>
    <w:rsid w:val="00CE4E4E"/>
    <w:rsid w:val="00CE5CFF"/>
    <w:rsid w:val="00CE6720"/>
    <w:rsid w:val="00CE7F03"/>
    <w:rsid w:val="00CF0D4F"/>
    <w:rsid w:val="00CF16BC"/>
    <w:rsid w:val="00CF496F"/>
    <w:rsid w:val="00CF507D"/>
    <w:rsid w:val="00CF5C6E"/>
    <w:rsid w:val="00CF6E0A"/>
    <w:rsid w:val="00CF7258"/>
    <w:rsid w:val="00CF7A86"/>
    <w:rsid w:val="00D02459"/>
    <w:rsid w:val="00D04D41"/>
    <w:rsid w:val="00D05467"/>
    <w:rsid w:val="00D06F3D"/>
    <w:rsid w:val="00D1202F"/>
    <w:rsid w:val="00D1248C"/>
    <w:rsid w:val="00D14DC9"/>
    <w:rsid w:val="00D16770"/>
    <w:rsid w:val="00D16D91"/>
    <w:rsid w:val="00D17A02"/>
    <w:rsid w:val="00D17FEB"/>
    <w:rsid w:val="00D201CE"/>
    <w:rsid w:val="00D20E5A"/>
    <w:rsid w:val="00D2191D"/>
    <w:rsid w:val="00D21F02"/>
    <w:rsid w:val="00D22D34"/>
    <w:rsid w:val="00D25558"/>
    <w:rsid w:val="00D26331"/>
    <w:rsid w:val="00D3180D"/>
    <w:rsid w:val="00D31EEF"/>
    <w:rsid w:val="00D325FB"/>
    <w:rsid w:val="00D3288B"/>
    <w:rsid w:val="00D32BD6"/>
    <w:rsid w:val="00D33442"/>
    <w:rsid w:val="00D3387A"/>
    <w:rsid w:val="00D34123"/>
    <w:rsid w:val="00D342EA"/>
    <w:rsid w:val="00D347D1"/>
    <w:rsid w:val="00D34DCC"/>
    <w:rsid w:val="00D35F34"/>
    <w:rsid w:val="00D366F5"/>
    <w:rsid w:val="00D4043D"/>
    <w:rsid w:val="00D413CD"/>
    <w:rsid w:val="00D44BFD"/>
    <w:rsid w:val="00D44E48"/>
    <w:rsid w:val="00D452E8"/>
    <w:rsid w:val="00D46453"/>
    <w:rsid w:val="00D46492"/>
    <w:rsid w:val="00D47A88"/>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587"/>
    <w:rsid w:val="00D61FBD"/>
    <w:rsid w:val="00D62D07"/>
    <w:rsid w:val="00D64EA5"/>
    <w:rsid w:val="00D75B62"/>
    <w:rsid w:val="00D76197"/>
    <w:rsid w:val="00D76876"/>
    <w:rsid w:val="00D77577"/>
    <w:rsid w:val="00D77952"/>
    <w:rsid w:val="00D77E1B"/>
    <w:rsid w:val="00D80A9D"/>
    <w:rsid w:val="00D814C0"/>
    <w:rsid w:val="00D81B56"/>
    <w:rsid w:val="00D82131"/>
    <w:rsid w:val="00D83BA2"/>
    <w:rsid w:val="00D8605B"/>
    <w:rsid w:val="00D87FA9"/>
    <w:rsid w:val="00D90030"/>
    <w:rsid w:val="00D932B5"/>
    <w:rsid w:val="00D9431E"/>
    <w:rsid w:val="00D953FD"/>
    <w:rsid w:val="00D9683A"/>
    <w:rsid w:val="00D96933"/>
    <w:rsid w:val="00D978C5"/>
    <w:rsid w:val="00D97E3F"/>
    <w:rsid w:val="00D97E9A"/>
    <w:rsid w:val="00DA0A17"/>
    <w:rsid w:val="00DA1803"/>
    <w:rsid w:val="00DA2F96"/>
    <w:rsid w:val="00DA48ED"/>
    <w:rsid w:val="00DA4BCB"/>
    <w:rsid w:val="00DA5B42"/>
    <w:rsid w:val="00DA5F34"/>
    <w:rsid w:val="00DA6125"/>
    <w:rsid w:val="00DA69F4"/>
    <w:rsid w:val="00DB328C"/>
    <w:rsid w:val="00DB3B12"/>
    <w:rsid w:val="00DB3B4C"/>
    <w:rsid w:val="00DB3E84"/>
    <w:rsid w:val="00DB70C0"/>
    <w:rsid w:val="00DC0BB3"/>
    <w:rsid w:val="00DC0C46"/>
    <w:rsid w:val="00DC12C6"/>
    <w:rsid w:val="00DC19FA"/>
    <w:rsid w:val="00DC2E50"/>
    <w:rsid w:val="00DC45BB"/>
    <w:rsid w:val="00DC52FB"/>
    <w:rsid w:val="00DC75FB"/>
    <w:rsid w:val="00DC7E3D"/>
    <w:rsid w:val="00DD2A2F"/>
    <w:rsid w:val="00DD3084"/>
    <w:rsid w:val="00DD59B9"/>
    <w:rsid w:val="00DD6076"/>
    <w:rsid w:val="00DE182E"/>
    <w:rsid w:val="00DE5F70"/>
    <w:rsid w:val="00DE77CD"/>
    <w:rsid w:val="00DF065A"/>
    <w:rsid w:val="00DF2414"/>
    <w:rsid w:val="00DF59F6"/>
    <w:rsid w:val="00DF76A9"/>
    <w:rsid w:val="00E00248"/>
    <w:rsid w:val="00E00849"/>
    <w:rsid w:val="00E0168B"/>
    <w:rsid w:val="00E0429A"/>
    <w:rsid w:val="00E054E8"/>
    <w:rsid w:val="00E06279"/>
    <w:rsid w:val="00E0628E"/>
    <w:rsid w:val="00E06497"/>
    <w:rsid w:val="00E06A3D"/>
    <w:rsid w:val="00E10A07"/>
    <w:rsid w:val="00E1474D"/>
    <w:rsid w:val="00E15A74"/>
    <w:rsid w:val="00E165EE"/>
    <w:rsid w:val="00E25083"/>
    <w:rsid w:val="00E27464"/>
    <w:rsid w:val="00E27FA9"/>
    <w:rsid w:val="00E33333"/>
    <w:rsid w:val="00E36474"/>
    <w:rsid w:val="00E41651"/>
    <w:rsid w:val="00E41EF1"/>
    <w:rsid w:val="00E42D89"/>
    <w:rsid w:val="00E4357E"/>
    <w:rsid w:val="00E4373F"/>
    <w:rsid w:val="00E43D57"/>
    <w:rsid w:val="00E44682"/>
    <w:rsid w:val="00E448E2"/>
    <w:rsid w:val="00E45388"/>
    <w:rsid w:val="00E508AC"/>
    <w:rsid w:val="00E51356"/>
    <w:rsid w:val="00E53EA9"/>
    <w:rsid w:val="00E56C1B"/>
    <w:rsid w:val="00E61954"/>
    <w:rsid w:val="00E62E3D"/>
    <w:rsid w:val="00E632F2"/>
    <w:rsid w:val="00E63780"/>
    <w:rsid w:val="00E642B1"/>
    <w:rsid w:val="00E6439E"/>
    <w:rsid w:val="00E64F6E"/>
    <w:rsid w:val="00E7088D"/>
    <w:rsid w:val="00E71989"/>
    <w:rsid w:val="00E71EE5"/>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4694"/>
    <w:rsid w:val="00E95346"/>
    <w:rsid w:val="00E96FBA"/>
    <w:rsid w:val="00E97238"/>
    <w:rsid w:val="00EA5849"/>
    <w:rsid w:val="00EB3310"/>
    <w:rsid w:val="00EB3795"/>
    <w:rsid w:val="00EB4F9A"/>
    <w:rsid w:val="00EB7957"/>
    <w:rsid w:val="00EC017C"/>
    <w:rsid w:val="00EC07ED"/>
    <w:rsid w:val="00EC082E"/>
    <w:rsid w:val="00EC3AC7"/>
    <w:rsid w:val="00EC3BC5"/>
    <w:rsid w:val="00EC442F"/>
    <w:rsid w:val="00EC7183"/>
    <w:rsid w:val="00EC72FA"/>
    <w:rsid w:val="00ED1B1B"/>
    <w:rsid w:val="00ED247F"/>
    <w:rsid w:val="00ED4D73"/>
    <w:rsid w:val="00ED5393"/>
    <w:rsid w:val="00ED7665"/>
    <w:rsid w:val="00EE0DAE"/>
    <w:rsid w:val="00EE19C3"/>
    <w:rsid w:val="00EE2540"/>
    <w:rsid w:val="00EE71F1"/>
    <w:rsid w:val="00EF08AF"/>
    <w:rsid w:val="00EF0AD0"/>
    <w:rsid w:val="00EF2E33"/>
    <w:rsid w:val="00EF2EF8"/>
    <w:rsid w:val="00EF38B3"/>
    <w:rsid w:val="00EF38FC"/>
    <w:rsid w:val="00EF4DA0"/>
    <w:rsid w:val="00EF52AE"/>
    <w:rsid w:val="00F00C64"/>
    <w:rsid w:val="00F05964"/>
    <w:rsid w:val="00F0623E"/>
    <w:rsid w:val="00F11D29"/>
    <w:rsid w:val="00F11D5C"/>
    <w:rsid w:val="00F13074"/>
    <w:rsid w:val="00F1484E"/>
    <w:rsid w:val="00F14F1E"/>
    <w:rsid w:val="00F17256"/>
    <w:rsid w:val="00F1752F"/>
    <w:rsid w:val="00F17EE7"/>
    <w:rsid w:val="00F20B59"/>
    <w:rsid w:val="00F214A3"/>
    <w:rsid w:val="00F21B37"/>
    <w:rsid w:val="00F22369"/>
    <w:rsid w:val="00F224D0"/>
    <w:rsid w:val="00F22962"/>
    <w:rsid w:val="00F24A7E"/>
    <w:rsid w:val="00F26028"/>
    <w:rsid w:val="00F35B1C"/>
    <w:rsid w:val="00F36EA1"/>
    <w:rsid w:val="00F37023"/>
    <w:rsid w:val="00F379E0"/>
    <w:rsid w:val="00F41789"/>
    <w:rsid w:val="00F4384C"/>
    <w:rsid w:val="00F44A3F"/>
    <w:rsid w:val="00F4655B"/>
    <w:rsid w:val="00F50DFA"/>
    <w:rsid w:val="00F5118B"/>
    <w:rsid w:val="00F51AF2"/>
    <w:rsid w:val="00F51B22"/>
    <w:rsid w:val="00F55190"/>
    <w:rsid w:val="00F55E38"/>
    <w:rsid w:val="00F656A0"/>
    <w:rsid w:val="00F67164"/>
    <w:rsid w:val="00F67448"/>
    <w:rsid w:val="00F67853"/>
    <w:rsid w:val="00F702D1"/>
    <w:rsid w:val="00F707C9"/>
    <w:rsid w:val="00F71BF0"/>
    <w:rsid w:val="00F757F6"/>
    <w:rsid w:val="00F75EA4"/>
    <w:rsid w:val="00F760C5"/>
    <w:rsid w:val="00F7709C"/>
    <w:rsid w:val="00F813F9"/>
    <w:rsid w:val="00F8408B"/>
    <w:rsid w:val="00F84B29"/>
    <w:rsid w:val="00F85D2D"/>
    <w:rsid w:val="00F864F2"/>
    <w:rsid w:val="00F903C5"/>
    <w:rsid w:val="00F90C81"/>
    <w:rsid w:val="00F914BD"/>
    <w:rsid w:val="00F914E1"/>
    <w:rsid w:val="00F915DF"/>
    <w:rsid w:val="00F93B71"/>
    <w:rsid w:val="00F950F9"/>
    <w:rsid w:val="00F96ABD"/>
    <w:rsid w:val="00F97DE7"/>
    <w:rsid w:val="00FA2580"/>
    <w:rsid w:val="00FA3273"/>
    <w:rsid w:val="00FA545A"/>
    <w:rsid w:val="00FA66E8"/>
    <w:rsid w:val="00FB0329"/>
    <w:rsid w:val="00FB3D95"/>
    <w:rsid w:val="00FB4657"/>
    <w:rsid w:val="00FB4C04"/>
    <w:rsid w:val="00FC1D32"/>
    <w:rsid w:val="00FC206E"/>
    <w:rsid w:val="00FC36D3"/>
    <w:rsid w:val="00FC502B"/>
    <w:rsid w:val="00FC5CA6"/>
    <w:rsid w:val="00FC6980"/>
    <w:rsid w:val="00FD0466"/>
    <w:rsid w:val="00FD11C0"/>
    <w:rsid w:val="00FD624B"/>
    <w:rsid w:val="00FD74BB"/>
    <w:rsid w:val="00FD7C35"/>
    <w:rsid w:val="00FE10FF"/>
    <w:rsid w:val="00FE1B76"/>
    <w:rsid w:val="00FE2305"/>
    <w:rsid w:val="00FE393F"/>
    <w:rsid w:val="00FE464D"/>
    <w:rsid w:val="00FE4A43"/>
    <w:rsid w:val="00FE7EE8"/>
    <w:rsid w:val="00FF3150"/>
    <w:rsid w:val="00FF3A29"/>
    <w:rsid w:val="00FF513C"/>
    <w:rsid w:val="00FF6D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2B05CB0"/>
  <w15:docId w15:val="{87ABED56-5F3B-40AA-95B1-50FAEEBF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503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uiPriority w:val="1"/>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Teksttreci">
    <w:name w:val="Tekst treści_"/>
    <w:basedOn w:val="Domylnaczcionkaakapitu"/>
    <w:link w:val="Teksttreci0"/>
    <w:rsid w:val="009514EC"/>
    <w:rPr>
      <w:rFonts w:ascii="Calibri" w:eastAsia="Calibri" w:hAnsi="Calibri" w:cs="Calibri"/>
      <w:shd w:val="clear" w:color="auto" w:fill="FFFFFF"/>
    </w:rPr>
  </w:style>
  <w:style w:type="character" w:customStyle="1" w:styleId="Teksttreci2">
    <w:name w:val="Tekst treści (2)_"/>
    <w:basedOn w:val="Domylnaczcionkaakapitu"/>
    <w:link w:val="Teksttreci20"/>
    <w:rsid w:val="009514EC"/>
    <w:rPr>
      <w:rFonts w:ascii="Times New Roman" w:eastAsia="Times New Roman" w:hAnsi="Times New Roman" w:cs="Times New Roman"/>
      <w:shd w:val="clear" w:color="auto" w:fill="FFFFFF"/>
      <w:lang w:val="en-US" w:eastAsia="en-US" w:bidi="en-US"/>
    </w:rPr>
  </w:style>
  <w:style w:type="paragraph" w:customStyle="1" w:styleId="Teksttreci0">
    <w:name w:val="Tekst treści"/>
    <w:basedOn w:val="Normalny"/>
    <w:link w:val="Teksttreci"/>
    <w:rsid w:val="009514EC"/>
    <w:pPr>
      <w:widowControl w:val="0"/>
      <w:shd w:val="clear" w:color="auto" w:fill="FFFFFF"/>
    </w:pPr>
    <w:rPr>
      <w:rFonts w:ascii="Calibri" w:eastAsia="Calibri" w:hAnsi="Calibri" w:cs="Calibri"/>
      <w:sz w:val="22"/>
      <w:szCs w:val="22"/>
    </w:rPr>
  </w:style>
  <w:style w:type="paragraph" w:customStyle="1" w:styleId="Teksttreci20">
    <w:name w:val="Tekst treści (2)"/>
    <w:basedOn w:val="Normalny"/>
    <w:link w:val="Teksttreci2"/>
    <w:rsid w:val="009514EC"/>
    <w:pPr>
      <w:widowControl w:val="0"/>
      <w:shd w:val="clear" w:color="auto" w:fill="FFFFFF"/>
      <w:ind w:left="620" w:right="220"/>
      <w:jc w:val="both"/>
    </w:pPr>
    <w:rPr>
      <w:rFonts w:eastAsia="Times New Roman" w:cs="Times New Roman"/>
      <w:sz w:val="22"/>
      <w:szCs w:val="22"/>
      <w:lang w:val="en-US" w:eastAsia="en-US" w:bidi="en-US"/>
    </w:rPr>
  </w:style>
  <w:style w:type="paragraph" w:customStyle="1" w:styleId="Standardregular">
    <w:name w:val="Standard_regular"/>
    <w:basedOn w:val="Normalny"/>
    <w:rsid w:val="00C3451B"/>
    <w:pPr>
      <w:spacing w:line="280" w:lineRule="exact"/>
    </w:pPr>
    <w:rPr>
      <w:rFonts w:ascii="LindeDaxOffice" w:eastAsia="Times New Roman" w:hAnsi="LindeDaxOffice" w:cs="Times New Roman"/>
      <w:b/>
      <w:sz w:val="20"/>
      <w:lang w:val="en-US" w:eastAsia="de-DE"/>
    </w:rPr>
  </w:style>
  <w:style w:type="paragraph" w:customStyle="1" w:styleId="LindeBetreff">
    <w:name w:val="Linde_Betreff"/>
    <w:basedOn w:val="Normalny"/>
    <w:next w:val="Normalny"/>
    <w:rsid w:val="00C3451B"/>
    <w:pPr>
      <w:spacing w:after="280"/>
    </w:pPr>
    <w:rPr>
      <w:rFonts w:ascii="LindeDaxOffice" w:eastAsia="Times New Roman" w:hAnsi="LindeDaxOffice" w:cs="Times New Roman"/>
      <w:sz w:val="28"/>
      <w:lang w:val="en-US" w:eastAsia="de-DE"/>
    </w:rPr>
  </w:style>
  <w:style w:type="paragraph" w:customStyle="1" w:styleId="Sprechblasentext">
    <w:name w:val="Sprechblasentext"/>
    <w:basedOn w:val="Normalny"/>
    <w:semiHidden/>
    <w:rsid w:val="00C3451B"/>
    <w:pPr>
      <w:spacing w:line="280" w:lineRule="exact"/>
    </w:pPr>
    <w:rPr>
      <w:rFonts w:ascii="Tahoma" w:eastAsia="Times New Roman" w:hAnsi="Tahoma" w:cs="Tahoma"/>
      <w:sz w:val="16"/>
      <w:szCs w:val="16"/>
      <w:lang w:val="en-US" w:eastAsia="de-DE"/>
    </w:rPr>
  </w:style>
  <w:style w:type="paragraph" w:customStyle="1" w:styleId="Info">
    <w:name w:val="Info"/>
    <w:basedOn w:val="Normalny"/>
    <w:rsid w:val="00C3451B"/>
    <w:pPr>
      <w:spacing w:line="220" w:lineRule="exact"/>
    </w:pPr>
    <w:rPr>
      <w:rFonts w:ascii="LindeDaxOffice" w:eastAsia="Times New Roman" w:hAnsi="LindeDaxOffice" w:cs="Times New Roman"/>
      <w:sz w:val="16"/>
      <w:lang w:val="en-US" w:eastAsia="de-DE"/>
    </w:rPr>
  </w:style>
  <w:style w:type="paragraph" w:customStyle="1" w:styleId="StandardListe">
    <w:name w:val="Standard_Liste"/>
    <w:basedOn w:val="Normalny"/>
    <w:rsid w:val="00C3451B"/>
    <w:pPr>
      <w:numPr>
        <w:numId w:val="14"/>
      </w:numPr>
      <w:tabs>
        <w:tab w:val="clear" w:pos="227"/>
        <w:tab w:val="num" w:pos="360"/>
      </w:tabs>
      <w:spacing w:line="280" w:lineRule="exact"/>
      <w:ind w:left="0" w:firstLine="0"/>
    </w:pPr>
    <w:rPr>
      <w:rFonts w:ascii="LindeDaxOffice" w:eastAsia="Times New Roman" w:hAnsi="LindeDaxOffice" w:cs="Times New Roman"/>
      <w:sz w:val="20"/>
      <w:lang w:val="en-US" w:eastAsia="de-DE"/>
    </w:rPr>
  </w:style>
  <w:style w:type="character" w:customStyle="1" w:styleId="InfoChar">
    <w:name w:val="Info Char"/>
    <w:rsid w:val="00C3451B"/>
    <w:rPr>
      <w:rFonts w:ascii="LindeDaxOffice" w:hAnsi="LindeDaxOffice"/>
      <w:sz w:val="16"/>
      <w:szCs w:val="24"/>
      <w:lang w:val="de-DE" w:eastAsia="de-DE" w:bidi="ar-SA"/>
    </w:rPr>
  </w:style>
  <w:style w:type="paragraph" w:customStyle="1" w:styleId="LindeTitel">
    <w:name w:val="Linde_Titel"/>
    <w:basedOn w:val="LindeBetreff"/>
    <w:rsid w:val="00C3451B"/>
    <w:pPr>
      <w:spacing w:after="500"/>
    </w:pPr>
    <w:rPr>
      <w:sz w:val="40"/>
    </w:rPr>
  </w:style>
  <w:style w:type="paragraph" w:customStyle="1" w:styleId="ODNONIKtreodnonika">
    <w:name w:val="ODNOŚNIK – treść odnośnika"/>
    <w:uiPriority w:val="19"/>
    <w:qFormat/>
    <w:rsid w:val="00C3451B"/>
    <w:pPr>
      <w:ind w:left="284" w:hanging="284"/>
      <w:jc w:val="both"/>
    </w:pPr>
    <w:rPr>
      <w:rFonts w:ascii="Times New Roman" w:eastAsia="Times New Roman" w:hAnsi="Times New Roman" w:cs="Arial"/>
      <w:sz w:val="20"/>
      <w:szCs w:val="20"/>
    </w:rPr>
  </w:style>
  <w:style w:type="paragraph" w:customStyle="1" w:styleId="PKTODNONIKApunktodnonika">
    <w:name w:val="PKT_ODNOŚNIKA – punkt odnośnika"/>
    <w:basedOn w:val="ODNONIKtreodnonika"/>
    <w:uiPriority w:val="19"/>
    <w:qFormat/>
    <w:rsid w:val="00C3451B"/>
    <w:pPr>
      <w:ind w:left="568"/>
    </w:pPr>
  </w:style>
  <w:style w:type="character" w:customStyle="1" w:styleId="IGindeksgrny">
    <w:name w:val="_IG_ – indeks górny"/>
    <w:uiPriority w:val="2"/>
    <w:qFormat/>
    <w:rsid w:val="00C3451B"/>
    <w:rPr>
      <w:b w:val="0"/>
      <w:i w:val="0"/>
      <w:vanish w:val="0"/>
      <w:spacing w:val="0"/>
      <w:vertAlign w:val="superscript"/>
    </w:rPr>
  </w:style>
  <w:style w:type="character" w:customStyle="1" w:styleId="Ppogrubienie">
    <w:name w:val="_P_ – pogrubienie"/>
    <w:uiPriority w:val="1"/>
    <w:qFormat/>
    <w:rsid w:val="00C3451B"/>
    <w:rPr>
      <w:b/>
    </w:rPr>
  </w:style>
  <w:style w:type="character" w:customStyle="1" w:styleId="Kkursywa">
    <w:name w:val="_K_ – kursywa"/>
    <w:uiPriority w:val="1"/>
    <w:qFormat/>
    <w:rsid w:val="00C3451B"/>
    <w:rPr>
      <w:i/>
    </w:rPr>
  </w:style>
  <w:style w:type="paragraph" w:customStyle="1" w:styleId="TEKSTwTABELItekstzwcitympierwwierszem">
    <w:name w:val="TEKST_w_TABELI – tekst z wciętym pierw. wierszem"/>
    <w:basedOn w:val="Normalny"/>
    <w:uiPriority w:val="23"/>
    <w:qFormat/>
    <w:rsid w:val="00C3451B"/>
    <w:pPr>
      <w:suppressAutoHyphens/>
      <w:autoSpaceDE w:val="0"/>
      <w:autoSpaceDN w:val="0"/>
      <w:adjustRightInd w:val="0"/>
      <w:ind w:firstLine="510"/>
    </w:pPr>
    <w:rPr>
      <w:rFonts w:ascii="Times" w:eastAsia="Times New Roman" w:hAnsi="Times" w:cs="Times New Roman"/>
      <w:bCs/>
      <w:kern w:val="24"/>
      <w:sz w:val="20"/>
      <w:szCs w:val="20"/>
    </w:rPr>
  </w:style>
  <w:style w:type="paragraph" w:customStyle="1" w:styleId="LITODNONIKAliteraodnonika">
    <w:name w:val="LIT_ODNOŚNIKA – litera odnośnika"/>
    <w:basedOn w:val="PKTODNONIKApunktodnonika"/>
    <w:uiPriority w:val="20"/>
    <w:qFormat/>
    <w:rsid w:val="00C3451B"/>
    <w:pPr>
      <w:ind w:left="851"/>
    </w:pPr>
  </w:style>
  <w:style w:type="paragraph" w:customStyle="1" w:styleId="ODNONIKSPECtreodnonikadoodnonika">
    <w:name w:val="ODNOŚNIK_SPEC – treść odnośnika do odnośnika"/>
    <w:basedOn w:val="Normalny"/>
    <w:uiPriority w:val="19"/>
    <w:qFormat/>
    <w:rsid w:val="00C3451B"/>
    <w:pPr>
      <w:ind w:left="283" w:hanging="170"/>
    </w:pPr>
    <w:rPr>
      <w:rFonts w:ascii="Arial" w:eastAsia="Times New Roman" w:hAnsi="Arial" w:cs="Times New Roman"/>
      <w:sz w:val="20"/>
      <w:szCs w:val="20"/>
    </w:rPr>
  </w:style>
  <w:style w:type="paragraph" w:customStyle="1" w:styleId="ZnakZnakZnakZnakZnakZnakZnak">
    <w:name w:val="Znak Znak Znak Znak Znak Znak Znak"/>
    <w:basedOn w:val="Normalny"/>
    <w:rsid w:val="00C3451B"/>
    <w:rPr>
      <w:rFonts w:eastAsia="Times New Roman" w:cs="Times New Roman"/>
    </w:rPr>
  </w:style>
  <w:style w:type="character" w:customStyle="1" w:styleId="Nierozpoznanawzmianka">
    <w:name w:val="Nierozpoznana wzmianka"/>
    <w:uiPriority w:val="99"/>
    <w:semiHidden/>
    <w:unhideWhenUsed/>
    <w:rsid w:val="00C345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5107821">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53457303">
      <w:bodyDiv w:val="1"/>
      <w:marLeft w:val="0"/>
      <w:marRight w:val="0"/>
      <w:marTop w:val="0"/>
      <w:marBottom w:val="0"/>
      <w:divBdr>
        <w:top w:val="none" w:sz="0" w:space="0" w:color="auto"/>
        <w:left w:val="none" w:sz="0" w:space="0" w:color="auto"/>
        <w:bottom w:val="none" w:sz="0" w:space="0" w:color="auto"/>
        <w:right w:val="none" w:sz="0" w:space="0" w:color="auto"/>
      </w:divBdr>
    </w:div>
    <w:div w:id="398678131">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09831460">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9636695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19140760">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5220066">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17338087">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nowe-pzp/interpretacje/pytania-instytucji-kontrolujacych/czy-zgodnie-z-przepisami-nowej-ustawy-pzp-mozna-zawrzec-umowe-w-formie-elektronicznej,-czyli-w-postaci-elektronicznej-opatrzonej-kwalifikowanym-podpisem-elektronicznym-2020-12-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p.gov.pl/__data/assets/pdf_file/0026/45719/Kryteria-oceny-ofe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620E-EF54-4491-B1E0-A25244C2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3894</Words>
  <Characters>26389</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35</cp:revision>
  <cp:lastPrinted>2024-01-03T08:22:00Z</cp:lastPrinted>
  <dcterms:created xsi:type="dcterms:W3CDTF">2023-12-27T10:05:00Z</dcterms:created>
  <dcterms:modified xsi:type="dcterms:W3CDTF">2024-01-04T17:32:00Z</dcterms:modified>
</cp:coreProperties>
</file>