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6E" w:rsidRPr="00B200DD" w:rsidRDefault="00CF3D6E" w:rsidP="00B200DD">
      <w:pPr>
        <w:spacing w:after="0" w:line="276" w:lineRule="auto"/>
        <w:rPr>
          <w:rFonts w:cstheme="minorHAnsi"/>
          <w:b/>
          <w:color w:val="000000" w:themeColor="text1"/>
          <w:spacing w:val="30"/>
          <w:sz w:val="24"/>
          <w:szCs w:val="24"/>
        </w:rPr>
      </w:pPr>
    </w:p>
    <w:p w:rsidR="00CF3D6E" w:rsidRPr="00B200DD" w:rsidRDefault="00CF3D6E" w:rsidP="00B200DD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</w:rPr>
      </w:pPr>
    </w:p>
    <w:p w:rsidR="00CF3D6E" w:rsidRPr="00B200DD" w:rsidRDefault="00CF3D6E" w:rsidP="00B200DD">
      <w:pPr>
        <w:spacing w:after="0" w:line="240" w:lineRule="auto"/>
        <w:rPr>
          <w:rFonts w:cstheme="minorHAnsi"/>
          <w:b/>
          <w:color w:val="000000" w:themeColor="text1"/>
          <w:spacing w:val="30"/>
          <w:sz w:val="24"/>
          <w:szCs w:val="24"/>
        </w:rPr>
      </w:pPr>
    </w:p>
    <w:p w:rsidR="00CF3D6E" w:rsidRPr="00B200DD" w:rsidRDefault="00CF3D6E" w:rsidP="00B200DD">
      <w:pPr>
        <w:spacing w:after="0" w:line="254" w:lineRule="auto"/>
        <w:rPr>
          <w:rFonts w:cstheme="minorHAnsi"/>
          <w:b/>
          <w:bCs/>
          <w:iCs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</w:rPr>
        <w:t>Dotyczy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: postępowania o udzielenie zamówienia publicznego prowadzonego w trybie podstawowym bez negocjacji na podstawie art. 275 pkt 1 ustawy z dnia 11 września 2019 r. Prawo zamówień publicznych </w:t>
      </w:r>
      <w:r w:rsidRPr="00B200DD">
        <w:rPr>
          <w:rFonts w:eastAsia="Calibri" w:cstheme="minorHAnsi"/>
          <w:color w:val="000000" w:themeColor="text1"/>
          <w:spacing w:val="30"/>
          <w:sz w:val="24"/>
          <w:szCs w:val="24"/>
        </w:rPr>
        <w:t>(</w:t>
      </w:r>
      <w:proofErr w:type="spellStart"/>
      <w:r w:rsidRPr="00B200DD">
        <w:rPr>
          <w:rFonts w:eastAsia="Calibri" w:cstheme="minorHAnsi"/>
          <w:color w:val="000000" w:themeColor="text1"/>
          <w:spacing w:val="30"/>
          <w:sz w:val="24"/>
          <w:szCs w:val="24"/>
        </w:rPr>
        <w:t>t.j</w:t>
      </w:r>
      <w:proofErr w:type="spellEnd"/>
      <w:r w:rsidRPr="00B200DD">
        <w:rPr>
          <w:rFonts w:eastAsia="Calibri" w:cstheme="minorHAnsi"/>
          <w:color w:val="000000" w:themeColor="text1"/>
          <w:spacing w:val="30"/>
          <w:sz w:val="24"/>
          <w:szCs w:val="24"/>
        </w:rPr>
        <w:t>. Dz. U. 2023 r. poz. 1605</w:t>
      </w:r>
      <w:r w:rsidR="003D33E4" w:rsidRPr="00B200DD">
        <w:rPr>
          <w:rFonts w:eastAsia="Calibri" w:cstheme="minorHAnsi"/>
          <w:color w:val="000000" w:themeColor="text1"/>
          <w:spacing w:val="30"/>
          <w:sz w:val="24"/>
          <w:szCs w:val="24"/>
        </w:rPr>
        <w:t xml:space="preserve"> </w:t>
      </w:r>
      <w:r w:rsidRPr="00B200DD">
        <w:rPr>
          <w:rFonts w:eastAsia="Calibri" w:cstheme="minorHAnsi"/>
          <w:color w:val="000000" w:themeColor="text1"/>
          <w:spacing w:val="30"/>
          <w:sz w:val="24"/>
          <w:szCs w:val="24"/>
        </w:rPr>
        <w:t xml:space="preserve">ze zm.) zwanej dalej </w:t>
      </w:r>
      <w:proofErr w:type="spellStart"/>
      <w:r w:rsidRPr="00B200DD">
        <w:rPr>
          <w:rFonts w:eastAsia="Calibri" w:cstheme="minorHAnsi"/>
          <w:color w:val="000000" w:themeColor="text1"/>
          <w:spacing w:val="30"/>
          <w:sz w:val="24"/>
          <w:szCs w:val="24"/>
        </w:rPr>
        <w:t>upzp</w:t>
      </w:r>
      <w:proofErr w:type="spellEnd"/>
      <w:r w:rsidRPr="00B200DD">
        <w:rPr>
          <w:rFonts w:eastAsia="Calibri" w:cstheme="minorHAnsi"/>
          <w:color w:val="000000" w:themeColor="text1"/>
          <w:spacing w:val="30"/>
          <w:sz w:val="24"/>
          <w:szCs w:val="24"/>
        </w:rPr>
        <w:t>,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  na zada</w:t>
      </w:r>
      <w:bookmarkStart w:id="0" w:name="_Hlk98835720"/>
      <w:r w:rsidRPr="00B200DD">
        <w:rPr>
          <w:rFonts w:cstheme="minorHAnsi"/>
          <w:color w:val="000000" w:themeColor="text1"/>
          <w:spacing w:val="30"/>
          <w:sz w:val="24"/>
          <w:szCs w:val="24"/>
        </w:rPr>
        <w:t>nie –</w:t>
      </w:r>
      <w:bookmarkEnd w:id="0"/>
      <w:r w:rsidRPr="00B200DD">
        <w:rPr>
          <w:rFonts w:cstheme="minorHAnsi"/>
          <w:iCs/>
          <w:color w:val="000000" w:themeColor="text1"/>
          <w:spacing w:val="30"/>
          <w:sz w:val="24"/>
          <w:szCs w:val="24"/>
        </w:rPr>
        <w:t xml:space="preserve"> </w:t>
      </w:r>
      <w:bookmarkStart w:id="1" w:name="_Hlk63845931"/>
      <w:bookmarkStart w:id="2" w:name="OLE_LINK1"/>
      <w:r w:rsidRPr="00B200DD">
        <w:rPr>
          <w:rFonts w:cstheme="minorHAnsi"/>
          <w:iCs/>
          <w:color w:val="000000" w:themeColor="text1"/>
          <w:spacing w:val="30"/>
          <w:sz w:val="24"/>
          <w:szCs w:val="24"/>
        </w:rPr>
        <w:t>realizacja robót budowlanych pn.</w:t>
      </w:r>
      <w:bookmarkEnd w:id="1"/>
      <w:r w:rsidRPr="00B200DD">
        <w:rPr>
          <w:rFonts w:cstheme="minorHAnsi"/>
          <w:iCs/>
          <w:color w:val="000000" w:themeColor="text1"/>
          <w:spacing w:val="30"/>
          <w:sz w:val="24"/>
          <w:szCs w:val="24"/>
        </w:rPr>
        <w:t>:</w:t>
      </w:r>
      <w:r w:rsidRPr="00B200DD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</w:rPr>
        <w:t xml:space="preserve"> </w:t>
      </w:r>
      <w:bookmarkStart w:id="3" w:name="_Hlk168399420"/>
      <w:r w:rsidRPr="00B200DD">
        <w:rPr>
          <w:rFonts w:cstheme="minorHAnsi"/>
          <w:b/>
          <w:bCs/>
          <w:iCs/>
          <w:color w:val="000000" w:themeColor="text1"/>
          <w:spacing w:val="30"/>
          <w:sz w:val="24"/>
          <w:szCs w:val="24"/>
        </w:rPr>
        <w:t>„Modernizacja infrastruktury drogowej na terenie Sandomierza”.</w:t>
      </w:r>
      <w:bookmarkEnd w:id="3"/>
    </w:p>
    <w:bookmarkEnd w:id="2"/>
    <w:p w:rsidR="00CF3D6E" w:rsidRPr="00B200DD" w:rsidRDefault="00CF3D6E" w:rsidP="00B200DD">
      <w:pPr>
        <w:spacing w:after="0" w:line="276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CF3D6E" w:rsidRPr="00B200DD" w:rsidRDefault="00CF3D6E" w:rsidP="00B200DD">
      <w:pPr>
        <w:spacing w:after="0" w:line="276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CF3D6E" w:rsidRPr="00B200DD" w:rsidRDefault="00CF3D6E" w:rsidP="00B200DD">
      <w:pPr>
        <w:spacing w:after="0" w:line="276" w:lineRule="auto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  <w:r w:rsidRPr="00B200DD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WYJAŚ</w:t>
      </w:r>
      <w:r w:rsidR="00BE026A" w:rsidRPr="00B200DD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NIENIA </w:t>
      </w:r>
      <w:r w:rsidRPr="00B200DD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I ZMIANA TREŚ</w:t>
      </w:r>
      <w:r w:rsidR="00BE026A" w:rsidRPr="00B200DD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CI SPECYFIKACJ</w:t>
      </w:r>
      <w:r w:rsidRPr="00B200DD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I</w:t>
      </w:r>
      <w:r w:rsidR="00BE026A" w:rsidRPr="00B200DD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B200DD"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lang w:eastAsia="pl-PL"/>
        </w:rPr>
        <w:t>WARUNKÓW ZAMÓWIENIA</w:t>
      </w:r>
    </w:p>
    <w:p w:rsidR="00CF3D6E" w:rsidRPr="00B200DD" w:rsidRDefault="00CF3D6E" w:rsidP="00B200D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  <w:r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         </w:t>
      </w:r>
    </w:p>
    <w:p w:rsidR="00CF3D6E" w:rsidRPr="00B200DD" w:rsidRDefault="00CF3D6E" w:rsidP="00B200DD">
      <w:pPr>
        <w:autoSpaceDE w:val="0"/>
        <w:autoSpaceDN w:val="0"/>
        <w:adjustRightInd w:val="0"/>
        <w:spacing w:after="0" w:line="276" w:lineRule="auto"/>
        <w:ind w:firstLine="708"/>
        <w:rPr>
          <w:rFonts w:cstheme="minorHAnsi"/>
          <w:b/>
          <w:bCs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Zamawiający Gmina Sandomierz działając na podstawie art. 284 ust. </w:t>
      </w:r>
      <w:r w:rsidR="00DA3D45"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2 i </w:t>
      </w:r>
      <w:r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6 oraz art. 286 ust. 1, 5</w:t>
      </w:r>
      <w:r w:rsidR="00DA3D45"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i 7 </w:t>
      </w:r>
      <w:proofErr w:type="spellStart"/>
      <w:r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upzp</w:t>
      </w:r>
      <w:proofErr w:type="spellEnd"/>
      <w:r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 xml:space="preserve">, w odpowiedzi na wniosek Wykonawcy o wyjaśnienia treści Specyfikacji Warunków Zamówienia (SWZ) udziela wyjaśnień i dokonuje zmiany zapisów treści SWZ </w:t>
      </w:r>
      <w:proofErr w:type="spellStart"/>
      <w:r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jn</w:t>
      </w:r>
      <w:proofErr w:type="spellEnd"/>
      <w:r w:rsidRPr="00B200DD"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  <w:t>:</w:t>
      </w:r>
    </w:p>
    <w:p w:rsidR="00CF3D6E" w:rsidRPr="00B200DD" w:rsidRDefault="00CF3D6E" w:rsidP="00B200D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CF3D6E" w:rsidRPr="00B200DD" w:rsidRDefault="00CF3D6E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200DD"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  <w:t>Pytanie nr 1:</w:t>
      </w:r>
    </w:p>
    <w:p w:rsidR="00CF3D6E" w:rsidRPr="00B200DD" w:rsidRDefault="00CF3D6E" w:rsidP="00B200DD">
      <w:pPr>
        <w:spacing w:after="0" w:line="240" w:lineRule="auto"/>
        <w:rPr>
          <w:rFonts w:eastAsia="Times New Roman" w:cstheme="minorHAnsi"/>
          <w:i/>
          <w:color w:val="000000" w:themeColor="text1"/>
          <w:spacing w:val="30"/>
          <w:sz w:val="24"/>
          <w:szCs w:val="24"/>
          <w:lang w:eastAsia="pl-PL"/>
        </w:rPr>
      </w:pPr>
      <w:r w:rsidRPr="00B200DD">
        <w:rPr>
          <w:rFonts w:eastAsia="Times New Roman" w:cstheme="minorHAnsi"/>
          <w:i/>
          <w:color w:val="000000" w:themeColor="text1"/>
          <w:spacing w:val="30"/>
          <w:sz w:val="24"/>
          <w:szCs w:val="24"/>
          <w:lang w:eastAsia="pl-PL"/>
        </w:rPr>
        <w:t>„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Zgodnie z projektem umowy materiały takie jak: kostka brukowa, krawężniki, oporniki należy zdemontować i odwieźć na miejsce wskazane przez Zamawiającego. Prosimy o potwierdzenie czy 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br/>
        <w:t>w wycenie należy uwzględnić odwóz krawężników oraz obrzeży czy zakres obejmuje tylko mechaniczną rozbiórkę?”</w:t>
      </w:r>
    </w:p>
    <w:p w:rsidR="00CF3D6E" w:rsidRPr="00B200DD" w:rsidRDefault="00CF3D6E" w:rsidP="00B200DD">
      <w:pPr>
        <w:spacing w:after="0"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b/>
          <w:bCs/>
          <w:color w:val="000000" w:themeColor="text1"/>
          <w:spacing w:val="30"/>
          <w:sz w:val="24"/>
          <w:szCs w:val="24"/>
          <w:u w:val="single"/>
        </w:rPr>
        <w:t>Odpowiedź:</w:t>
      </w:r>
    </w:p>
    <w:p w:rsidR="000357F7" w:rsidRPr="00B200DD" w:rsidRDefault="000357F7" w:rsidP="00B200DD">
      <w:pPr>
        <w:spacing w:after="0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Zamawiający informuje, że istniejące nawierzchnie z kostki betonowej należy rozebrać w sposób nie powodujący uszkodzeń rozbieranego materiału, ułożyć na paletach, zabezpieczyć w celu transportu</w:t>
      </w:r>
      <w:r w:rsidR="00F824AE" w:rsidRPr="00B200DD">
        <w:rPr>
          <w:rFonts w:cstheme="minorHAnsi"/>
          <w:color w:val="000000" w:themeColor="text1"/>
          <w:spacing w:val="30"/>
          <w:sz w:val="24"/>
          <w:szCs w:val="24"/>
        </w:rPr>
        <w:br/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 i przewieźć w miejsce wskazane </w:t>
      </w:r>
      <w:r w:rsidR="00731B28"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 przez Zamawiającego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 (na terenie miasta). Zamawiający nie wymaga ręcznej rozbiórki krawężników i oporników – nie planuje tych materiałów zatrzymywać i wykorzystywać do ponownego użycia. </w:t>
      </w:r>
    </w:p>
    <w:p w:rsidR="00CF3D6E" w:rsidRPr="00B200DD" w:rsidRDefault="00CF3D6E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30"/>
          <w:sz w:val="24"/>
          <w:szCs w:val="24"/>
          <w:lang w:eastAsia="pl-PL"/>
        </w:rPr>
      </w:pPr>
    </w:p>
    <w:p w:rsidR="00CF3D6E" w:rsidRPr="00B200DD" w:rsidRDefault="00CF3D6E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CF3D6E" w:rsidRPr="00B200DD" w:rsidRDefault="00CF3D6E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200DD"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  <w:t>Pytanie nr 2:</w:t>
      </w:r>
    </w:p>
    <w:p w:rsidR="00CF3D6E" w:rsidRPr="00B200DD" w:rsidRDefault="00CF3D6E" w:rsidP="00B200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„Według dołączonych dokumentacji należy odtworzyć istniejącą zieleń (rozłożyć humus oraz obsiać trawą). W dołączonych przedmiarach takie pozycje nie występują. Prosimy o potwierdzenie czy 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br/>
        <w:t>w wycenie należy uwzględnić powyższe roboty?”</w:t>
      </w:r>
    </w:p>
    <w:p w:rsidR="000357F7" w:rsidRPr="00B200DD" w:rsidRDefault="000357F7" w:rsidP="00B200DD">
      <w:pPr>
        <w:spacing w:after="0"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b/>
          <w:bCs/>
          <w:color w:val="000000" w:themeColor="text1"/>
          <w:spacing w:val="30"/>
          <w:sz w:val="24"/>
          <w:szCs w:val="24"/>
          <w:u w:val="single"/>
        </w:rPr>
        <w:t>Odpowiedź:</w:t>
      </w:r>
    </w:p>
    <w:p w:rsidR="000357F7" w:rsidRPr="00B200DD" w:rsidRDefault="000357F7" w:rsidP="00B200DD">
      <w:pPr>
        <w:spacing w:after="0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Zamawiający informuje, że rozłożenie ziemi urodzajnej i obsiew mieszanką traw należy przewidzieć jedynie w tych miejscach gdzie na skutek wykonywanych robót zajdzie konieczność przywrócenia stanu istniejącego, tj. zieleni.</w:t>
      </w:r>
    </w:p>
    <w:p w:rsidR="000357F7" w:rsidRPr="00B200DD" w:rsidRDefault="000357F7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0357F7" w:rsidRPr="00B200DD" w:rsidRDefault="000357F7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CF3D6E" w:rsidRPr="00B200DD" w:rsidRDefault="00CF3D6E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200DD"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  <w:t>Pytanie nr 3:</w:t>
      </w:r>
    </w:p>
    <w:p w:rsidR="00CF3D6E" w:rsidRPr="00B200DD" w:rsidRDefault="00CF3D6E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„Czy na wszystkich drogach objętych postępowaniem należy wymienić wpusty deszczowe na nowe?”</w:t>
      </w:r>
    </w:p>
    <w:p w:rsidR="00CF3D6E" w:rsidRPr="00B200DD" w:rsidRDefault="00CF3D6E" w:rsidP="00B200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200DD"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  <w:t>Odpowiedź:</w:t>
      </w:r>
    </w:p>
    <w:p w:rsidR="00F824AE" w:rsidRPr="00B200DD" w:rsidRDefault="00F824AE" w:rsidP="00B200DD">
      <w:pPr>
        <w:spacing w:after="0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Zamawiający informuje, że zgodnie z dok. projektową należy dokonać wymiany wszystkich istniejących  wpustów deszczowych na nowe. W wycenie należy przewidzieć wymianę kratki ściekowej na kratkę z ryglem i zamkiem oraz wymianę pierścienia odciążającego (wpust ściekowy uliczny klasy D400 o wymiarach 420x620mm). </w:t>
      </w:r>
    </w:p>
    <w:p w:rsidR="00F824AE" w:rsidRPr="00B200DD" w:rsidRDefault="00F824AE" w:rsidP="00B200DD">
      <w:pPr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W przypadku ulicy Staromiejskiej i Słonecznej na planie sytuacyjnym branży instalacyjnej (kanalizacja deszczowa) wskazano lokalizacje w których przewidziano wymianę i budowę nowych wpustów deszczowych wraz ze studzienkami. Wszystkie pozostałe wpusty poza wyżej wymienionymi na ulicy Słonecznej i Staromiejskiej podlegają wymianie na nowe w zakresie kratki ściekowej i pierścienia odciążającego. 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Pytanie nr 4: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„Prosimy o potwierdzenie kategorii ruchu KR1-2 dla wszystkich dróg objętych postępowaniem”.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Odpowiedź:</w:t>
      </w:r>
    </w:p>
    <w:p w:rsidR="00F824AE" w:rsidRPr="00B200DD" w:rsidRDefault="00F824AE" w:rsidP="00B200DD">
      <w:pPr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Zamawiający informuje, że konstrukcję należy przyjąć wg założeń dok</w:t>
      </w:r>
      <w:r w:rsidR="003D7583"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umentacji 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projektowej. </w:t>
      </w:r>
    </w:p>
    <w:p w:rsidR="00731B28" w:rsidRPr="00B200DD" w:rsidRDefault="00731B28" w:rsidP="00B200DD">
      <w:pPr>
        <w:rPr>
          <w:rFonts w:cstheme="minorHAnsi"/>
          <w:color w:val="000000" w:themeColor="text1"/>
          <w:spacing w:val="30"/>
          <w:sz w:val="24"/>
          <w:szCs w:val="24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Pytanie nr 5: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„Prosimy o określenie czy oznakowanie poziome należy wykonać w technologii cienko czy grubowarstwowej?”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Odpowiedź:</w:t>
      </w:r>
    </w:p>
    <w:p w:rsidR="00F824AE" w:rsidRPr="00B200DD" w:rsidRDefault="00F824AE" w:rsidP="00B200DD">
      <w:pPr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Zamawiający informuje, że przejścia dla pieszych oraz linie zatrzymań należy wykonać jako oznakowanie grubowarstwowe. Pozostałe linie i znaki (np. stanowisk</w:t>
      </w:r>
      <w:r w:rsidR="001475DA">
        <w:rPr>
          <w:rFonts w:cstheme="minorHAnsi"/>
          <w:color w:val="000000" w:themeColor="text1"/>
          <w:spacing w:val="30"/>
          <w:sz w:val="24"/>
          <w:szCs w:val="24"/>
        </w:rPr>
        <w:t xml:space="preserve">a postojowe) – jako oznakowanie </w:t>
      </w:r>
      <w:bookmarkStart w:id="4" w:name="_GoBack"/>
      <w:bookmarkEnd w:id="4"/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cienkowarstwowe. 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Pytanie nr 6: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„Prosimy o dołączenie Projektów stałej organizacji ruchu dla wszystkich dróg objętych postępowaniem”.</w:t>
      </w:r>
    </w:p>
    <w:p w:rsidR="00B200DD" w:rsidRDefault="00B200DD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lastRenderedPageBreak/>
        <w:t>Odpowiedź:</w:t>
      </w:r>
    </w:p>
    <w:p w:rsidR="00CF3D6E" w:rsidRPr="00B200DD" w:rsidRDefault="00F824AE" w:rsidP="00B200DD">
      <w:pPr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Zamawiający informuje, że udostępnia projekty stałej organizacji ruchu dla dróg objętych postępowaniem.</w:t>
      </w:r>
    </w:p>
    <w:p w:rsidR="00015C7D" w:rsidRPr="00B200DD" w:rsidRDefault="00015C7D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Pytanie nr 7: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„Według dołączonych dokumentacji dla napraw lokalnych warstwę podbudowy z kruszywa stabilizowanego cementem grubości 25cm należy wykonać o wytrzymałości C3/4, a według przedmiarów jest to stabilizacja C1,5/2. Prosimy o potwierdzenie jakiej wytrzymałości stabilizację uwzględnić w wycenie?”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Odpowiedź:</w:t>
      </w:r>
    </w:p>
    <w:p w:rsidR="00F824AE" w:rsidRPr="00B200DD" w:rsidRDefault="00F824AE" w:rsidP="00B200DD">
      <w:pPr>
        <w:spacing w:after="0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Zamawiający informuje, że dla napraw lokalnych warstwę podbudowy z kruszywa stabilizowanego cementem grubości 25cm należy wykonać o parametrach wskazanych w dokumentacji projektowej, tj. o wytrzymałości C</w:t>
      </w:r>
      <w:r w:rsidRPr="00B200DD">
        <w:rPr>
          <w:rFonts w:cstheme="minorHAnsi"/>
          <w:color w:val="000000" w:themeColor="text1"/>
          <w:spacing w:val="30"/>
          <w:sz w:val="24"/>
          <w:szCs w:val="24"/>
          <w:vertAlign w:val="subscript"/>
        </w:rPr>
        <w:t>3/4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.  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</w:p>
    <w:p w:rsidR="00F824AE" w:rsidRPr="00B200DD" w:rsidRDefault="00F824A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Pytanie nr 8: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„Czy wycenie remontu ul. </w:t>
      </w:r>
      <w:proofErr w:type="spellStart"/>
      <w:r w:rsidRPr="00B200DD">
        <w:rPr>
          <w:rFonts w:cstheme="minorHAnsi"/>
          <w:color w:val="000000" w:themeColor="text1"/>
          <w:spacing w:val="30"/>
          <w:sz w:val="24"/>
          <w:szCs w:val="24"/>
        </w:rPr>
        <w:t>Puławiaków</w:t>
      </w:r>
      <w:proofErr w:type="spellEnd"/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 w Sandomierzu nie należy uwzględniać montażu tablicy informacyjnej?”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Odpowiedź:</w:t>
      </w:r>
    </w:p>
    <w:p w:rsidR="00F824AE" w:rsidRPr="00B200DD" w:rsidRDefault="00F824AE" w:rsidP="00B200DD">
      <w:pPr>
        <w:spacing w:after="0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Zamawiający informuje, że w wycenie dotyczącej modernizacji wszystkich dróg wystarczy uwzględnić montaż tylko jednej tablicy informacyjnej.  Miejsce ustawienia tablicy Zamawiający wskaże na etapie realizacji robót. </w:t>
      </w:r>
    </w:p>
    <w:p w:rsidR="00F824AE" w:rsidRPr="00B200DD" w:rsidRDefault="00F824A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Pytanie nr 9: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„Dotyczy remontu ul. A. Frycza-Modrzewskiego w Sandomierzu. W związku z rozbieżnością pomiędzy przekrojem charakterystycznym, a przedmiarem prosimy o określenie czy w wycenie należy uwzględnić wyrównanie mieszanką bitumiczną grubości 5cm 125kg/m2 czy grubości 4cm 100kg/m2?”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Odpowiedź:</w:t>
      </w:r>
    </w:p>
    <w:p w:rsidR="00F824AE" w:rsidRPr="00B200DD" w:rsidRDefault="00F824AE" w:rsidP="00B200DD">
      <w:pPr>
        <w:spacing w:after="0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Zamawiający informuje, że w wycenie należy uwzględnić wyrównanie nawierzchni mieszanką bitumiczną w ilości 100kg/m2 (średnio). 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lastRenderedPageBreak/>
        <w:t>Pytanie nr 10: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„Czy Zamawiający dopuści wykonanie kanalizacji deszczowej z rur o karbowanej ściance zewnętrznej przy zachowaniu sztywności obwodowej SN8?”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Odpowiedź:</w:t>
      </w:r>
    </w:p>
    <w:p w:rsidR="00F824AE" w:rsidRPr="00B200DD" w:rsidRDefault="00F824AE" w:rsidP="00B200DD">
      <w:pPr>
        <w:spacing w:after="0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Zamawiający informuje, że dopuszcza wykonanie kanalizacji deszczowej z rur o karbowanej ściance zewnętrznej przy zachowaniu sztywności obwodowej min. SN8</w:t>
      </w:r>
    </w:p>
    <w:p w:rsidR="00F824AE" w:rsidRPr="00B200DD" w:rsidRDefault="00F824A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Pytanie nr 11:</w:t>
      </w:r>
    </w:p>
    <w:p w:rsidR="00CF3D6E" w:rsidRPr="00B200DD" w:rsidRDefault="00CF3D6E" w:rsidP="00B200DD">
      <w:pPr>
        <w:spacing w:line="240" w:lineRule="auto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„Czy w wycenie należy uwzględnić zabezpieczenie istniejących sieci? Jeśli tak prosimy o wskazanie ilości”.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Odpowiedź:</w:t>
      </w:r>
    </w:p>
    <w:p w:rsidR="00F824AE" w:rsidRPr="00B200DD" w:rsidRDefault="00F824AE" w:rsidP="00B200DD">
      <w:pPr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>Zamawiający informuje, że zamówieniem objęte są roboty o charakterze remontowym (nakładki nawierzchn</w:t>
      </w:r>
      <w:r w:rsidR="00107152" w:rsidRPr="00B200DD">
        <w:rPr>
          <w:rFonts w:cstheme="minorHAnsi"/>
          <w:color w:val="000000" w:themeColor="text1"/>
          <w:spacing w:val="30"/>
          <w:sz w:val="24"/>
          <w:szCs w:val="24"/>
        </w:rPr>
        <w:t>i bitumicznych), które nie wiążą</w:t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 się z koniecznością zabezpieczenia sieci. W przypadku ulicy Staromiejskiej konieczne może być zabezpieczenie istniejących sieci (dotyczy wyłącznie przewodów elektroenergetycznych oraz gazowych) w związku z przebudową kanalizacji deszczowej.  Ilości należy szacować wg załączonej dokumentacji (mapa załączona przy projekcie</w:t>
      </w:r>
      <w:r w:rsidR="00107152" w:rsidRPr="00B200DD">
        <w:rPr>
          <w:rFonts w:cstheme="minorHAnsi"/>
          <w:color w:val="000000" w:themeColor="text1"/>
          <w:spacing w:val="30"/>
          <w:sz w:val="24"/>
          <w:szCs w:val="24"/>
        </w:rPr>
        <w:br/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 ul. Słonecznej/Staromiejskiej).</w:t>
      </w:r>
    </w:p>
    <w:p w:rsidR="00015C7D" w:rsidRPr="00B200DD" w:rsidRDefault="00015C7D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Pytanie nr 12: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„Czy w wycenie należy uwzględnić wzmocnienie gruntu pod chodnikami dodatkową stabilizacją lub zwiększoną grubością warstwy z kruszywa jeżeli podłożenie nie osiągnie 80 </w:t>
      </w:r>
      <w:proofErr w:type="spellStart"/>
      <w:r w:rsidRPr="00B200DD">
        <w:rPr>
          <w:rFonts w:cstheme="minorHAnsi"/>
          <w:color w:val="000000" w:themeColor="text1"/>
          <w:spacing w:val="30"/>
          <w:sz w:val="24"/>
          <w:szCs w:val="24"/>
        </w:rPr>
        <w:t>MPa</w:t>
      </w:r>
      <w:proofErr w:type="spellEnd"/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? Prosimy </w:t>
      </w:r>
      <w:r w:rsidR="00107152" w:rsidRPr="00B200DD">
        <w:rPr>
          <w:rFonts w:cstheme="minorHAnsi"/>
          <w:color w:val="000000" w:themeColor="text1"/>
          <w:spacing w:val="30"/>
          <w:sz w:val="24"/>
          <w:szCs w:val="24"/>
        </w:rPr>
        <w:br/>
      </w:r>
      <w:r w:rsidRPr="00B200DD">
        <w:rPr>
          <w:rFonts w:cstheme="minorHAnsi"/>
          <w:color w:val="000000" w:themeColor="text1"/>
          <w:spacing w:val="30"/>
          <w:sz w:val="24"/>
          <w:szCs w:val="24"/>
        </w:rPr>
        <w:t>o wskazanie ilości”.</w:t>
      </w:r>
    </w:p>
    <w:p w:rsidR="00CF3D6E" w:rsidRPr="00B200DD" w:rsidRDefault="00CF3D6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  <w:r w:rsidRPr="00B200DD"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  <w:t>Odpowiedź:</w:t>
      </w:r>
    </w:p>
    <w:p w:rsidR="00F824AE" w:rsidRPr="00B200DD" w:rsidRDefault="00F824AE" w:rsidP="00B200DD">
      <w:pPr>
        <w:spacing w:after="0"/>
        <w:rPr>
          <w:rFonts w:cstheme="minorHAnsi"/>
          <w:color w:val="000000" w:themeColor="text1"/>
          <w:spacing w:val="30"/>
          <w:sz w:val="24"/>
          <w:szCs w:val="24"/>
        </w:rPr>
      </w:pPr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Zamawiający informuje, że w wycenie nie należy uwzględniać konieczności wzmocnienia podłoża pod chodnikami na potrzeby osiągnięcia nośności 80 </w:t>
      </w:r>
      <w:proofErr w:type="spellStart"/>
      <w:r w:rsidRPr="00B200DD">
        <w:rPr>
          <w:rFonts w:cstheme="minorHAnsi"/>
          <w:color w:val="000000" w:themeColor="text1"/>
          <w:spacing w:val="30"/>
          <w:sz w:val="24"/>
          <w:szCs w:val="24"/>
        </w:rPr>
        <w:t>MPa</w:t>
      </w:r>
      <w:proofErr w:type="spellEnd"/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. Minimalną wartość nośności podłoża pod chodnikiem określa się na poziomie 50 </w:t>
      </w:r>
      <w:proofErr w:type="spellStart"/>
      <w:r w:rsidRPr="00B200DD">
        <w:rPr>
          <w:rFonts w:cstheme="minorHAnsi"/>
          <w:color w:val="000000" w:themeColor="text1"/>
          <w:spacing w:val="30"/>
          <w:sz w:val="24"/>
          <w:szCs w:val="24"/>
        </w:rPr>
        <w:t>MPa</w:t>
      </w:r>
      <w:proofErr w:type="spellEnd"/>
      <w:r w:rsidRPr="00B200DD">
        <w:rPr>
          <w:rFonts w:cstheme="minorHAnsi"/>
          <w:color w:val="000000" w:themeColor="text1"/>
          <w:spacing w:val="30"/>
          <w:sz w:val="24"/>
          <w:szCs w:val="24"/>
        </w:rPr>
        <w:t xml:space="preserve">. </w:t>
      </w:r>
    </w:p>
    <w:p w:rsidR="00F824AE" w:rsidRPr="00B200DD" w:rsidRDefault="00F824AE" w:rsidP="00B200DD">
      <w:pPr>
        <w:spacing w:line="240" w:lineRule="auto"/>
        <w:rPr>
          <w:rFonts w:cstheme="minorHAnsi"/>
          <w:b/>
          <w:color w:val="000000" w:themeColor="text1"/>
          <w:spacing w:val="30"/>
          <w:sz w:val="24"/>
          <w:szCs w:val="24"/>
          <w:u w:val="single"/>
        </w:rPr>
      </w:pPr>
    </w:p>
    <w:p w:rsidR="00CF3D6E" w:rsidRPr="00B200DD" w:rsidRDefault="00CF3D6E" w:rsidP="00B200D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4A1888" w:rsidRPr="00B200DD" w:rsidRDefault="004A1888" w:rsidP="00B200D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BE026A" w:rsidRPr="00B200DD" w:rsidRDefault="00BE026A" w:rsidP="00B200DD">
      <w:pPr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4A1888" w:rsidRPr="00B200DD" w:rsidRDefault="004A1888" w:rsidP="00B200DD">
      <w:pPr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4A1888" w:rsidRPr="00B200DD" w:rsidRDefault="004A1888" w:rsidP="00B200DD">
      <w:pPr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4A1888" w:rsidRPr="00B200DD" w:rsidRDefault="004A1888" w:rsidP="00B200DD">
      <w:pPr>
        <w:spacing w:after="0" w:line="240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CF3D6E" w:rsidRPr="00B200DD" w:rsidRDefault="00CF3D6E" w:rsidP="00B200DD">
      <w:pPr>
        <w:spacing w:after="0" w:line="276" w:lineRule="auto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DA3D45" w:rsidRPr="00B200DD" w:rsidRDefault="00DA3D45" w:rsidP="00B200DD">
      <w:pPr>
        <w:spacing w:line="276" w:lineRule="auto"/>
        <w:ind w:firstLine="708"/>
        <w:rPr>
          <w:rFonts w:eastAsia="Times New Roman" w:cstheme="minorHAnsi"/>
          <w:bCs/>
          <w:spacing w:val="30"/>
          <w:sz w:val="24"/>
          <w:szCs w:val="24"/>
          <w:lang w:eastAsia="pl-PL"/>
        </w:rPr>
      </w:pPr>
      <w:r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Ponadto  Zamawiający informuje  że: </w:t>
      </w:r>
    </w:p>
    <w:p w:rsidR="00896A05" w:rsidRPr="00B200DD" w:rsidRDefault="00DA3D45" w:rsidP="00B200DD">
      <w:pPr>
        <w:spacing w:after="0" w:line="254" w:lineRule="auto"/>
        <w:rPr>
          <w:rFonts w:cstheme="minorHAnsi"/>
          <w:b/>
          <w:bCs/>
          <w:iCs/>
          <w:color w:val="000000" w:themeColor="text1"/>
          <w:spacing w:val="30"/>
          <w:sz w:val="24"/>
          <w:szCs w:val="24"/>
        </w:rPr>
      </w:pPr>
      <w:r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-  zmianie ulegają zapisy treści SWZ tj. zał. nr 9 do SWZ - Dokumentacja techniczna. Zmiana </w:t>
      </w:r>
      <w:r w:rsidR="00015C7D"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polega na dodaniu  załącznika </w:t>
      </w:r>
      <w:r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pn. „Projekt Stałej Organizacji Ruchu </w:t>
      </w:r>
      <w:r w:rsidR="00896A05"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dla dróg gminnych </w:t>
      </w:r>
      <w:r w:rsidR="00015C7D"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realizowanych </w:t>
      </w:r>
      <w:r w:rsidR="00896A05"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 w ramach zadania pn. </w:t>
      </w:r>
      <w:r w:rsidR="00896A05" w:rsidRPr="00B200DD">
        <w:rPr>
          <w:rFonts w:cstheme="minorHAnsi"/>
          <w:b/>
          <w:bCs/>
          <w:iCs/>
          <w:color w:val="000000" w:themeColor="text1"/>
          <w:spacing w:val="30"/>
          <w:sz w:val="24"/>
          <w:szCs w:val="24"/>
        </w:rPr>
        <w:t>„Modernizacja infrastruktury drogowej na terenie Sandomierza”.</w:t>
      </w:r>
    </w:p>
    <w:p w:rsidR="00DA3D45" w:rsidRPr="00B200DD" w:rsidRDefault="00DA3D45" w:rsidP="00B200DD">
      <w:pPr>
        <w:spacing w:after="0" w:line="276" w:lineRule="auto"/>
        <w:rPr>
          <w:rFonts w:eastAsia="Times New Roman" w:cstheme="minorHAnsi"/>
          <w:bCs/>
          <w:spacing w:val="30"/>
          <w:sz w:val="24"/>
          <w:szCs w:val="24"/>
          <w:lang w:eastAsia="pl-PL"/>
        </w:rPr>
      </w:pPr>
    </w:p>
    <w:p w:rsidR="00BE026A" w:rsidRPr="00B200DD" w:rsidRDefault="00DA3D45" w:rsidP="00B200DD">
      <w:pPr>
        <w:spacing w:after="0" w:line="276" w:lineRule="auto"/>
        <w:ind w:firstLine="708"/>
        <w:rPr>
          <w:rFonts w:eastAsia="Times New Roman" w:cstheme="minorHAns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>W załączeniu do wyjaśnień i zmiany zapisów treści SWZ -   zał. nr 9 do SWZ –</w:t>
      </w:r>
      <w:r w:rsidR="00F824AE"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 </w:t>
      </w:r>
      <w:r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>Dokumentacja techniczna po zmianach</w:t>
      </w:r>
      <w:r w:rsidR="00015C7D" w:rsidRPr="00B200DD">
        <w:rPr>
          <w:rFonts w:eastAsia="Times New Roman" w:cstheme="minorHAnsi"/>
          <w:bCs/>
          <w:spacing w:val="30"/>
          <w:sz w:val="24"/>
          <w:szCs w:val="24"/>
          <w:lang w:eastAsia="pl-PL"/>
        </w:rPr>
        <w:t xml:space="preserve"> z dn. 17.06.2024r.</w:t>
      </w:r>
    </w:p>
    <w:p w:rsidR="00BE026A" w:rsidRPr="00B200DD" w:rsidRDefault="00BE026A" w:rsidP="00B200DD">
      <w:pPr>
        <w:pStyle w:val="Bezodstpw"/>
        <w:spacing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</w:p>
    <w:p w:rsidR="00BE026A" w:rsidRPr="00B200DD" w:rsidRDefault="00BE026A" w:rsidP="00B200DD">
      <w:pPr>
        <w:pStyle w:val="Bezodstpw"/>
        <w:spacing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</w:p>
    <w:p w:rsidR="00CF3D6E" w:rsidRPr="00B200DD" w:rsidRDefault="00CF3D6E" w:rsidP="00B200DD">
      <w:pPr>
        <w:pStyle w:val="Bezodstpw"/>
        <w:spacing w:line="276" w:lineRule="auto"/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</w:pPr>
      <w:r w:rsidRPr="00B200DD">
        <w:rPr>
          <w:rFonts w:eastAsia="Times New Roman" w:cstheme="minorHAnsi"/>
          <w:b/>
          <w:bCs/>
          <w:spacing w:val="30"/>
          <w:sz w:val="24"/>
          <w:szCs w:val="24"/>
          <w:lang w:eastAsia="pl-PL"/>
        </w:rPr>
        <w:t>Zmiany treści SWZ są wiążące dla wszystkich Wykonawców. Pozostałe zapisy SWZ pozostają bez zmian.</w:t>
      </w:r>
    </w:p>
    <w:p w:rsidR="00CF3D6E" w:rsidRPr="00B200DD" w:rsidRDefault="00CF3D6E" w:rsidP="00B200DD">
      <w:pPr>
        <w:rPr>
          <w:rFonts w:cstheme="minorHAnsi"/>
          <w:spacing w:val="30"/>
          <w:sz w:val="24"/>
          <w:szCs w:val="24"/>
        </w:rPr>
      </w:pPr>
    </w:p>
    <w:p w:rsidR="00C6389B" w:rsidRPr="00B200DD" w:rsidRDefault="001475DA" w:rsidP="00B200DD">
      <w:pPr>
        <w:rPr>
          <w:rFonts w:cstheme="minorHAnsi"/>
          <w:spacing w:val="30"/>
          <w:sz w:val="24"/>
          <w:szCs w:val="24"/>
        </w:rPr>
      </w:pPr>
    </w:p>
    <w:p w:rsidR="00B200DD" w:rsidRPr="00B200DD" w:rsidRDefault="00B200DD">
      <w:pPr>
        <w:rPr>
          <w:rFonts w:cstheme="minorHAnsi"/>
          <w:spacing w:val="30"/>
          <w:sz w:val="24"/>
          <w:szCs w:val="24"/>
        </w:rPr>
      </w:pPr>
    </w:p>
    <w:sectPr w:rsidR="00B200DD" w:rsidRPr="00B200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6A" w:rsidRDefault="00BE026A" w:rsidP="00BE026A">
      <w:pPr>
        <w:spacing w:after="0" w:line="240" w:lineRule="auto"/>
      </w:pPr>
      <w:r>
        <w:separator/>
      </w:r>
    </w:p>
  </w:endnote>
  <w:endnote w:type="continuationSeparator" w:id="0">
    <w:p w:rsidR="00BE026A" w:rsidRDefault="00BE026A" w:rsidP="00BE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1737"/>
      <w:docPartObj>
        <w:docPartGallery w:val="Page Numbers (Bottom of Page)"/>
        <w:docPartUnique/>
      </w:docPartObj>
    </w:sdtPr>
    <w:sdtEndPr/>
    <w:sdtContent>
      <w:p w:rsidR="00F30C2C" w:rsidRDefault="00C234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DA">
          <w:rPr>
            <w:noProof/>
          </w:rPr>
          <w:t>5</w:t>
        </w:r>
        <w:r>
          <w:fldChar w:fldCharType="end"/>
        </w:r>
      </w:p>
    </w:sdtContent>
  </w:sdt>
  <w:p w:rsidR="00F30C2C" w:rsidRDefault="00147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6A" w:rsidRDefault="00BE026A" w:rsidP="00BE026A">
      <w:pPr>
        <w:spacing w:after="0" w:line="240" w:lineRule="auto"/>
      </w:pPr>
      <w:r>
        <w:separator/>
      </w:r>
    </w:p>
  </w:footnote>
  <w:footnote w:type="continuationSeparator" w:id="0">
    <w:p w:rsidR="00BE026A" w:rsidRDefault="00BE026A" w:rsidP="00BE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72" w:rsidRPr="005008E5" w:rsidRDefault="00BE026A">
    <w:pPr>
      <w:pStyle w:val="Nagwek"/>
    </w:pPr>
    <w:r w:rsidRPr="00B200DD">
      <w:rPr>
        <w:rFonts w:ascii="Calibri" w:hAnsi="Calibri" w:cs="Calibri"/>
        <w:spacing w:val="30"/>
        <w:sz w:val="24"/>
        <w:szCs w:val="24"/>
      </w:rPr>
      <w:t>RZP.271.1.12.2024</w:t>
    </w:r>
    <w:r w:rsidR="00C23444" w:rsidRPr="00B200DD">
      <w:rPr>
        <w:rFonts w:ascii="Calibri" w:hAnsi="Calibri" w:cs="Calibri"/>
        <w:spacing w:val="30"/>
        <w:sz w:val="24"/>
        <w:szCs w:val="24"/>
      </w:rPr>
      <w:t xml:space="preserve">.MZI  </w:t>
    </w:r>
    <w:r w:rsidR="00C23444" w:rsidRPr="00B200DD">
      <w:rPr>
        <w:rFonts w:ascii="Calibri" w:hAnsi="Calibri" w:cs="Calibri"/>
        <w:spacing w:val="30"/>
        <w:sz w:val="24"/>
        <w:szCs w:val="24"/>
      </w:rPr>
      <w:tab/>
    </w:r>
    <w:r w:rsidR="00C23444" w:rsidRPr="00B200DD">
      <w:rPr>
        <w:rFonts w:ascii="Calibri" w:hAnsi="Calibri" w:cs="Calibri"/>
        <w:color w:val="000000" w:themeColor="text1"/>
        <w:spacing w:val="30"/>
        <w:sz w:val="24"/>
        <w:szCs w:val="24"/>
      </w:rPr>
      <w:tab/>
      <w:t>Sandomierz,</w:t>
    </w:r>
    <w:r w:rsidR="00731B28" w:rsidRPr="00B200DD">
      <w:rPr>
        <w:rFonts w:ascii="Calibri" w:hAnsi="Calibri" w:cs="Calibri"/>
        <w:color w:val="000000" w:themeColor="text1"/>
        <w:spacing w:val="30"/>
        <w:sz w:val="24"/>
        <w:szCs w:val="24"/>
      </w:rPr>
      <w:t xml:space="preserve"> </w:t>
    </w:r>
    <w:r w:rsidR="00C50D83" w:rsidRPr="00B200DD">
      <w:rPr>
        <w:rFonts w:ascii="Calibri" w:hAnsi="Calibri" w:cs="Calibri"/>
        <w:color w:val="000000" w:themeColor="text1"/>
        <w:spacing w:val="30"/>
        <w:sz w:val="24"/>
        <w:szCs w:val="24"/>
      </w:rPr>
      <w:t>17.06.</w:t>
    </w:r>
    <w:r w:rsidRPr="00B200DD">
      <w:rPr>
        <w:rFonts w:ascii="Calibri" w:hAnsi="Calibri" w:cs="Calibri"/>
        <w:color w:val="000000" w:themeColor="text1"/>
        <w:spacing w:val="30"/>
        <w:sz w:val="24"/>
        <w:szCs w:val="24"/>
      </w:rPr>
      <w:t>2024r</w:t>
    </w:r>
    <w:r w:rsidRPr="00F824AE">
      <w:rPr>
        <w:color w:val="000000" w:themeColor="text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D3A"/>
    <w:multiLevelType w:val="hybridMultilevel"/>
    <w:tmpl w:val="C77A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1760"/>
    <w:multiLevelType w:val="hybridMultilevel"/>
    <w:tmpl w:val="9E6E7048"/>
    <w:lvl w:ilvl="0" w:tplc="D2603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53407"/>
    <w:multiLevelType w:val="hybridMultilevel"/>
    <w:tmpl w:val="449A2382"/>
    <w:lvl w:ilvl="0" w:tplc="04150011">
      <w:start w:val="1"/>
      <w:numFmt w:val="decimal"/>
      <w:lvlText w:val="%1)"/>
      <w:lvlJc w:val="left"/>
      <w:pPr>
        <w:ind w:left="108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456E61"/>
    <w:multiLevelType w:val="hybridMultilevel"/>
    <w:tmpl w:val="5DE44B4C"/>
    <w:lvl w:ilvl="0" w:tplc="DD243B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943FC"/>
    <w:multiLevelType w:val="hybridMultilevel"/>
    <w:tmpl w:val="A62E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B1979"/>
    <w:multiLevelType w:val="hybridMultilevel"/>
    <w:tmpl w:val="6BEA62F6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A09"/>
    <w:multiLevelType w:val="hybridMultilevel"/>
    <w:tmpl w:val="2932ED78"/>
    <w:lvl w:ilvl="0" w:tplc="9E8013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0C20"/>
    <w:multiLevelType w:val="hybridMultilevel"/>
    <w:tmpl w:val="9DD460DC"/>
    <w:lvl w:ilvl="0" w:tplc="2B9EA1B2">
      <w:start w:val="1"/>
      <w:numFmt w:val="decimal"/>
      <w:lvlText w:val="%1."/>
      <w:lvlJc w:val="left"/>
      <w:pPr>
        <w:ind w:left="108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D210F2"/>
    <w:multiLevelType w:val="hybridMultilevel"/>
    <w:tmpl w:val="7A58F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21900"/>
    <w:multiLevelType w:val="hybridMultilevel"/>
    <w:tmpl w:val="9F6C8716"/>
    <w:lvl w:ilvl="0" w:tplc="EE6892A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D7EBA"/>
    <w:multiLevelType w:val="hybridMultilevel"/>
    <w:tmpl w:val="1A24173A"/>
    <w:lvl w:ilvl="0" w:tplc="5032E44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AC6636"/>
    <w:multiLevelType w:val="hybridMultilevel"/>
    <w:tmpl w:val="7F463C6E"/>
    <w:lvl w:ilvl="0" w:tplc="D7DEE71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6E"/>
    <w:rsid w:val="00015C7D"/>
    <w:rsid w:val="000357F7"/>
    <w:rsid w:val="00072AF8"/>
    <w:rsid w:val="00107152"/>
    <w:rsid w:val="001206FB"/>
    <w:rsid w:val="001475DA"/>
    <w:rsid w:val="003D33E4"/>
    <w:rsid w:val="003D7583"/>
    <w:rsid w:val="004A1888"/>
    <w:rsid w:val="00731B28"/>
    <w:rsid w:val="007C4C06"/>
    <w:rsid w:val="008224E5"/>
    <w:rsid w:val="00896A05"/>
    <w:rsid w:val="008C37B3"/>
    <w:rsid w:val="00B200DD"/>
    <w:rsid w:val="00BE026A"/>
    <w:rsid w:val="00BF1F07"/>
    <w:rsid w:val="00C23444"/>
    <w:rsid w:val="00C50D83"/>
    <w:rsid w:val="00CF3D6E"/>
    <w:rsid w:val="00DA3D45"/>
    <w:rsid w:val="00DB2A89"/>
    <w:rsid w:val="00EC5B4B"/>
    <w:rsid w:val="00F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D6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3D6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F3D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6E"/>
  </w:style>
  <w:style w:type="paragraph" w:styleId="Stopka">
    <w:name w:val="footer"/>
    <w:basedOn w:val="Normalny"/>
    <w:link w:val="StopkaZnak"/>
    <w:uiPriority w:val="99"/>
    <w:unhideWhenUsed/>
    <w:rsid w:val="00CF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6E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3D6E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CF3D6E"/>
  </w:style>
  <w:style w:type="paragraph" w:styleId="Tekstdymka">
    <w:name w:val="Balloon Text"/>
    <w:basedOn w:val="Normalny"/>
    <w:link w:val="TekstdymkaZnak"/>
    <w:uiPriority w:val="99"/>
    <w:semiHidden/>
    <w:unhideWhenUsed/>
    <w:rsid w:val="003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D6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3D6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F3D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6E"/>
  </w:style>
  <w:style w:type="paragraph" w:styleId="Stopka">
    <w:name w:val="footer"/>
    <w:basedOn w:val="Normalny"/>
    <w:link w:val="StopkaZnak"/>
    <w:uiPriority w:val="99"/>
    <w:unhideWhenUsed/>
    <w:rsid w:val="00CF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6E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3D6E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CF3D6E"/>
  </w:style>
  <w:style w:type="paragraph" w:styleId="Tekstdymka">
    <w:name w:val="Balloon Text"/>
    <w:basedOn w:val="Normalny"/>
    <w:link w:val="TekstdymkaZnak"/>
    <w:uiPriority w:val="99"/>
    <w:semiHidden/>
    <w:unhideWhenUsed/>
    <w:rsid w:val="003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16</cp:revision>
  <cp:lastPrinted>2024-06-17T11:24:00Z</cp:lastPrinted>
  <dcterms:created xsi:type="dcterms:W3CDTF">2024-06-14T10:51:00Z</dcterms:created>
  <dcterms:modified xsi:type="dcterms:W3CDTF">2024-06-17T12:51:00Z</dcterms:modified>
</cp:coreProperties>
</file>