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E9458F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8080A">
        <w:rPr>
          <w:rFonts w:ascii="Times New Roman" w:hAnsi="Times New Roman" w:cs="Times New Roman"/>
          <w:b/>
          <w:bCs/>
          <w:color w:val="000000"/>
          <w:sz w:val="24"/>
          <w:szCs w:val="24"/>
        </w:rPr>
        <w:t>1</w:t>
      </w:r>
      <w:r w:rsidR="00FE0548">
        <w:rPr>
          <w:rFonts w:ascii="Times New Roman" w:hAnsi="Times New Roman" w:cs="Times New Roman"/>
          <w:b/>
          <w:bCs/>
          <w:color w:val="000000"/>
          <w:sz w:val="24"/>
          <w:szCs w:val="24"/>
        </w:rPr>
        <w:t>2.</w:t>
      </w:r>
      <w:r w:rsidR="0018080A">
        <w:rPr>
          <w:rFonts w:ascii="Times New Roman" w:hAnsi="Times New Roman" w:cs="Times New Roman"/>
          <w:b/>
          <w:bCs/>
          <w:color w:val="000000"/>
          <w:sz w:val="24"/>
          <w:szCs w:val="24"/>
        </w:rPr>
        <w:t>01</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297124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8080A">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B9C4C1D"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drogi gminnej w miejscowości Ośno łącząca drogę wojewódzką nr 266 z drogą gminną nr 160217C i drogą powiatową nr 2605C </w:t>
      </w:r>
      <w:r w:rsidR="00EF6B21" w:rsidRPr="00FF6A07">
        <w:rPr>
          <w:rFonts w:ascii="Times New Roman" w:hAnsi="Times New Roman"/>
          <w:b/>
          <w:sz w:val="24"/>
          <w:szCs w:val="24"/>
        </w:rPr>
        <w:t xml:space="preserve">wraz z pełnieniem nadzoru autorskiego dla inwestycji </w:t>
      </w:r>
      <w:r w:rsidR="00EF6B21">
        <w:rPr>
          <w:rFonts w:ascii="Times New Roman" w:hAnsi="Times New Roman"/>
          <w:b/>
          <w:sz w:val="24"/>
          <w:szCs w:val="24"/>
        </w:rPr>
        <w:t>drogow</w:t>
      </w:r>
      <w:r w:rsidR="0018080A">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Pr="00455A09" w:rsidRDefault="0018080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689C2604" w14:textId="77777777" w:rsidR="00FE0548" w:rsidRPr="00FE0548" w:rsidRDefault="002A61AB">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drogi gminnej w miejscowości Ośno łącząca drogę wojewódzką nr 266 z drogą gminną nr 160217C i drogą powiatową nr 2605C wraz z pełnieniem nadzoru autorskiego dla inwestycji drogowej w Gminie Aleksandrów Kujawski </w:t>
      </w:r>
      <w:r w:rsidR="00FE0548" w:rsidRPr="00FE0548">
        <w:rPr>
          <w:rFonts w:cs="Times New Roman"/>
          <w:sz w:val="22"/>
          <w:szCs w:val="22"/>
        </w:rPr>
        <w:t>o długości ok. 1130mb (1KDL) oraz ok. 175mb (2KDD)</w:t>
      </w:r>
      <w:r w:rsidR="0018080A" w:rsidRPr="00FE0548">
        <w:rPr>
          <w:sz w:val="22"/>
          <w:szCs w:val="22"/>
        </w:rPr>
        <w:t>.</w:t>
      </w:r>
      <w:bookmarkEnd w:id="2"/>
    </w:p>
    <w:p w14:paraId="3E9BBA45" w14:textId="77777777" w:rsidR="00FE0548" w:rsidRPr="00FE0548" w:rsidRDefault="009112DB">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cs="Times New Roman"/>
          <w:sz w:val="22"/>
          <w:szCs w:val="22"/>
        </w:rPr>
        <w:t>Projektowana</w:t>
      </w:r>
      <w:r w:rsidRPr="00FE0548">
        <w:rPr>
          <w:rFonts w:eastAsiaTheme="minorHAnsi" w:cs="Times New Roman"/>
          <w:color w:val="000000"/>
          <w:sz w:val="22"/>
          <w:szCs w:val="22"/>
        </w:rPr>
        <w:t xml:space="preserve"> droga przeznaczona jest dla ruchu ciężkiego, obsługująca strefę SOG-o.</w:t>
      </w:r>
    </w:p>
    <w:p w14:paraId="678D95F4" w14:textId="1CADDBA7" w:rsidR="00FE0548" w:rsidRPr="00DC3E6C" w:rsidRDefault="00DC3E6C">
      <w:pPr>
        <w:pStyle w:val="NormalnyWeb"/>
        <w:numPr>
          <w:ilvl w:val="0"/>
          <w:numId w:val="49"/>
        </w:numPr>
        <w:tabs>
          <w:tab w:val="left" w:pos="284"/>
        </w:tabs>
        <w:suppressAutoHyphens w:val="0"/>
        <w:spacing w:before="0" w:after="0"/>
        <w:ind w:left="0" w:firstLine="0"/>
        <w:rPr>
          <w:rFonts w:cs="Times New Roman"/>
          <w:sz w:val="22"/>
          <w:szCs w:val="22"/>
        </w:rPr>
      </w:pPr>
      <w:r w:rsidRPr="00DC3E6C">
        <w:rPr>
          <w:rFonts w:cs="Times New Roman"/>
          <w:sz w:val="22"/>
          <w:szCs w:val="22"/>
        </w:rPr>
        <w:t xml:space="preserve">W dokumentacji projektowej należy uwzględnić budowę kanału technologicznego, budowę oświetlenia drogowego, budowę drogi oraz parkingów, zjazdów, ciągu pieszo-rowerowego, odwodnienia (kanalizacji deszczowej lub alternatywnego), sanitarnej oraz wodociągowej. </w:t>
      </w:r>
      <w:r w:rsidRPr="00DC3E6C">
        <w:rPr>
          <w:rFonts w:eastAsiaTheme="minorHAnsi" w:cs="Times New Roman"/>
          <w:color w:val="000000"/>
          <w:sz w:val="22"/>
          <w:szCs w:val="22"/>
        </w:rPr>
        <w:t xml:space="preserve"> </w:t>
      </w:r>
    </w:p>
    <w:p w14:paraId="049B00E3" w14:textId="77777777" w:rsidR="00FE0548"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 wzór umowy oraz </w:t>
      </w:r>
      <w:r w:rsidR="00FE0548" w:rsidRPr="00FE0548">
        <w:rPr>
          <w:rFonts w:eastAsiaTheme="minorHAnsi" w:cs="Times New Roman"/>
          <w:color w:val="000000"/>
          <w:sz w:val="22"/>
          <w:szCs w:val="22"/>
        </w:rPr>
        <w:t xml:space="preserve">Uchwała nr XIX/186/12 Rady Gminy Aleksandrów Kujawski </w:t>
      </w:r>
      <w:r w:rsidR="003E0414" w:rsidRPr="00FE0548">
        <w:rPr>
          <w:rFonts w:eastAsiaTheme="minorHAnsi" w:cs="Times New Roman"/>
          <w:color w:val="000000"/>
          <w:sz w:val="22"/>
          <w:szCs w:val="22"/>
        </w:rPr>
        <w:t xml:space="preserve"> </w:t>
      </w:r>
      <w:r w:rsidR="00FE0548" w:rsidRPr="00FE0548">
        <w:rPr>
          <w:rFonts w:eastAsiaTheme="minorHAnsi" w:cs="Times New Roman"/>
          <w:color w:val="000000"/>
          <w:sz w:val="22"/>
          <w:szCs w:val="22"/>
        </w:rPr>
        <w:t xml:space="preserve">z dnia 26.11.2012 r. w sprawie uchwalenia miejscowego planu zagospodarowania przestrzennego dla obszaru położonego w obrębie ewidencyjnym Ośno, gmina Aleksandrów Kujawski </w:t>
      </w:r>
      <w:r w:rsidR="003E0414" w:rsidRPr="00FE0548">
        <w:rPr>
          <w:rFonts w:eastAsiaTheme="minorHAnsi" w:cs="Times New Roman"/>
          <w:color w:val="000000"/>
          <w:sz w:val="22"/>
          <w:szCs w:val="22"/>
        </w:rPr>
        <w:t xml:space="preserve">– załącznik nr </w:t>
      </w:r>
      <w:r w:rsidR="005B11E1" w:rsidRPr="00FE0548">
        <w:rPr>
          <w:rFonts w:eastAsiaTheme="minorHAnsi" w:cs="Times New Roman"/>
          <w:color w:val="000000"/>
          <w:sz w:val="22"/>
          <w:szCs w:val="22"/>
        </w:rPr>
        <w:t>9</w:t>
      </w:r>
      <w:r w:rsidR="003E0414" w:rsidRPr="00FE0548">
        <w:rPr>
          <w:rFonts w:eastAsiaTheme="minorHAnsi" w:cs="Times New Roman"/>
          <w:color w:val="000000"/>
          <w:sz w:val="22"/>
          <w:szCs w:val="22"/>
        </w:rPr>
        <w:t xml:space="preserve"> do SWZ</w:t>
      </w:r>
      <w:r w:rsidR="00743246" w:rsidRPr="00FE0548">
        <w:rPr>
          <w:rFonts w:eastAsiaTheme="minorHAnsi" w:cs="Times New Roman"/>
          <w:color w:val="000000"/>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Wykonanie i opracowanie kompletnej dokumentacji projektowej dla ww inwestycji obejmuje:</w:t>
      </w:r>
    </w:p>
    <w:p w14:paraId="55CD4A96" w14:textId="39F214D8"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r w:rsidR="004A09A1">
        <w:rPr>
          <w:rFonts w:ascii="Times New Roman" w:hAnsi="Times New Roman"/>
        </w:rPr>
        <w:t xml:space="preserve"> dla każdej branży</w:t>
      </w:r>
      <w:r w:rsidRPr="006057C9">
        <w:rPr>
          <w:rFonts w:ascii="Times New Roman" w:hAnsi="Times New Roman"/>
        </w:rPr>
        <w:t>,</w:t>
      </w:r>
    </w:p>
    <w:p w14:paraId="3FB34F82" w14:textId="4E47ED5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4A09A1">
        <w:rPr>
          <w:rFonts w:ascii="Times New Roman" w:hAnsi="Times New Roman"/>
        </w:rPr>
        <w:t xml:space="preserve"> </w:t>
      </w:r>
      <w:r w:rsidR="004A09A1">
        <w:rPr>
          <w:rFonts w:ascii="Times New Roman" w:hAnsi="Times New Roman"/>
        </w:rPr>
        <w:t>dla każdej branży</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dokumentacji. </w:t>
      </w:r>
    </w:p>
    <w:p w14:paraId="77B876FD" w14:textId="2A9618FA" w:rsidR="00D21619" w:rsidRPr="00237E7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Dokumentacja projektowa </w:t>
      </w:r>
      <w:r w:rsidRPr="00237E79">
        <w:rPr>
          <w:rFonts w:ascii="Times New Roman" w:hAnsi="Times New Roman"/>
        </w:rPr>
        <w:t>będąca przedmiotem zamówienia winna obejmować w zależności od potrzeb wynikających z otrzymanych warunków, uzgodnień oraz przyjętych rozwiązań projektowych wykonanie i przekazanie Zamawiającemu prac w następującym zakresie:</w:t>
      </w:r>
    </w:p>
    <w:p w14:paraId="7AB9C03E" w14:textId="35EEFE1B"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budowlano-wykonawczego – 5 egz. w formie papierowej</w:t>
      </w:r>
      <w:r w:rsidR="004A09A1">
        <w:rPr>
          <w:rFonts w:ascii="Times New Roman" w:hAnsi="Times New Roman"/>
        </w:rPr>
        <w:t xml:space="preserve"> dla każdej branży zgodnie z zapisami działu 3 ust. 3 SWZ</w:t>
      </w:r>
      <w:r w:rsidRPr="00237E79">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77777777"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2021 r. poz. 2351</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Default="004A09A1">
      <w:pPr>
        <w:pStyle w:val="Akapitzlist"/>
        <w:widowControl/>
        <w:numPr>
          <w:ilvl w:val="0"/>
          <w:numId w:val="41"/>
        </w:numPr>
        <w:autoSpaceDE/>
        <w:autoSpaceDN/>
        <w:spacing w:before="0"/>
        <w:rPr>
          <w:rFonts w:ascii="Times New Roman" w:hAnsi="Times New Roman"/>
        </w:rPr>
      </w:pPr>
      <w:r>
        <w:rPr>
          <w:rFonts w:ascii="Times New Roman" w:hAnsi="Times New Roman"/>
        </w:rPr>
        <w:t xml:space="preserve">ustawą z dnia 20 lipca 2017 r. Prawo wodne </w:t>
      </w:r>
      <w:r w:rsidR="0039478C">
        <w:rPr>
          <w:rFonts w:ascii="Times New Roman" w:hAnsi="Times New Roman"/>
        </w:rPr>
        <w:t>(Dz. U. z 2022 r., poz. 2625 ze zm.),</w:t>
      </w:r>
    </w:p>
    <w:p w14:paraId="0E4AE462" w14:textId="7A73168F" w:rsidR="0039478C" w:rsidRPr="0039478C" w:rsidRDefault="0039478C" w:rsidP="0039478C">
      <w:pPr>
        <w:widowControl/>
        <w:numPr>
          <w:ilvl w:val="0"/>
          <w:numId w:val="41"/>
        </w:numPr>
        <w:autoSpaceDE/>
        <w:jc w:val="both"/>
        <w:rPr>
          <w:rFonts w:ascii="Times New Roman" w:hAnsi="Times New Roman" w:cs="Times New Roman"/>
        </w:rPr>
      </w:pPr>
      <w:r w:rsidRPr="0039478C">
        <w:rPr>
          <w:rFonts w:ascii="Times New Roman" w:hAnsi="Times New Roman" w:cs="Times New Roman"/>
        </w:rPr>
        <w:t>Rozporządzeniem Rady Ministrów z dnia 10 września 2019</w:t>
      </w:r>
      <w:r>
        <w:rPr>
          <w:rFonts w:ascii="Times New Roman" w:hAnsi="Times New Roman" w:cs="Times New Roman"/>
        </w:rPr>
        <w:t xml:space="preserve"> r</w:t>
      </w:r>
      <w:r w:rsidRPr="0039478C">
        <w:rPr>
          <w:rFonts w:ascii="Times New Roman" w:hAnsi="Times New Roman" w:cs="Times New Roman"/>
        </w:rPr>
        <w:t>. w sprawie przedsięwzięć mogących znacząco oddziaływać na środowisko (Dz. U. z 2019, poz. 1839 ze zm.)</w:t>
      </w:r>
      <w:r>
        <w:rPr>
          <w:rFonts w:ascii="Times New Roman" w:hAnsi="Times New Roman" w:cs="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lastRenderedPageBreak/>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436CA3C2" w14:textId="77777777" w:rsidR="00D21619" w:rsidRPr="00AA11D8" w:rsidRDefault="00D21619">
      <w:pPr>
        <w:pStyle w:val="Akapitzlist"/>
        <w:widowControl/>
        <w:numPr>
          <w:ilvl w:val="0"/>
          <w:numId w:val="89"/>
        </w:numPr>
        <w:tabs>
          <w:tab w:val="left" w:pos="284"/>
        </w:tabs>
        <w:adjustRightInd w:val="0"/>
        <w:ind w:left="0" w:firstLine="0"/>
        <w:rPr>
          <w:rFonts w:ascii="Times New Roman" w:eastAsiaTheme="minorHAnsi" w:hAnsi="Times New Roman" w:cs="Times New Roman"/>
          <w:color w:val="000000"/>
        </w:rPr>
      </w:pPr>
      <w:r w:rsidRPr="000867C8">
        <w:rPr>
          <w:rFonts w:ascii="Times New Roman" w:eastAsiaTheme="minorHAnsi" w:hAnsi="Times New Roman" w:cs="Times New Roman"/>
        </w:rPr>
        <w:t xml:space="preserve">Wizja lokalna ma charakter wyłącznie fakultatywny. </w:t>
      </w:r>
      <w:r w:rsidRPr="000867C8">
        <w:rPr>
          <w:rFonts w:ascii="Times New Roman" w:hAnsi="Times New Roman" w:cs="Times New Roman"/>
        </w:rPr>
        <w:t>Zaleca się wykonawcom dokonanie wizji lokalnej w terenie, dla którego będzie realizowany przedmiot zamówienia, w celu uzyskania informacji niezbędnych do przygotowania oferty oraz zawarcia umowy i wykonania zamówienia.</w:t>
      </w:r>
      <w:r>
        <w:rPr>
          <w:rFonts w:ascii="Times New Roman" w:hAnsi="Times New Roman" w:cs="Times New Roman"/>
        </w:rPr>
        <w:t xml:space="preserve"> </w:t>
      </w:r>
      <w:r w:rsidRPr="000867C8">
        <w:rPr>
          <w:rFonts w:ascii="Times New Roman" w:eastAsiaTheme="minorHAnsi" w:hAnsi="Times New Roman" w:cs="Times New Roman"/>
        </w:rPr>
        <w:t>Termin wizji lokalnej i szczegóły techniczne jej przeprowadzenia wymagają uzgodnienia z Zamawiającym.</w:t>
      </w:r>
    </w:p>
    <w:p w14:paraId="39D31A7A" w14:textId="77777777" w:rsidR="00D21619" w:rsidRPr="00AA11D8" w:rsidRDefault="00D21619">
      <w:pPr>
        <w:pStyle w:val="Akapitzlist"/>
        <w:widowControl/>
        <w:numPr>
          <w:ilvl w:val="0"/>
          <w:numId w:val="89"/>
        </w:numPr>
        <w:tabs>
          <w:tab w:val="left" w:pos="284"/>
        </w:tabs>
        <w:adjustRightInd w:val="0"/>
        <w:ind w:left="0" w:firstLine="0"/>
        <w:rPr>
          <w:rFonts w:ascii="Times New Roman" w:eastAsiaTheme="minorHAnsi" w:hAnsi="Times New Roman" w:cs="Times New Roman"/>
          <w:color w:val="000000"/>
        </w:rPr>
      </w:pPr>
      <w:r w:rsidRPr="00AA11D8">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1A64313" w:rsidR="00D21619" w:rsidRPr="00AB5F39" w:rsidRDefault="00D21619">
      <w:pPr>
        <w:pStyle w:val="Akapitzlist"/>
        <w:numPr>
          <w:ilvl w:val="0"/>
          <w:numId w:val="89"/>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C24FB5">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AA1651B" w:rsidR="00CB7D80" w:rsidRPr="00B57209" w:rsidRDefault="00FE0548" w:rsidP="00CB7D80">
      <w:pPr>
        <w:jc w:val="both"/>
        <w:rPr>
          <w:rFonts w:ascii="Times New Roman" w:hAnsi="Times New Roman" w:cs="Times New Roman"/>
          <w:b/>
        </w:rPr>
      </w:pPr>
      <w:r>
        <w:rPr>
          <w:rFonts w:ascii="Times New Roman" w:eastAsia="Calibri" w:hAnsi="Times New Roman" w:cs="Times New Roman"/>
          <w:b/>
          <w:color w:val="000000"/>
        </w:rPr>
        <w:t>11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t>
      </w:r>
      <w:r w:rsidR="00CB7D80" w:rsidRPr="0039478C">
        <w:rPr>
          <w:rFonts w:ascii="Times New Roman" w:eastAsia="Calibri" w:hAnsi="Times New Roman" w:cs="Times New Roman"/>
          <w:b/>
          <w:color w:val="000000"/>
        </w:rPr>
        <w:lastRenderedPageBreak/>
        <w:t xml:space="preserve">wykonujących czynności w trakcie realizacji zamówienia: </w:t>
      </w:r>
    </w:p>
    <w:p w14:paraId="095C54B8" w14:textId="75B16B94"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496FA7" w:rsidRPr="00496FA7">
        <w:rPr>
          <w:rFonts w:ascii="Times New Roman" w:hAnsi="Times New Roman"/>
          <w:b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r>
      <w:r w:rsidRPr="00B57209">
        <w:rPr>
          <w:rFonts w:ascii="Times New Roman" w:eastAsia="Calibri" w:hAnsi="Times New Roman" w:cs="Times New Roman"/>
          <w:bCs/>
          <w:color w:val="000000"/>
        </w:rPr>
        <w:lastRenderedPageBreak/>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44C07AAA"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F12634" w:rsidRPr="00496FA7">
        <w:rPr>
          <w:rFonts w:ascii="Times New Roman" w:hAnsi="Times New Roman" w:cs="Times New Roman"/>
        </w:rPr>
        <w:t>1</w:t>
      </w:r>
      <w:r w:rsidR="00496FA7">
        <w:rPr>
          <w:rFonts w:ascii="Times New Roman" w:hAnsi="Times New Roman" w:cs="Times New Roman"/>
        </w:rPr>
        <w:t>1</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415D69BB" w14:textId="004DE81C" w:rsidR="00496FA7" w:rsidRDefault="00496FA7" w:rsidP="00495C0E">
      <w:pPr>
        <w:pStyle w:val="Tekstpodstawowy"/>
        <w:widowControl/>
        <w:autoSpaceDE/>
        <w:autoSpaceDN/>
        <w:jc w:val="both"/>
        <w:rPr>
          <w:b/>
          <w:sz w:val="22"/>
          <w:szCs w:val="22"/>
        </w:rPr>
      </w:pPr>
      <w:r>
        <w:rPr>
          <w:b/>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bCs/>
          <w:kern w:val="32"/>
          <w:sz w:val="22"/>
          <w:szCs w:val="22"/>
        </w:rPr>
        <w:t>,</w:t>
      </w:r>
    </w:p>
    <w:p w14:paraId="12F99F58" w14:textId="77777777" w:rsidR="009112DB" w:rsidRPr="00E919D5" w:rsidRDefault="009112DB" w:rsidP="009112DB">
      <w:pPr>
        <w:pStyle w:val="Tekstpodstawowy"/>
        <w:widowControl/>
        <w:autoSpaceDE/>
        <w:autoSpaceDN/>
        <w:jc w:val="both"/>
        <w:rPr>
          <w:rFonts w:ascii="Times New Roman" w:hAnsi="Times New Roman" w:cs="Times New Roman"/>
          <w:sz w:val="20"/>
          <w:szCs w:val="20"/>
        </w:rPr>
      </w:pPr>
      <w:r w:rsidRPr="00E919D5">
        <w:rPr>
          <w:rFonts w:ascii="Times New Roman" w:hAnsi="Times New Roman" w:cs="Times New Roman"/>
          <w:sz w:val="22"/>
          <w:szCs w:val="22"/>
        </w:rPr>
        <w:t>- projektowania bez ograniczeń w specjalności instalacyjnej w zakresie sieci, instalacji i urządzeń</w:t>
      </w:r>
      <w:r>
        <w:rPr>
          <w:rFonts w:ascii="Times New Roman" w:hAnsi="Times New Roman" w:cs="Times New Roman"/>
          <w:sz w:val="22"/>
          <w:szCs w:val="22"/>
        </w:rPr>
        <w:t xml:space="preserve"> </w:t>
      </w:r>
      <w:r w:rsidRPr="00E919D5">
        <w:rPr>
          <w:rFonts w:ascii="Times New Roman" w:hAnsi="Times New Roman" w:cs="Times New Roman"/>
          <w:sz w:val="22"/>
          <w:szCs w:val="22"/>
        </w:rPr>
        <w:t>elektrycznych oraz elektroenergetycznych</w:t>
      </w:r>
      <w:r>
        <w:rPr>
          <w:rFonts w:ascii="Times New Roman" w:hAnsi="Times New Roman" w:cs="Times New Roman"/>
          <w:sz w:val="22"/>
          <w:szCs w:val="22"/>
        </w:rPr>
        <w:t>.</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7CE61361"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4" w:name="_Hlk105050892"/>
      <w:r>
        <w:rPr>
          <w:rFonts w:ascii="Times New Roman" w:eastAsiaTheme="minorHAnsi" w:hAnsi="Times New Roman" w:cs="Times New Roman"/>
        </w:rPr>
        <w:t>5</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4"/>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5"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5"/>
    <w:p w14:paraId="246A5795" w14:textId="77777777" w:rsidR="009B5CC8" w:rsidRPr="009B5CC8" w:rsidRDefault="009B5CC8" w:rsidP="009B5CC8">
      <w:pPr>
        <w:pStyle w:val="Default"/>
        <w:jc w:val="both"/>
        <w:rPr>
          <w:b/>
          <w:bCs/>
          <w:sz w:val="22"/>
          <w:szCs w:val="22"/>
          <w:u w:val="single"/>
        </w:rPr>
      </w:pPr>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4ABCEDA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w:t>
      </w:r>
      <w:r w:rsidR="009C449D" w:rsidRPr="009C449D">
        <w:rPr>
          <w:rFonts w:eastAsiaTheme="minorHAnsi"/>
          <w:sz w:val="22"/>
          <w:szCs w:val="22"/>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F89BE5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01D525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9112DB">
        <w:rPr>
          <w:rFonts w:cs="Times New Roman"/>
          <w:sz w:val="22"/>
          <w:szCs w:val="22"/>
        </w:rPr>
        <w:t>3</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1830312E"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9112DB">
        <w:rPr>
          <w:rFonts w:cs="Times New Roman"/>
          <w:b/>
          <w:bCs/>
          <w:sz w:val="22"/>
          <w:szCs w:val="22"/>
        </w:rPr>
        <w:t>21.02.2023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DB3F25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lastRenderedPageBreak/>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BF3D58">
        <w:rPr>
          <w:b w:val="0"/>
          <w:bCs w:val="0"/>
          <w:sz w:val="22"/>
          <w:szCs w:val="22"/>
        </w:rPr>
        <w:lastRenderedPageBreak/>
        <w:t>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C26C94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F6585" w:rsidRPr="002F6585">
        <w:rPr>
          <w:rFonts w:ascii="Times New Roman" w:hAnsi="Times New Roman"/>
          <w:bCs/>
          <w:i/>
          <w:iCs/>
        </w:rPr>
        <w:t>Wykonanie kompletnej dokumentacji projektowej inwestycji drogowych wraz z pełnieniem nadzoru autorskiego dla inwestycji drogowych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62A22DB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112DB">
        <w:rPr>
          <w:rFonts w:ascii="Times New Roman" w:hAnsi="Times New Roman" w:cs="Times New Roman"/>
          <w:b/>
          <w:bCs/>
        </w:rPr>
        <w:t>23.01.2023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0693F9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9112DB">
        <w:rPr>
          <w:rFonts w:ascii="Times New Roman" w:hAnsi="Times New Roman" w:cs="Times New Roman"/>
          <w:b/>
          <w:bCs/>
        </w:rPr>
        <w:t>23.01.2023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BF3D58">
        <w:rPr>
          <w:sz w:val="22"/>
          <w:szCs w:val="22"/>
        </w:rPr>
        <w:lastRenderedPageBreak/>
        <w:t>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lastRenderedPageBreak/>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77777777"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lub remontu drogi,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lastRenderedPageBreak/>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56FDDB7E"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023942">
        <w:rPr>
          <w:rFonts w:ascii="Times New Roman" w:hAnsi="Times New Roman" w:cs="Times New Roman"/>
          <w:bCs/>
        </w:rPr>
        <w:t>3</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720424F7"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54D53181" w14:textId="1E3580B9" w:rsidR="00C14310" w:rsidRPr="00FE0548" w:rsidRDefault="00FE0548"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FE0548">
        <w:rPr>
          <w:rFonts w:ascii="Times New Roman" w:eastAsiaTheme="minorHAnsi" w:hAnsi="Times New Roman" w:cs="Times New Roman"/>
          <w:color w:val="000000"/>
          <w:sz w:val="20"/>
          <w:szCs w:val="20"/>
        </w:rPr>
        <w:t xml:space="preserve">Uchwała nr XIX/186/12 Rady Gminy Aleksandrów Kujawski  z dnia 26.11.2012 r. w sprawie uchwalenia miejscowego planu zagospodarowania przestrzennego dla obszaru położonego w obrębie ewidencyjnym Ośno, gmina Aleksandrów Kujawski </w:t>
      </w:r>
      <w:r w:rsidR="00C14310" w:rsidRPr="00FE0548">
        <w:rPr>
          <w:rFonts w:ascii="Times New Roman" w:eastAsiaTheme="minorHAnsi" w:hAnsi="Times New Roman" w:cs="Times New Roman"/>
          <w:color w:val="000000"/>
          <w:sz w:val="20"/>
          <w:szCs w:val="20"/>
        </w:rPr>
        <w:t xml:space="preserve">– załącznik nr </w:t>
      </w:r>
      <w:r w:rsidR="00726D0F" w:rsidRPr="00FE0548">
        <w:rPr>
          <w:rFonts w:ascii="Times New Roman" w:eastAsiaTheme="minorHAnsi" w:hAnsi="Times New Roman" w:cs="Times New Roman"/>
          <w:color w:val="000000"/>
          <w:sz w:val="20"/>
          <w:szCs w:val="20"/>
        </w:rPr>
        <w:t>9</w:t>
      </w:r>
      <w:r w:rsidR="00C14310" w:rsidRPr="00FE0548">
        <w:rPr>
          <w:rFonts w:ascii="Times New Roman" w:eastAsiaTheme="minorHAnsi" w:hAnsi="Times New Roman" w:cs="Times New Roman"/>
          <w:color w:val="000000"/>
          <w:sz w:val="20"/>
          <w:szCs w:val="20"/>
        </w:rPr>
        <w:t xml:space="preserve"> do SWZ, </w:t>
      </w:r>
    </w:p>
    <w:p w14:paraId="1DA04102" w14:textId="754352D8"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1</w:t>
      </w:r>
      <w:r w:rsidR="00023942">
        <w:rPr>
          <w:rFonts w:ascii="Times New Roman" w:eastAsiaTheme="minorHAnsi" w:hAnsi="Times New Roman" w:cs="Times New Roman"/>
          <w:sz w:val="20"/>
          <w:szCs w:val="20"/>
        </w:rPr>
        <w:t>0</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441FCA52" w14:textId="042F4277" w:rsidR="002A61AB" w:rsidRDefault="002A61AB" w:rsidP="00D45682">
      <w:pPr>
        <w:rPr>
          <w:rFonts w:ascii="Times New Roman" w:hAnsi="Times New Roman" w:cs="Times New Roman"/>
        </w:rPr>
      </w:pPr>
    </w:p>
    <w:p w14:paraId="2415761F" w14:textId="77777777" w:rsidR="00FE0548" w:rsidRDefault="00FE0548"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854C0F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23942">
        <w:rPr>
          <w:rFonts w:ascii="Times New Roman" w:hAnsi="Times New Roman" w:cs="Times New Roman"/>
          <w:bCs/>
        </w:rPr>
        <w:t>3</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057FA56C"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023942" w:rsidRDefault="00350B34" w:rsidP="00350B34">
      <w:pPr>
        <w:pStyle w:val="NormalnyWeb"/>
        <w:spacing w:before="0" w:after="0"/>
        <w:rPr>
          <w:rFonts w:cs="Times New Roman"/>
          <w:b/>
          <w:bCs/>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023942">
        <w:rPr>
          <w:rFonts w:cs="Times New Roman"/>
          <w:b/>
          <w:bCs/>
          <w:u w:val="single"/>
        </w:rPr>
        <w:t>należy dołączyć do oferty dowody</w:t>
      </w:r>
      <w:r w:rsidRPr="00023942">
        <w:rPr>
          <w:rFonts w:eastAsiaTheme="minorHAnsi" w:cs="Times New Roman"/>
          <w:b/>
          <w:bCs/>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42FCED3D" w14:textId="77777777" w:rsidR="00294BBB" w:rsidRPr="005F66C3" w:rsidRDefault="00294BBB" w:rsidP="00294BBB">
      <w:pPr>
        <w:adjustRightInd w:val="0"/>
        <w:jc w:val="both"/>
        <w:rPr>
          <w:rFonts w:ascii="Times New Roman" w:hAnsi="Times New Roman" w:cs="Times New Roman"/>
          <w:color w:val="000000"/>
        </w:rPr>
      </w:pPr>
    </w:p>
    <w:p w14:paraId="17451368" w14:textId="77777777" w:rsidR="00294BBB" w:rsidRPr="00002CD7" w:rsidRDefault="00294BBB" w:rsidP="00023942">
      <w:pPr>
        <w:rPr>
          <w:rFonts w:ascii="Times New Roman" w:hAnsi="Times New Roman" w:cs="Times New Roman"/>
        </w:rPr>
      </w:pPr>
    </w:p>
    <w:p w14:paraId="2EFD5CAD" w14:textId="61C0FA44" w:rsidR="00294BBB" w:rsidRDefault="00294BBB" w:rsidP="00023942">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34DFFD5" w14:textId="77777777" w:rsidR="00023942" w:rsidRPr="00023942" w:rsidRDefault="00023942" w:rsidP="00023942">
      <w:pPr>
        <w:jc w:val="center"/>
        <w:rPr>
          <w:rFonts w:ascii="Times New Roman" w:hAnsi="Times New Roman" w:cs="Times New Roman"/>
          <w:b/>
          <w:bCs/>
          <w:sz w:val="24"/>
          <w:szCs w:val="24"/>
        </w:rPr>
      </w:pPr>
    </w:p>
    <w:p w14:paraId="26EDFBC0" w14:textId="77777777" w:rsidR="002A61AB" w:rsidRDefault="002A61AB" w:rsidP="002A61AB">
      <w:pPr>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776D87F9"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23942">
        <w:rPr>
          <w:rFonts w:ascii="Times New Roman" w:hAnsi="Times New Roman" w:cs="Times New Roman"/>
          <w:bCs/>
        </w:rPr>
        <w:t>3</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D030AA5"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023942" w:rsidRPr="00023942">
        <w:rPr>
          <w:bCs/>
          <w:i/>
          <w:iCs/>
          <w:sz w:val="22"/>
          <w:szCs w:val="22"/>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369BF483"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056C26AA" w14:textId="2D7A6C68"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6602F3BA"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023942">
        <w:rPr>
          <w:rFonts w:ascii="Times New Roman" w:hAnsi="Times New Roman" w:cs="Times New Roman"/>
          <w:bCs/>
        </w:rPr>
        <w:t>3</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183500E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E5A99EE"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1D012968"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23942">
        <w:rPr>
          <w:rFonts w:ascii="Times New Roman" w:hAnsi="Times New Roman" w:cs="Times New Roman"/>
          <w:bCs/>
        </w:rPr>
        <w:t>3</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0BD3915E"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77777777"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023942" w:rsidRPr="00023942">
        <w:rPr>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5A191F">
        <w:rPr>
          <w:bCs/>
        </w:rPr>
        <w:t>”.</w:t>
      </w:r>
    </w:p>
    <w:p w14:paraId="6A1A03FC" w14:textId="20B29384" w:rsidR="00023942" w:rsidRDefault="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 xml:space="preserve">Przedmiot niniejszej umowy obejmuje </w:t>
      </w:r>
      <w:r w:rsidRPr="00023942">
        <w:rPr>
          <w:rFonts w:cs="Times New Roman"/>
          <w:bCs/>
        </w:rPr>
        <w:t>wykonanie kompletnej dokumentacji projektowej dla inwestycji</w:t>
      </w:r>
      <w:r w:rsidR="00023942" w:rsidRPr="00023942">
        <w:rPr>
          <w:rFonts w:cs="Times New Roman"/>
          <w:bCs/>
        </w:rPr>
        <w:t xml:space="preserve"> </w:t>
      </w:r>
      <w:r w:rsidR="00023942" w:rsidRPr="00023942">
        <w:rPr>
          <w:rFonts w:cs="Times New Roman"/>
        </w:rPr>
        <w:t xml:space="preserve">Przedmiot zamówienia obejmuje 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 o długości ok. 1130mb </w:t>
      </w:r>
      <w:r w:rsidR="00FC06C6">
        <w:rPr>
          <w:rFonts w:cs="Times New Roman"/>
        </w:rPr>
        <w:t xml:space="preserve">(1KDL) </w:t>
      </w:r>
      <w:r w:rsidR="00023942" w:rsidRPr="00023942">
        <w:rPr>
          <w:rFonts w:cs="Times New Roman"/>
        </w:rPr>
        <w:t>oraz ok. 175mb</w:t>
      </w:r>
      <w:r w:rsidR="00FC06C6">
        <w:rPr>
          <w:rFonts w:cs="Times New Roman"/>
        </w:rPr>
        <w:t xml:space="preserve"> (2KDD)</w:t>
      </w:r>
      <w:r w:rsidR="00023942" w:rsidRPr="00023942">
        <w:rPr>
          <w:rFonts w:cs="Times New Roman"/>
        </w:rPr>
        <w:t>.</w:t>
      </w:r>
    </w:p>
    <w:p w14:paraId="29430E14" w14:textId="77777777"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Projektowana</w:t>
      </w:r>
      <w:r w:rsidRPr="00023942">
        <w:rPr>
          <w:rFonts w:eastAsiaTheme="minorHAnsi" w:cs="Times New Roman"/>
          <w:color w:val="000000"/>
        </w:rPr>
        <w:t xml:space="preserve"> droga przeznaczona jest dla ruchu ciężkiego, obsługująca strefę SOG-o.</w:t>
      </w:r>
    </w:p>
    <w:p w14:paraId="15ADB69A" w14:textId="05A0311C"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W dokumentacji projektowej należy uwzględnić budowę kanału technologicznego, budowę oświetlenia drogowego, budowę drogi oraz parkingów,</w:t>
      </w:r>
      <w:r w:rsidR="00FC06C6">
        <w:rPr>
          <w:rFonts w:cs="Times New Roman"/>
        </w:rPr>
        <w:t xml:space="preserve"> zjazdów,</w:t>
      </w:r>
      <w:r w:rsidRPr="00023942">
        <w:rPr>
          <w:rFonts w:cs="Times New Roman"/>
        </w:rPr>
        <w:t xml:space="preserve"> ciągu pieszo-rowerowego, </w:t>
      </w:r>
      <w:r w:rsidR="00FC06C6">
        <w:rPr>
          <w:rFonts w:cs="Times New Roman"/>
        </w:rPr>
        <w:t>odwodnienia (</w:t>
      </w:r>
      <w:r w:rsidRPr="00023942">
        <w:rPr>
          <w:rFonts w:cs="Times New Roman"/>
        </w:rPr>
        <w:t>kanalizacji deszczowej</w:t>
      </w:r>
      <w:r w:rsidR="00FC06C6">
        <w:rPr>
          <w:rFonts w:cs="Times New Roman"/>
        </w:rPr>
        <w:t xml:space="preserve"> lub alternatywnego)</w:t>
      </w:r>
      <w:r w:rsidRPr="00023942">
        <w:rPr>
          <w:rFonts w:cs="Times New Roman"/>
        </w:rPr>
        <w:t xml:space="preserve">, sanitarnej oraz wodociągowej. </w:t>
      </w:r>
      <w:r w:rsidRPr="00023942">
        <w:rPr>
          <w:rFonts w:eastAsiaTheme="minorHAnsi" w:cs="Times New Roman"/>
          <w:color w:val="000000"/>
        </w:rPr>
        <w:t xml:space="preserve"> </w:t>
      </w:r>
    </w:p>
    <w:p w14:paraId="0866D66C" w14:textId="19171C36" w:rsidR="004F1F80" w:rsidRPr="00023942" w:rsidRDefault="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6C3CA4C1" w14:textId="77777777" w:rsidR="004F1F80" w:rsidRPr="00CE3062" w:rsidRDefault="004F1F80" w:rsidP="004F1F80">
      <w:pPr>
        <w:rPr>
          <w:rFonts w:ascii="Times New Roman" w:hAnsi="Times New Roman" w:cs="Times New Roman"/>
          <w:b/>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749FB3CA" w:rsidR="004F1F80" w:rsidRPr="00CE3062" w:rsidRDefault="004F1F80">
      <w:pPr>
        <w:widowControl/>
        <w:numPr>
          <w:ilvl w:val="0"/>
          <w:numId w:val="61"/>
        </w:numPr>
        <w:tabs>
          <w:tab w:val="left" w:pos="567"/>
        </w:tabs>
        <w:autoSpaceDE/>
        <w:ind w:hanging="436"/>
        <w:jc w:val="both"/>
        <w:rPr>
          <w:rFonts w:ascii="Times New Roman" w:hAnsi="Times New Roman"/>
          <w:sz w:val="20"/>
          <w:szCs w:val="20"/>
        </w:rPr>
      </w:pPr>
      <w:r w:rsidRPr="00CE3062">
        <w:rPr>
          <w:rFonts w:ascii="Times New Roman" w:hAnsi="Times New Roman"/>
          <w:sz w:val="20"/>
          <w:szCs w:val="20"/>
        </w:rPr>
        <w:t>Wykonanie projektu budowlano - wykonawczego</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3D0EEC56" w14:textId="32276FFA"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474BAFCC"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3582DCE9"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073711C"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budowlano-wykonawczego – 5 egz. w formie papierowej</w:t>
      </w:r>
      <w:r w:rsidR="004B59B2">
        <w:rPr>
          <w:rFonts w:ascii="Times New Roman" w:hAnsi="Times New Roman"/>
          <w:sz w:val="20"/>
          <w:szCs w:val="20"/>
        </w:rPr>
        <w:t xml:space="preserve"> dla każdej branży określonej w </w:t>
      </w:r>
      <w:r w:rsidR="004B59B2">
        <w:rPr>
          <w:rFonts w:ascii="Times New Roman" w:hAnsi="Times New Roman" w:cs="Times New Roman"/>
          <w:sz w:val="20"/>
          <w:szCs w:val="20"/>
        </w:rPr>
        <w:t>§</w:t>
      </w:r>
      <w:r w:rsidR="004B59B2">
        <w:rPr>
          <w:rFonts w:ascii="Times New Roman" w:hAnsi="Times New Roman"/>
          <w:sz w:val="20"/>
          <w:szCs w:val="20"/>
        </w:rPr>
        <w:t xml:space="preserve"> 1 ust. </w:t>
      </w:r>
      <w:r w:rsidR="00CC4E8D">
        <w:rPr>
          <w:rFonts w:ascii="Times New Roman" w:hAnsi="Times New Roman"/>
          <w:sz w:val="20"/>
          <w:szCs w:val="20"/>
        </w:rPr>
        <w:t xml:space="preserve">4 niniejszej umowy </w:t>
      </w:r>
      <w:r w:rsidRPr="00CE306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 xml:space="preserve">ustawą z dnia 7 lipca 1994 r. Prawo budowlane (Dz. U. z 2021 r. poz. 2351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39478C" w:rsidRDefault="0039478C">
      <w:pPr>
        <w:pStyle w:val="Akapitzlist"/>
        <w:widowControl/>
        <w:numPr>
          <w:ilvl w:val="0"/>
          <w:numId w:val="65"/>
        </w:numPr>
        <w:autoSpaceDE/>
        <w:autoSpaceDN/>
        <w:spacing w:before="0"/>
        <w:rPr>
          <w:rFonts w:ascii="Times New Roman" w:hAnsi="Times New Roman"/>
          <w:sz w:val="20"/>
          <w:szCs w:val="20"/>
        </w:rPr>
      </w:pPr>
      <w:r w:rsidRPr="0039478C">
        <w:rPr>
          <w:rFonts w:ascii="Times New Roman" w:hAnsi="Times New Roman"/>
          <w:sz w:val="20"/>
          <w:szCs w:val="20"/>
        </w:rPr>
        <w:t>ustawą z dnia 20 lipca 2017 r. Prawo wodne (Dz. U. z 2022 r., poz. 2625 ze zm.),</w:t>
      </w:r>
    </w:p>
    <w:p w14:paraId="67A63D7D" w14:textId="12CC475A" w:rsidR="008318CE" w:rsidRPr="00CC4E8D" w:rsidRDefault="0039478C">
      <w:pPr>
        <w:widowControl/>
        <w:numPr>
          <w:ilvl w:val="0"/>
          <w:numId w:val="65"/>
        </w:numPr>
        <w:autoSpaceDE/>
        <w:jc w:val="both"/>
        <w:rPr>
          <w:rFonts w:ascii="Times New Roman" w:hAnsi="Times New Roman" w:cs="Times New Roman"/>
          <w:sz w:val="20"/>
          <w:szCs w:val="20"/>
        </w:rPr>
      </w:pPr>
      <w:r w:rsidRPr="00CC4E8D">
        <w:rPr>
          <w:rFonts w:ascii="Times New Roman" w:hAnsi="Times New Roman" w:cs="Times New Roman"/>
          <w:sz w:val="20"/>
          <w:szCs w:val="20"/>
        </w:rPr>
        <w:t>R</w:t>
      </w:r>
      <w:r w:rsidR="008318CE" w:rsidRPr="00CC4E8D">
        <w:rPr>
          <w:rFonts w:ascii="Times New Roman" w:hAnsi="Times New Roman" w:cs="Times New Roman"/>
          <w:sz w:val="20"/>
          <w:szCs w:val="20"/>
        </w:rPr>
        <w:t>ozporządzeni</w:t>
      </w:r>
      <w:r w:rsidRPr="00CC4E8D">
        <w:rPr>
          <w:rFonts w:ascii="Times New Roman" w:hAnsi="Times New Roman" w:cs="Times New Roman"/>
          <w:sz w:val="20"/>
          <w:szCs w:val="20"/>
        </w:rPr>
        <w:t>em</w:t>
      </w:r>
      <w:r w:rsidR="008318CE" w:rsidRPr="00CC4E8D">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przedstawiającej rozwiązania szczegółowe w zakresie umożliwiającym realizację zadania inwestycyjnego, </w:t>
      </w:r>
      <w:r w:rsidRPr="00CE3062">
        <w:rPr>
          <w:rFonts w:ascii="Times New Roman" w:hAnsi="Times New Roman" w:cs="Times New Roman"/>
          <w:sz w:val="20"/>
          <w:szCs w:val="20"/>
        </w:rPr>
        <w:lastRenderedPageBreak/>
        <w:t>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formalno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lastRenderedPageBreak/>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CE3062" w:rsidRDefault="004F1F80" w:rsidP="004F1F80">
      <w:pPr>
        <w:jc w:val="both"/>
        <w:rPr>
          <w:rFonts w:ascii="Times New Roman" w:hAnsi="Times New Roman"/>
          <w:b/>
          <w:bCs/>
          <w:sz w:val="20"/>
          <w:szCs w:val="20"/>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w:t>
      </w:r>
      <w:r w:rsidRPr="00CE3062">
        <w:rPr>
          <w:rFonts w:ascii="Times New Roman" w:hAnsi="Times New Roman" w:cs="Times New Roman"/>
          <w:sz w:val="20"/>
          <w:szCs w:val="20"/>
        </w:rPr>
        <w:lastRenderedPageBreak/>
        <w:t xml:space="preserve">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CE3062" w:rsidRDefault="004F1F80" w:rsidP="004F1F80">
      <w:pPr>
        <w:widowControl/>
        <w:tabs>
          <w:tab w:val="left" w:pos="709"/>
        </w:tabs>
        <w:autoSpaceDE/>
        <w:autoSpaceDN/>
        <w:jc w:val="both"/>
        <w:rPr>
          <w:rFonts w:ascii="Times New Roman" w:hAnsi="Times New Roman"/>
          <w:sz w:val="20"/>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349BFB40" w:rsidR="00E24650" w:rsidRPr="001B20AA" w:rsidRDefault="004F1F80">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1B20AA">
        <w:rPr>
          <w:rFonts w:ascii="Times New Roman" w:hAnsi="Times New Roman" w:cs="Times New Roman"/>
          <w:sz w:val="20"/>
          <w:szCs w:val="20"/>
        </w:rPr>
        <w:t>11</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Default="004F1F80" w:rsidP="004F1F80">
      <w:pPr>
        <w:rPr>
          <w:rFonts w:ascii="Times New Roman" w:hAnsi="Times New Roman"/>
          <w:sz w:val="20"/>
          <w:szCs w:val="20"/>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071311" w:rsidRDefault="004F1F80" w:rsidP="004F1F80">
      <w:pPr>
        <w:pStyle w:val="Standard"/>
        <w:rPr>
          <w:sz w:val="20"/>
          <w:szCs w:val="20"/>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071311" w:rsidRDefault="004F1F80" w:rsidP="004F1F80">
      <w:pPr>
        <w:pStyle w:val="WW-Normal"/>
        <w:rPr>
          <w:rFonts w:ascii="Times New Roman" w:hAnsi="Times New Roman" w:cs="Times New Roman"/>
          <w:b/>
          <w:bCs/>
          <w:color w:val="auto"/>
          <w:sz w:val="20"/>
          <w:szCs w:val="20"/>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3B4837" w:rsidRDefault="004F1F80" w:rsidP="004F1F80">
      <w:pPr>
        <w:pStyle w:val="Standard"/>
        <w:widowControl w:val="0"/>
        <w:tabs>
          <w:tab w:val="left" w:pos="284"/>
        </w:tabs>
        <w:jc w:val="both"/>
        <w:rPr>
          <w:sz w:val="20"/>
          <w:szCs w:val="20"/>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lastRenderedPageBreak/>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3F2E73" w:rsidRDefault="004F1F80" w:rsidP="004F1F80">
      <w:pPr>
        <w:pStyle w:val="Standard"/>
        <w:widowControl w:val="0"/>
        <w:tabs>
          <w:tab w:val="left" w:pos="284"/>
        </w:tabs>
        <w:jc w:val="both"/>
        <w:rPr>
          <w:sz w:val="20"/>
          <w:szCs w:val="20"/>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D11543E" w14:textId="60828A44" w:rsidR="00A022FE" w:rsidRPr="00A022FE" w:rsidRDefault="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50 % wynagrodzenia, o którym mowa w § </w:t>
      </w:r>
      <w:r>
        <w:rPr>
          <w:sz w:val="20"/>
          <w:szCs w:val="20"/>
        </w:rPr>
        <w:t>5</w:t>
      </w:r>
      <w:r w:rsidRPr="00A022FE">
        <w:rPr>
          <w:sz w:val="20"/>
          <w:szCs w:val="20"/>
        </w:rPr>
        <w:t xml:space="preserve"> ust. 1.  </w:t>
      </w:r>
    </w:p>
    <w:p w14:paraId="46F8ACFE" w14:textId="77777777" w:rsidR="00A022FE" w:rsidRPr="00CE3062" w:rsidRDefault="00A022FE" w:rsidP="00A022FE">
      <w:pPr>
        <w:pStyle w:val="Standard"/>
        <w:widowControl w:val="0"/>
        <w:tabs>
          <w:tab w:val="left" w:pos="284"/>
        </w:tabs>
        <w:jc w:val="both"/>
        <w:rPr>
          <w:sz w:val="20"/>
          <w:szCs w:val="20"/>
        </w:rPr>
      </w:pP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2412E765" w14:textId="77777777" w:rsidR="004F1F80" w:rsidRPr="002700B3" w:rsidRDefault="004F1F80" w:rsidP="004F1F80">
      <w:pPr>
        <w:pStyle w:val="WW-Normal"/>
        <w:jc w:val="both"/>
        <w:rPr>
          <w:rFonts w:ascii="Times New Roman" w:hAnsi="Times New Roman" w:cs="Times New Roman"/>
          <w:color w:val="auto"/>
          <w:sz w:val="10"/>
          <w:szCs w:val="10"/>
        </w:rPr>
      </w:pPr>
    </w:p>
    <w:p w14:paraId="489C870E" w14:textId="77777777" w:rsidR="00A65360" w:rsidRDefault="00A65360" w:rsidP="004F1F80">
      <w:pPr>
        <w:pStyle w:val="WW-Normal"/>
        <w:jc w:val="center"/>
        <w:rPr>
          <w:rFonts w:ascii="Times New Roman" w:hAnsi="Times New Roman" w:cs="Times New Roman"/>
          <w:color w:val="auto"/>
          <w:sz w:val="20"/>
          <w:szCs w:val="20"/>
        </w:rPr>
      </w:pPr>
    </w:p>
    <w:p w14:paraId="0443DE05" w14:textId="37F60AAA"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lastRenderedPageBreak/>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791B3989" w14:textId="544BA558" w:rsidR="00CF7F86" w:rsidRPr="00194B72" w:rsidRDefault="00CF7F86">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3309772C" w14:textId="77777777" w:rsidR="00CF7F86" w:rsidRDefault="00CF7F86" w:rsidP="00CF7F86">
      <w:pPr>
        <w:pStyle w:val="WW-Normal"/>
        <w:tabs>
          <w:tab w:val="left" w:pos="284"/>
        </w:tabs>
        <w:ind w:left="720"/>
        <w:jc w:val="both"/>
        <w:rPr>
          <w:rFonts w:ascii="Times New Roman" w:hAnsi="Times New Roman" w:cs="Times New Roman"/>
          <w:bCs/>
          <w:color w:val="auto"/>
          <w:sz w:val="20"/>
          <w:szCs w:val="20"/>
        </w:rPr>
      </w:pP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7FB32870"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17234A99" w14:textId="53FA3BF6" w:rsidR="004F1F80" w:rsidRPr="00001A02" w:rsidRDefault="004F1F80">
      <w:pPr>
        <w:pStyle w:val="Akapitzlist"/>
        <w:numPr>
          <w:ilvl w:val="6"/>
          <w:numId w:val="4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F41378">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F41378">
        <w:rPr>
          <w:rFonts w:ascii="Times New Roman" w:hAnsi="Times New Roman" w:cs="Times New Roman"/>
          <w:sz w:val="20"/>
          <w:szCs w:val="20"/>
        </w:rPr>
        <w:t>1710</w:t>
      </w:r>
      <w:r w:rsidRPr="00001A02">
        <w:rPr>
          <w:rFonts w:ascii="Times New Roman" w:hAnsi="Times New Roman" w:cs="Times New Roman"/>
          <w:sz w:val="20"/>
          <w:szCs w:val="20"/>
        </w:rPr>
        <w:t xml:space="preserve"> ze zm.) oraz art. </w:t>
      </w:r>
      <w:r>
        <w:rPr>
          <w:rFonts w:ascii="Times New Roman" w:hAnsi="Times New Roman" w:cs="Times New Roman"/>
          <w:sz w:val="20"/>
          <w:szCs w:val="20"/>
        </w:rPr>
        <w:t>4</w:t>
      </w:r>
      <w:r w:rsidRPr="00001A02">
        <w:rPr>
          <w:rFonts w:ascii="Times New Roman" w:hAnsi="Times New Roman" w:cs="Times New Roman"/>
          <w:sz w:val="20"/>
          <w:szCs w:val="20"/>
        </w:rPr>
        <w:t xml:space="preserve">  ustawy z dnia 19 lipca 2019 r. o zapewnieniu dostępności osobom ze szczególnymi potrzebami (Dz. U. z 202</w:t>
      </w:r>
      <w:r w:rsidR="00BB778A">
        <w:rPr>
          <w:rFonts w:ascii="Times New Roman" w:hAnsi="Times New Roman" w:cs="Times New Roman"/>
          <w:sz w:val="20"/>
          <w:szCs w:val="20"/>
        </w:rPr>
        <w:t>2</w:t>
      </w:r>
      <w:r w:rsidRPr="00001A02">
        <w:rPr>
          <w:rFonts w:ascii="Times New Roman" w:hAnsi="Times New Roman" w:cs="Times New Roman"/>
          <w:sz w:val="20"/>
          <w:szCs w:val="20"/>
        </w:rPr>
        <w:t xml:space="preserve"> poz. </w:t>
      </w:r>
      <w:r w:rsidR="00BB778A">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w:t>
      </w:r>
      <w:r w:rsidRPr="00001A02">
        <w:rPr>
          <w:rFonts w:ascii="Times New Roman" w:hAnsi="Times New Roman" w:cs="Times New Roman"/>
          <w:sz w:val="20"/>
          <w:szCs w:val="20"/>
        </w:rPr>
        <w:lastRenderedPageBreak/>
        <w:t>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FF19770" w14:textId="77777777" w:rsidR="004F1F80" w:rsidRPr="00001A02" w:rsidRDefault="004F1F80">
      <w:pPr>
        <w:pStyle w:val="Akapitzlist"/>
        <w:numPr>
          <w:ilvl w:val="6"/>
          <w:numId w:val="4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7777777" w:rsidR="004F1F80" w:rsidRDefault="004F1F80">
      <w:pPr>
        <w:pStyle w:val="Akapitzlist"/>
        <w:numPr>
          <w:ilvl w:val="6"/>
          <w:numId w:val="4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7EBABA0B"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pPr>
        <w:widowControl/>
        <w:numPr>
          <w:ilvl w:val="0"/>
          <w:numId w:val="47"/>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2E9ED483"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5186EF15" w14:textId="77777777" w:rsidR="004F1F80" w:rsidRPr="00071311" w:rsidRDefault="004F1F80" w:rsidP="004F1F80">
      <w:pPr>
        <w:pStyle w:val="WW-Normal"/>
        <w:jc w:val="both"/>
        <w:rPr>
          <w:rFonts w:ascii="Times New Roman" w:hAnsi="Times New Roman" w:cs="Times New Roman"/>
          <w:color w:val="auto"/>
          <w:sz w:val="20"/>
          <w:szCs w:val="20"/>
        </w:rPr>
      </w:pPr>
    </w:p>
    <w:p w14:paraId="408EC6EE" w14:textId="77777777" w:rsidR="004F1F80" w:rsidRPr="002700B3" w:rsidRDefault="004F1F80" w:rsidP="004F1F80">
      <w:pPr>
        <w:pStyle w:val="WW-Normal"/>
        <w:jc w:val="center"/>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45B4A63"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5543C24B"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77777777" w:rsidR="004F1F80" w:rsidRPr="00957719" w:rsidRDefault="004F1F80"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62707FBE" w14:textId="77777777"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5DBC94FB"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801CEB" w:rsidRPr="00071311" w14:paraId="0F30DC6F"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A6B2E05" w14:textId="6085495E" w:rsidR="00801CEB" w:rsidRDefault="00801CEB" w:rsidP="00801CEB">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CD12626" w14:textId="77777777" w:rsidR="00801CEB" w:rsidRPr="00071311" w:rsidRDefault="00801CEB" w:rsidP="00801CEB">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EB1395A" w14:textId="4847A545" w:rsidR="00801CEB" w:rsidRDefault="00801CEB" w:rsidP="00801CEB">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7F9C3503" w14:textId="77777777" w:rsidR="00801CEB" w:rsidRPr="008C50A9" w:rsidRDefault="00801CEB" w:rsidP="00801CEB">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6AAA05D" w14:textId="77777777" w:rsidR="00801CEB" w:rsidRPr="00FA64DC" w:rsidRDefault="00801CEB" w:rsidP="00801CEB">
            <w:pPr>
              <w:jc w:val="both"/>
              <w:rPr>
                <w:rFonts w:ascii="Times New Roman" w:hAnsi="Times New Roman" w:cs="Times New Roman"/>
                <w:bCs/>
                <w:kern w:val="32"/>
                <w:sz w:val="20"/>
                <w:szCs w:val="20"/>
              </w:rPr>
            </w:pPr>
          </w:p>
          <w:p w14:paraId="7AD6D564" w14:textId="77777777" w:rsidR="00801CEB" w:rsidRPr="00FA64DC" w:rsidRDefault="00801CEB" w:rsidP="00801CE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F1F85B" w14:textId="1EC553B8" w:rsidR="00801CEB" w:rsidRPr="00EE5E3F" w:rsidRDefault="00801CEB" w:rsidP="00801CEB">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3296D06"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Samodzielnie na podstawie:</w:t>
            </w:r>
          </w:p>
          <w:p w14:paraId="374834FB"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82544B1"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8C92D63" w14:textId="77777777" w:rsidR="00801CEB" w:rsidRPr="00FA64DC" w:rsidRDefault="00801CEB" w:rsidP="00801CEB">
            <w:pPr>
              <w:jc w:val="center"/>
              <w:rPr>
                <w:rFonts w:ascii="Times New Roman" w:hAnsi="Times New Roman" w:cs="Times New Roman"/>
                <w:sz w:val="20"/>
              </w:rPr>
            </w:pPr>
            <w:r w:rsidRPr="00FA64DC">
              <w:rPr>
                <w:rFonts w:ascii="Times New Roman" w:hAnsi="Times New Roman" w:cs="Times New Roman"/>
                <w:sz w:val="20"/>
              </w:rPr>
              <w:t>/</w:t>
            </w:r>
          </w:p>
          <w:p w14:paraId="58DF2F2A"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521565F" w14:textId="77777777" w:rsidR="00801CEB" w:rsidRPr="00FA64DC" w:rsidRDefault="00801CEB" w:rsidP="00801CEB">
            <w:pPr>
              <w:jc w:val="both"/>
              <w:rPr>
                <w:rFonts w:ascii="Times New Roman" w:hAnsi="Times New Roman" w:cs="Times New Roman"/>
                <w:sz w:val="20"/>
              </w:rPr>
            </w:pPr>
          </w:p>
          <w:p w14:paraId="50D1798C" w14:textId="6AFB3481"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77B3FE51" w:rsidR="00801CEB" w:rsidRDefault="00801CEB" w:rsidP="00801CEB">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071311" w:rsidRDefault="00801CEB" w:rsidP="00801CEB">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Default="00801CEB" w:rsidP="00801CEB">
            <w:pPr>
              <w:jc w:val="both"/>
              <w:rPr>
                <w:rFonts w:ascii="Times New Roman" w:hAnsi="Times New Roman" w:cs="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3357542" w14:textId="77777777" w:rsidR="00801CEB" w:rsidRPr="008C50A9" w:rsidRDefault="00801CEB" w:rsidP="00801CEB">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34E00E57" w14:textId="77777777" w:rsidR="00801CEB" w:rsidRPr="00484C9D" w:rsidRDefault="00801CEB" w:rsidP="00801CEB">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1292DD47" w14:textId="77777777" w:rsidR="00801CEB" w:rsidRDefault="00801CEB" w:rsidP="00801CEB">
            <w:pPr>
              <w:jc w:val="both"/>
              <w:rPr>
                <w:rFonts w:ascii="Times New Roman" w:hAnsi="Times New Roman"/>
                <w:sz w:val="20"/>
              </w:rPr>
            </w:pPr>
          </w:p>
          <w:p w14:paraId="273FA3B8" w14:textId="77777777" w:rsidR="00801CEB" w:rsidRPr="00FA64DC" w:rsidRDefault="00801CEB" w:rsidP="00801CE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F7882CA"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744DED78" w14:textId="77777777" w:rsidR="00801CEB" w:rsidRPr="00071311"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071311" w:rsidRDefault="00801CEB" w:rsidP="00801CEB">
            <w:pPr>
              <w:jc w:val="both"/>
              <w:rPr>
                <w:rFonts w:ascii="Times New Roman" w:hAnsi="Times New Roman"/>
                <w:sz w:val="20"/>
              </w:rPr>
            </w:pPr>
            <w:r w:rsidRPr="00071311">
              <w:rPr>
                <w:rFonts w:ascii="Times New Roman" w:hAnsi="Times New Roman"/>
                <w:sz w:val="20"/>
              </w:rPr>
              <w:t>Samodzielnie na podstawie:</w:t>
            </w:r>
          </w:p>
          <w:p w14:paraId="3C36AE47" w14:textId="77777777" w:rsidR="00801CEB" w:rsidRPr="00071311" w:rsidRDefault="00801CEB" w:rsidP="00801CEB">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8C89D02" w14:textId="77777777" w:rsidR="00801CEB" w:rsidRPr="00071311" w:rsidRDefault="00801CEB" w:rsidP="00801CEB">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633C0694" w14:textId="77777777" w:rsidR="00801CEB" w:rsidRPr="00071311" w:rsidRDefault="00801CEB" w:rsidP="00801CEB">
            <w:pPr>
              <w:jc w:val="center"/>
              <w:rPr>
                <w:rFonts w:ascii="Times New Roman" w:hAnsi="Times New Roman"/>
                <w:sz w:val="20"/>
              </w:rPr>
            </w:pPr>
            <w:r w:rsidRPr="00071311">
              <w:rPr>
                <w:rFonts w:ascii="Times New Roman" w:hAnsi="Times New Roman"/>
                <w:sz w:val="20"/>
              </w:rPr>
              <w:t>/</w:t>
            </w:r>
          </w:p>
          <w:p w14:paraId="10D54618" w14:textId="77777777" w:rsidR="00801CEB" w:rsidRDefault="00801CEB" w:rsidP="00801CEB">
            <w:pPr>
              <w:jc w:val="both"/>
              <w:rPr>
                <w:rFonts w:ascii="Times New Roman" w:hAnsi="Times New Roman"/>
                <w:sz w:val="20"/>
              </w:rPr>
            </w:pPr>
            <w:r w:rsidRPr="00071311">
              <w:rPr>
                <w:rFonts w:ascii="Times New Roman" w:hAnsi="Times New Roman"/>
                <w:sz w:val="20"/>
              </w:rPr>
              <w:t>osoba zostanie udostępniona</w:t>
            </w:r>
          </w:p>
          <w:p w14:paraId="60EEB087" w14:textId="77777777" w:rsidR="00801CEB" w:rsidRDefault="00801CEB" w:rsidP="00801CEB">
            <w:pPr>
              <w:jc w:val="both"/>
              <w:rPr>
                <w:rFonts w:ascii="Times New Roman" w:hAnsi="Times New Roman"/>
                <w:sz w:val="20"/>
              </w:rPr>
            </w:pPr>
          </w:p>
          <w:p w14:paraId="3FF71285" w14:textId="77777777" w:rsidR="00801CEB" w:rsidRDefault="00801CEB" w:rsidP="00801CEB">
            <w:pPr>
              <w:jc w:val="both"/>
              <w:rPr>
                <w:rFonts w:ascii="Times New Roman" w:hAnsi="Times New Roman"/>
                <w:sz w:val="20"/>
              </w:rPr>
            </w:pPr>
          </w:p>
          <w:p w14:paraId="6C9C0A61" w14:textId="048E4C3D"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5B0DF08" w14:textId="67D0773C" w:rsidR="00801CEB" w:rsidRPr="009F193D" w:rsidRDefault="00353EA2" w:rsidP="009F193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0644C6BC"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783C403A"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B778A" w:rsidRPr="00BB778A">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8832C0B"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F1B258D" w:rsidR="000262A3" w:rsidRPr="00BB778A" w:rsidRDefault="000262A3" w:rsidP="000262A3">
      <w:pPr>
        <w:adjustRightInd w:val="0"/>
        <w:jc w:val="both"/>
        <w:rPr>
          <w:rFonts w:ascii="Times New Roman" w:hAnsi="Times New Roman" w:cs="Times New Roman"/>
          <w:b/>
          <w:b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BB778A">
        <w:rPr>
          <w:rFonts w:ascii="Times New Roman" w:hAnsi="Times New Roman" w:cs="Times New Roman"/>
          <w:b/>
          <w:bCs/>
          <w:i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cs="Times New Roman"/>
          <w:b/>
          <w:iCs/>
          <w:sz w:val="20"/>
          <w:szCs w:val="20"/>
        </w:rPr>
        <w:t>”</w:t>
      </w:r>
      <w:r w:rsidRPr="00BB778A">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410519C5"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 xml:space="preserve">Zobowiązuję się do oddania swoich zasobów przy wykonywaniu zamówienia pn. </w:t>
      </w:r>
      <w:r w:rsidRPr="00BB778A">
        <w:rPr>
          <w:rFonts w:ascii="Times New Roman" w:hAnsi="Times New Roman"/>
          <w:b/>
          <w:b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b/>
          <w:bCs/>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77777777" w:rsidR="00BB778A" w:rsidRDefault="00BB778A" w:rsidP="000262A3">
      <w:pPr>
        <w:jc w:val="right"/>
        <w:rPr>
          <w:rFonts w:ascii="Times New Roman" w:hAnsi="Times New Roman" w:cs="Times New Roman"/>
        </w:rPr>
      </w:pPr>
    </w:p>
    <w:p w14:paraId="7614F334" w14:textId="24DA5108"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4FE6B9F"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40ABED2F"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666243" w:rsidRPr="00666243">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0649C749"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C80619">
        <w:rPr>
          <w:rFonts w:ascii="Times New Roman" w:hAnsi="Times New Roman" w:cs="Times New Roman"/>
        </w:rPr>
        <w:t>1</w:t>
      </w:r>
      <w:r w:rsidR="00801CEB">
        <w:rPr>
          <w:rFonts w:ascii="Times New Roman" w:hAnsi="Times New Roman" w:cs="Times New Roman"/>
        </w:rPr>
        <w:t>0</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A022FE"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A022FE">
              <w:rPr>
                <w:rFonts w:ascii="Times New Roman" w:eastAsia="Times New Roman" w:hAnsi="Times New Roman" w:cs="Times New Roman"/>
                <w:kern w:val="3"/>
                <w:sz w:val="18"/>
                <w:szCs w:val="18"/>
                <w:lang w:eastAsia="zh-CN"/>
              </w:rPr>
              <w:t xml:space="preserve">Opracowanie projektu zagospodarowania terenu i projektu architektoniczno budowlanego, </w:t>
            </w:r>
            <w:r w:rsidR="00056C61" w:rsidRPr="00A022FE">
              <w:rPr>
                <w:rFonts w:ascii="Times New Roman" w:eastAsia="Times New Roman" w:hAnsi="Times New Roman" w:cs="Times New Roman"/>
                <w:kern w:val="3"/>
                <w:sz w:val="18"/>
                <w:szCs w:val="18"/>
                <w:lang w:eastAsia="zh-CN"/>
              </w:rPr>
              <w:t>(koncepcji)</w:t>
            </w:r>
            <w:r w:rsidR="00A022FE" w:rsidRPr="00A022FE">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A022FE" w:rsidRDefault="00A022FE" w:rsidP="00035FCA">
            <w:pPr>
              <w:widowControl/>
              <w:suppressAutoHyphens/>
              <w:autoSpaceDE/>
              <w:spacing w:line="256" w:lineRule="auto"/>
              <w:rPr>
                <w:rFonts w:ascii="Times New Roman" w:eastAsia="Times New Roman" w:hAnsi="Times New Roman" w:cs="Times New Roman"/>
                <w:kern w:val="3"/>
                <w:sz w:val="18"/>
                <w:szCs w:val="18"/>
                <w:lang w:eastAsia="zh-CN"/>
              </w:rPr>
            </w:pPr>
            <w:r>
              <w:rPr>
                <w:rFonts w:ascii="Times New Roman" w:eastAsia="Times New Roman" w:hAnsi="Times New Roman" w:cs="Times New Roman"/>
                <w:kern w:val="3"/>
                <w:sz w:val="18"/>
                <w:szCs w:val="18"/>
                <w:lang w:eastAsia="zh-CN"/>
              </w:rPr>
              <w:t>U</w:t>
            </w:r>
            <w:r w:rsidR="00056C61" w:rsidRPr="00A022FE">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DC24C9" w:rsidRDefault="00056C61"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91FF" w14:textId="77777777" w:rsidR="000171F5" w:rsidRDefault="000171F5" w:rsidP="003533FE">
      <w:r>
        <w:separator/>
      </w:r>
    </w:p>
  </w:endnote>
  <w:endnote w:type="continuationSeparator" w:id="0">
    <w:p w14:paraId="6C1749E7" w14:textId="77777777" w:rsidR="000171F5" w:rsidRDefault="000171F5"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FC06C6" w:rsidRDefault="00FC06C6">
        <w:pPr>
          <w:pStyle w:val="Stopka"/>
          <w:jc w:val="right"/>
        </w:pPr>
        <w:r>
          <w:fldChar w:fldCharType="begin"/>
        </w:r>
        <w:r>
          <w:instrText>PAGE   \* MERGEFORMAT</w:instrText>
        </w:r>
        <w:r>
          <w:fldChar w:fldCharType="separate"/>
        </w:r>
        <w:r>
          <w:t>2</w:t>
        </w:r>
        <w:r>
          <w:fldChar w:fldCharType="end"/>
        </w:r>
      </w:p>
    </w:sdtContent>
  </w:sdt>
  <w:p w14:paraId="1705B34E" w14:textId="77777777" w:rsidR="00FC06C6" w:rsidRDefault="00FC06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628E" w14:textId="77777777" w:rsidR="000171F5" w:rsidRDefault="000171F5" w:rsidP="003533FE">
      <w:r>
        <w:separator/>
      </w:r>
    </w:p>
  </w:footnote>
  <w:footnote w:type="continuationSeparator" w:id="0">
    <w:p w14:paraId="5F8BE461" w14:textId="77777777" w:rsidR="000171F5" w:rsidRDefault="000171F5"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7276B3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0"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8"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2"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006F0F"/>
    <w:multiLevelType w:val="hybridMultilevel"/>
    <w:tmpl w:val="E0FE1C9C"/>
    <w:lvl w:ilvl="0" w:tplc="F36AF5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9"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55213968">
    <w:abstractNumId w:val="31"/>
  </w:num>
  <w:num w:numId="2" w16cid:durableId="151725261">
    <w:abstractNumId w:val="45"/>
  </w:num>
  <w:num w:numId="3" w16cid:durableId="1658340814">
    <w:abstractNumId w:val="3"/>
  </w:num>
  <w:num w:numId="4" w16cid:durableId="161894828">
    <w:abstractNumId w:val="83"/>
  </w:num>
  <w:num w:numId="5" w16cid:durableId="43212952">
    <w:abstractNumId w:val="63"/>
  </w:num>
  <w:num w:numId="6" w16cid:durableId="1688293845">
    <w:abstractNumId w:val="51"/>
  </w:num>
  <w:num w:numId="7" w16cid:durableId="779492403">
    <w:abstractNumId w:val="13"/>
  </w:num>
  <w:num w:numId="8" w16cid:durableId="63529407">
    <w:abstractNumId w:val="49"/>
  </w:num>
  <w:num w:numId="9" w16cid:durableId="781193722">
    <w:abstractNumId w:val="73"/>
  </w:num>
  <w:num w:numId="10" w16cid:durableId="223370797">
    <w:abstractNumId w:val="75"/>
  </w:num>
  <w:num w:numId="11" w16cid:durableId="1054087628">
    <w:abstractNumId w:val="62"/>
  </w:num>
  <w:num w:numId="12" w16cid:durableId="1191646453">
    <w:abstractNumId w:val="44"/>
  </w:num>
  <w:num w:numId="13" w16cid:durableId="828012242">
    <w:abstractNumId w:val="20"/>
  </w:num>
  <w:num w:numId="14" w16cid:durableId="1272781668">
    <w:abstractNumId w:val="46"/>
  </w:num>
  <w:num w:numId="15" w16cid:durableId="33120212">
    <w:abstractNumId w:val="58"/>
  </w:num>
  <w:num w:numId="16" w16cid:durableId="1392273029">
    <w:abstractNumId w:val="70"/>
  </w:num>
  <w:num w:numId="17" w16cid:durableId="1690763860">
    <w:abstractNumId w:val="7"/>
  </w:num>
  <w:num w:numId="18" w16cid:durableId="824514753">
    <w:abstractNumId w:val="39"/>
  </w:num>
  <w:num w:numId="19" w16cid:durableId="617032913">
    <w:abstractNumId w:val="12"/>
  </w:num>
  <w:num w:numId="20" w16cid:durableId="1899052195">
    <w:abstractNumId w:val="23"/>
  </w:num>
  <w:num w:numId="21" w16cid:durableId="1255629741">
    <w:abstractNumId w:val="41"/>
  </w:num>
  <w:num w:numId="22" w16cid:durableId="858738403">
    <w:abstractNumId w:val="76"/>
  </w:num>
  <w:num w:numId="23" w16cid:durableId="1599292562">
    <w:abstractNumId w:val="56"/>
  </w:num>
  <w:num w:numId="24" w16cid:durableId="1166169032">
    <w:abstractNumId w:val="10"/>
  </w:num>
  <w:num w:numId="25" w16cid:durableId="1370227529">
    <w:abstractNumId w:val="72"/>
  </w:num>
  <w:num w:numId="26" w16cid:durableId="1081635198">
    <w:abstractNumId w:val="59"/>
  </w:num>
  <w:num w:numId="27" w16cid:durableId="1100956489">
    <w:abstractNumId w:val="68"/>
  </w:num>
  <w:num w:numId="28" w16cid:durableId="1219705280">
    <w:abstractNumId w:val="35"/>
  </w:num>
  <w:num w:numId="29" w16cid:durableId="767769767">
    <w:abstractNumId w:val="33"/>
  </w:num>
  <w:num w:numId="30" w16cid:durableId="1207181036">
    <w:abstractNumId w:val="27"/>
  </w:num>
  <w:num w:numId="31" w16cid:durableId="1309631129">
    <w:abstractNumId w:val="81"/>
  </w:num>
  <w:num w:numId="32" w16cid:durableId="1768577706">
    <w:abstractNumId w:val="48"/>
  </w:num>
  <w:num w:numId="33" w16cid:durableId="947350989">
    <w:abstractNumId w:val="30"/>
  </w:num>
  <w:num w:numId="34" w16cid:durableId="2013797721">
    <w:abstractNumId w:val="15"/>
  </w:num>
  <w:num w:numId="35" w16cid:durableId="224684741">
    <w:abstractNumId w:val="84"/>
  </w:num>
  <w:num w:numId="36" w16cid:durableId="2069917934">
    <w:abstractNumId w:val="61"/>
  </w:num>
  <w:num w:numId="37" w16cid:durableId="900868457">
    <w:abstractNumId w:val="2"/>
  </w:num>
  <w:num w:numId="38" w16cid:durableId="327248997">
    <w:abstractNumId w:val="38"/>
  </w:num>
  <w:num w:numId="39" w16cid:durableId="1219971129">
    <w:abstractNumId w:val="24"/>
  </w:num>
  <w:num w:numId="40" w16cid:durableId="60640005">
    <w:abstractNumId w:val="60"/>
  </w:num>
  <w:num w:numId="41" w16cid:durableId="1757897896">
    <w:abstractNumId w:val="91"/>
  </w:num>
  <w:num w:numId="42" w16cid:durableId="1719283507">
    <w:abstractNumId w:val="86"/>
  </w:num>
  <w:num w:numId="43" w16cid:durableId="1274944507">
    <w:abstractNumId w:val="50"/>
  </w:num>
  <w:num w:numId="44" w16cid:durableId="540165290">
    <w:abstractNumId w:val="53"/>
  </w:num>
  <w:num w:numId="45" w16cid:durableId="721057853">
    <w:abstractNumId w:val="65"/>
  </w:num>
  <w:num w:numId="46" w16cid:durableId="635525439">
    <w:abstractNumId w:val="88"/>
  </w:num>
  <w:num w:numId="47" w16cid:durableId="373699213">
    <w:abstractNumId w:val="57"/>
  </w:num>
  <w:num w:numId="48" w16cid:durableId="1030643331">
    <w:abstractNumId w:val="66"/>
  </w:num>
  <w:num w:numId="49" w16cid:durableId="1456220236">
    <w:abstractNumId w:val="37"/>
  </w:num>
  <w:num w:numId="50" w16cid:durableId="136849541">
    <w:abstractNumId w:val="18"/>
  </w:num>
  <w:num w:numId="51" w16cid:durableId="985355692">
    <w:abstractNumId w:val="9"/>
  </w:num>
  <w:num w:numId="52" w16cid:durableId="752630090">
    <w:abstractNumId w:val="74"/>
  </w:num>
  <w:num w:numId="53" w16cid:durableId="1404061070">
    <w:abstractNumId w:val="6"/>
  </w:num>
  <w:num w:numId="54" w16cid:durableId="194855456">
    <w:abstractNumId w:val="28"/>
  </w:num>
  <w:num w:numId="55" w16cid:durableId="979043523">
    <w:abstractNumId w:val="16"/>
  </w:num>
  <w:num w:numId="56" w16cid:durableId="382868889">
    <w:abstractNumId w:val="71"/>
  </w:num>
  <w:num w:numId="57" w16cid:durableId="146016312">
    <w:abstractNumId w:val="11"/>
  </w:num>
  <w:num w:numId="58" w16cid:durableId="1635216047">
    <w:abstractNumId w:val="77"/>
  </w:num>
  <w:num w:numId="59" w16cid:durableId="154809870">
    <w:abstractNumId w:val="22"/>
  </w:num>
  <w:num w:numId="60" w16cid:durableId="814950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8363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599143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42094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5215487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31955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7188990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271018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4949038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789870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4460763">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3312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9519617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20834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00830284">
    <w:abstractNumId w:val="6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80580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886844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22027451">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907983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9855718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824404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6319690">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37324936">
    <w:abstractNumId w:val="89"/>
  </w:num>
  <w:num w:numId="83" w16cid:durableId="112789263">
    <w:abstractNumId w:val="69"/>
  </w:num>
  <w:num w:numId="84" w16cid:durableId="290131665">
    <w:abstractNumId w:val="87"/>
  </w:num>
  <w:num w:numId="85" w16cid:durableId="1921720729">
    <w:abstractNumId w:val="43"/>
  </w:num>
  <w:num w:numId="86" w16cid:durableId="638341035">
    <w:abstractNumId w:val="54"/>
  </w:num>
  <w:num w:numId="87" w16cid:durableId="1699771573">
    <w:abstractNumId w:val="79"/>
  </w:num>
  <w:num w:numId="88" w16cid:durableId="1255286121">
    <w:abstractNumId w:val="42"/>
  </w:num>
  <w:num w:numId="89" w16cid:durableId="1592432">
    <w:abstractNumId w:val="36"/>
  </w:num>
  <w:num w:numId="90" w16cid:durableId="794448196">
    <w:abstractNumId w:val="82"/>
  </w:num>
  <w:num w:numId="91" w16cid:durableId="818811378">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C1D"/>
    <w:rsid w:val="0008027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52AB"/>
    <w:rsid w:val="00100345"/>
    <w:rsid w:val="0010509B"/>
    <w:rsid w:val="00116305"/>
    <w:rsid w:val="00126E0A"/>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726B"/>
    <w:rsid w:val="001C5C8F"/>
    <w:rsid w:val="001D404A"/>
    <w:rsid w:val="001E033E"/>
    <w:rsid w:val="00206A57"/>
    <w:rsid w:val="00210482"/>
    <w:rsid w:val="00213936"/>
    <w:rsid w:val="00217659"/>
    <w:rsid w:val="0022140E"/>
    <w:rsid w:val="002262FF"/>
    <w:rsid w:val="00236114"/>
    <w:rsid w:val="002366DD"/>
    <w:rsid w:val="0026116F"/>
    <w:rsid w:val="00270001"/>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12BB8"/>
    <w:rsid w:val="003228E8"/>
    <w:rsid w:val="003250E7"/>
    <w:rsid w:val="0032687E"/>
    <w:rsid w:val="003306A3"/>
    <w:rsid w:val="0034307B"/>
    <w:rsid w:val="00343E11"/>
    <w:rsid w:val="0034615B"/>
    <w:rsid w:val="00350B34"/>
    <w:rsid w:val="003533FE"/>
    <w:rsid w:val="00353EA2"/>
    <w:rsid w:val="003554DE"/>
    <w:rsid w:val="00360053"/>
    <w:rsid w:val="00377699"/>
    <w:rsid w:val="00380C22"/>
    <w:rsid w:val="00383059"/>
    <w:rsid w:val="003836F4"/>
    <w:rsid w:val="0039248B"/>
    <w:rsid w:val="0039478C"/>
    <w:rsid w:val="00395C0D"/>
    <w:rsid w:val="00396B34"/>
    <w:rsid w:val="00397F72"/>
    <w:rsid w:val="003A0F20"/>
    <w:rsid w:val="003A1106"/>
    <w:rsid w:val="003A70A2"/>
    <w:rsid w:val="003B25D6"/>
    <w:rsid w:val="003B46FA"/>
    <w:rsid w:val="003B4837"/>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23745"/>
    <w:rsid w:val="00425724"/>
    <w:rsid w:val="00431305"/>
    <w:rsid w:val="0043328A"/>
    <w:rsid w:val="00433415"/>
    <w:rsid w:val="00434532"/>
    <w:rsid w:val="004423BE"/>
    <w:rsid w:val="00443BB7"/>
    <w:rsid w:val="00457F6F"/>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E0932"/>
    <w:rsid w:val="004E4C29"/>
    <w:rsid w:val="004E5A19"/>
    <w:rsid w:val="004F1F80"/>
    <w:rsid w:val="004F2A7C"/>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E215B"/>
    <w:rsid w:val="005F1B2A"/>
    <w:rsid w:val="00604C2E"/>
    <w:rsid w:val="00605BBE"/>
    <w:rsid w:val="00613C59"/>
    <w:rsid w:val="00614ACB"/>
    <w:rsid w:val="00621E65"/>
    <w:rsid w:val="00623A68"/>
    <w:rsid w:val="00624E1A"/>
    <w:rsid w:val="00631662"/>
    <w:rsid w:val="00650177"/>
    <w:rsid w:val="006607D8"/>
    <w:rsid w:val="00660B45"/>
    <w:rsid w:val="006647A2"/>
    <w:rsid w:val="00666243"/>
    <w:rsid w:val="00670908"/>
    <w:rsid w:val="00672C15"/>
    <w:rsid w:val="006731C7"/>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22F6"/>
    <w:rsid w:val="00723F0D"/>
    <w:rsid w:val="00726D0F"/>
    <w:rsid w:val="00736B22"/>
    <w:rsid w:val="00737C2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801CEB"/>
    <w:rsid w:val="0080301D"/>
    <w:rsid w:val="0080303B"/>
    <w:rsid w:val="008104B0"/>
    <w:rsid w:val="00811AD1"/>
    <w:rsid w:val="00815356"/>
    <w:rsid w:val="0083118F"/>
    <w:rsid w:val="008318CE"/>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3197"/>
    <w:rsid w:val="008B76FF"/>
    <w:rsid w:val="008C3C54"/>
    <w:rsid w:val="008D104E"/>
    <w:rsid w:val="008D34DD"/>
    <w:rsid w:val="008E077E"/>
    <w:rsid w:val="008E4B6D"/>
    <w:rsid w:val="008F6D15"/>
    <w:rsid w:val="009112DB"/>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9F193D"/>
    <w:rsid w:val="00A0098E"/>
    <w:rsid w:val="00A022FE"/>
    <w:rsid w:val="00A044B5"/>
    <w:rsid w:val="00A06D23"/>
    <w:rsid w:val="00A10E56"/>
    <w:rsid w:val="00A12A12"/>
    <w:rsid w:val="00A138F2"/>
    <w:rsid w:val="00A22C9E"/>
    <w:rsid w:val="00A2590D"/>
    <w:rsid w:val="00A263D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B02DD5"/>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C3E15"/>
    <w:rsid w:val="00BC65FB"/>
    <w:rsid w:val="00BD6255"/>
    <w:rsid w:val="00BE0B23"/>
    <w:rsid w:val="00BE6106"/>
    <w:rsid w:val="00BF1625"/>
    <w:rsid w:val="00BF52A7"/>
    <w:rsid w:val="00C008A7"/>
    <w:rsid w:val="00C0553F"/>
    <w:rsid w:val="00C05D04"/>
    <w:rsid w:val="00C1425A"/>
    <w:rsid w:val="00C14310"/>
    <w:rsid w:val="00C17489"/>
    <w:rsid w:val="00C24FB5"/>
    <w:rsid w:val="00C41CEA"/>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E17"/>
    <w:rsid w:val="00CB0728"/>
    <w:rsid w:val="00CB24EA"/>
    <w:rsid w:val="00CB3074"/>
    <w:rsid w:val="00CB4C32"/>
    <w:rsid w:val="00CB6DF2"/>
    <w:rsid w:val="00CB7861"/>
    <w:rsid w:val="00CB7D80"/>
    <w:rsid w:val="00CC4E8D"/>
    <w:rsid w:val="00CC587F"/>
    <w:rsid w:val="00CC633F"/>
    <w:rsid w:val="00CE14EC"/>
    <w:rsid w:val="00CE65AA"/>
    <w:rsid w:val="00CF3F05"/>
    <w:rsid w:val="00CF7F86"/>
    <w:rsid w:val="00D02B8B"/>
    <w:rsid w:val="00D16179"/>
    <w:rsid w:val="00D176BE"/>
    <w:rsid w:val="00D21619"/>
    <w:rsid w:val="00D2362D"/>
    <w:rsid w:val="00D23691"/>
    <w:rsid w:val="00D264AD"/>
    <w:rsid w:val="00D32258"/>
    <w:rsid w:val="00D328B4"/>
    <w:rsid w:val="00D45682"/>
    <w:rsid w:val="00D47796"/>
    <w:rsid w:val="00D51D9D"/>
    <w:rsid w:val="00D65715"/>
    <w:rsid w:val="00D66DAA"/>
    <w:rsid w:val="00D71A27"/>
    <w:rsid w:val="00D7234C"/>
    <w:rsid w:val="00D72BE9"/>
    <w:rsid w:val="00D734AC"/>
    <w:rsid w:val="00D908AA"/>
    <w:rsid w:val="00D9552D"/>
    <w:rsid w:val="00D95807"/>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1A9B"/>
    <w:rsid w:val="00DF1FDE"/>
    <w:rsid w:val="00E01EF3"/>
    <w:rsid w:val="00E02E02"/>
    <w:rsid w:val="00E06E66"/>
    <w:rsid w:val="00E157AF"/>
    <w:rsid w:val="00E22EB3"/>
    <w:rsid w:val="00E24650"/>
    <w:rsid w:val="00E2737F"/>
    <w:rsid w:val="00E3308C"/>
    <w:rsid w:val="00E35C8C"/>
    <w:rsid w:val="00E434C9"/>
    <w:rsid w:val="00E62AA0"/>
    <w:rsid w:val="00E62C95"/>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E6005"/>
    <w:rsid w:val="00EE7A33"/>
    <w:rsid w:val="00EF31B8"/>
    <w:rsid w:val="00EF6B21"/>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7387"/>
    <w:rsid w:val="00F57510"/>
    <w:rsid w:val="00F72725"/>
    <w:rsid w:val="00F758AE"/>
    <w:rsid w:val="00F77EFF"/>
    <w:rsid w:val="00F8265A"/>
    <w:rsid w:val="00F85532"/>
    <w:rsid w:val="00FA36E6"/>
    <w:rsid w:val="00FA4233"/>
    <w:rsid w:val="00FA787D"/>
    <w:rsid w:val="00FB1123"/>
    <w:rsid w:val="00FB2A59"/>
    <w:rsid w:val="00FC06C6"/>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E7D6-96DA-4676-B98E-21D8681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46</Pages>
  <Words>20738</Words>
  <Characters>124434</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2023-01-12T07:46:00Z</cp:lastPrinted>
  <dcterms:created xsi:type="dcterms:W3CDTF">2023-01-12T07:29:00Z</dcterms:created>
  <dcterms:modified xsi:type="dcterms:W3CDTF">2023-01-12T11:31:00Z</dcterms:modified>
</cp:coreProperties>
</file>