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417E9D" w:rsidRDefault="00AB65CF" w:rsidP="00AB65CF">
      <w:pPr>
        <w:suppressAutoHyphens/>
        <w:spacing w:after="0" w:line="240" w:lineRule="auto"/>
        <w:jc w:val="right"/>
        <w:rPr>
          <w:rFonts w:ascii="Arial" w:eastAsia="Times New Roman" w:hAnsi="Arial" w:cs="Arial"/>
          <w:color w:val="000000"/>
          <w:kern w:val="1"/>
          <w:lang w:eastAsia="zh-CN"/>
        </w:rPr>
      </w:pPr>
      <w:r>
        <w:rPr>
          <w:rFonts w:ascii="Arial" w:eastAsia="Times New Roman" w:hAnsi="Arial" w:cs="Arial"/>
          <w:b/>
          <w:color w:val="000000"/>
          <w:kern w:val="1"/>
          <w:sz w:val="44"/>
          <w:szCs w:val="4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77F13569"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3516C96D"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zostanie wystawiona po wykonaniu łącznego zakresu robót (od początku budowy) wynoszącego co najmniej 50 %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Jeżeli Zamawiający, w terminie 14 dni od przedstawienia mu przez Wykonawcę Umowy zawartej z podwykonawcą lub dokumentu obejmującego treść zmian tej Umowy, </w:t>
      </w:r>
      <w:r w:rsidRPr="00417E9D">
        <w:rPr>
          <w:rFonts w:ascii="Arial" w:eastAsia="Times New Roman" w:hAnsi="Arial" w:cs="Arial"/>
          <w:kern w:val="1"/>
          <w:lang w:eastAsia="zh-CN"/>
        </w:rPr>
        <w:lastRenderedPageBreak/>
        <w:t>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lastRenderedPageBreak/>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obowiązany jest informować Zamawiającego  o wysokości wynagrodzenia należnego podwykonawcom lub dalszym podwykonawcom oraz  o </w:t>
      </w:r>
      <w:r w:rsidRPr="00417E9D">
        <w:rPr>
          <w:rFonts w:ascii="Arial" w:eastAsia="Times New Roman" w:hAnsi="Arial" w:cs="Arial"/>
          <w:kern w:val="1"/>
          <w:lang w:eastAsia="zh-CN"/>
        </w:rPr>
        <w:lastRenderedPageBreak/>
        <w:t>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i) zaistnienia omyłki pisarskiej lub rachunkowej; w takim przypadku Strony mogą dokonać poprawienia omyłki pisarskiej lub rachunkowej na analogicznych zasadach, jak opisane 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549E581D"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m)w przypadku, gdy umożliwią to aktualne okoliczności  dot. możliwości finansowych Zamawiającego, dopuszcza się zmianę umowy w zakresie warunków płatności należnego wynagrodzenia Wykonawcy. </w:t>
      </w: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0656B5D9"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 xml:space="preserve">Wykonawca oświadcza, że zapoznał się z dokumentacją projektową i specyfikacją techniczną i  uznaje ją za wystarczającą podstawę do realizacji przedmiotu niniejszej </w:t>
      </w:r>
      <w:r w:rsidRPr="00417E9D">
        <w:rPr>
          <w:rFonts w:ascii="Arial" w:eastAsia="Times New Roman" w:hAnsi="Arial" w:cs="Arial"/>
          <w:kern w:val="1"/>
          <w:lang w:eastAsia="zh-CN"/>
        </w:rPr>
        <w:lastRenderedPageBreak/>
        <w:t>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t>
      </w:r>
      <w:r w:rsidRPr="00417E9D">
        <w:rPr>
          <w:rFonts w:ascii="Arial" w:eastAsia="SimSun" w:hAnsi="Arial" w:cs="Arial"/>
          <w:kern w:val="1"/>
          <w:lang w:eastAsia="zh-CN" w:bidi="hi-IN"/>
        </w:rPr>
        <w:lastRenderedPageBreak/>
        <w:t xml:space="preserve">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77777777" w:rsidR="00AB65CF" w:rsidRPr="00AB65CF"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Pr="00417E9D">
        <w:rPr>
          <w:rFonts w:ascii="Arial" w:eastAsia="Times New Roman" w:hAnsi="Arial" w:cs="Arial"/>
          <w:kern w:val="1"/>
          <w:lang w:eastAsia="zh-CN"/>
        </w:rPr>
        <w:t>tj</w:t>
      </w:r>
      <w:proofErr w:type="spellEnd"/>
    </w:p>
    <w:p w14:paraId="2FEEF19D" w14:textId="79A0C357" w:rsidR="00417E9D" w:rsidRPr="00AB65CF" w:rsidRDefault="00417E9D" w:rsidP="00AB65CF">
      <w:pPr>
        <w:suppressAutoHyphens/>
        <w:spacing w:after="0" w:line="240" w:lineRule="auto"/>
        <w:ind w:left="360"/>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w okresie od rozpoczęcia robót do przekazania przedmiotu umowy Zamawiającemu,</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 xml:space="preserve">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w:t>
      </w:r>
      <w:r w:rsidRPr="00417E9D">
        <w:rPr>
          <w:rFonts w:ascii="Arial" w:eastAsia="SimSun" w:hAnsi="Arial" w:cs="Arial"/>
          <w:kern w:val="1"/>
          <w:lang w:eastAsia="zh-CN" w:bidi="hi-IN"/>
        </w:rPr>
        <w:lastRenderedPageBreak/>
        <w:t>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5FAF6DC1"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30E6F75F" w14:textId="6B13A5EB" w:rsidR="004F22E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F22E8">
        <w:rPr>
          <w:rFonts w:ascii="Arial" w:eastAsia="Calibri" w:hAnsi="Arial" w:cs="Arial"/>
          <w:color w:val="000000"/>
          <w:lang w:eastAsia="pl-PL"/>
        </w:rPr>
        <w:t xml:space="preserve">wykonanie </w:t>
      </w:r>
      <w:r w:rsidR="00821087" w:rsidRPr="004F22E8">
        <w:rPr>
          <w:rFonts w:ascii="Arial" w:eastAsia="Calibri" w:hAnsi="Arial" w:cs="Arial"/>
          <w:color w:val="000000"/>
          <w:lang w:eastAsia="pl-PL"/>
        </w:rPr>
        <w:t xml:space="preserve"> </w:t>
      </w:r>
      <w:r w:rsidR="004F22E8" w:rsidRPr="004F22E8">
        <w:rPr>
          <w:rFonts w:ascii="Arial" w:eastAsia="Calibri" w:hAnsi="Arial" w:cs="Arial"/>
          <w:color w:val="000000"/>
          <w:lang w:eastAsia="pl-PL"/>
        </w:rPr>
        <w:t xml:space="preserve">NAWIERZCHNI Z </w:t>
      </w:r>
      <w:r w:rsidR="005D1553">
        <w:rPr>
          <w:rFonts w:ascii="Arial" w:eastAsia="Calibri" w:hAnsi="Arial" w:cs="Arial"/>
          <w:color w:val="000000"/>
          <w:lang w:eastAsia="pl-PL"/>
        </w:rPr>
        <w:t xml:space="preserve">kostki brukowej </w:t>
      </w:r>
    </w:p>
    <w:p w14:paraId="2C32F802" w14:textId="77777777" w:rsidR="004F22E8" w:rsidRDefault="004F22E8" w:rsidP="004F22E8">
      <w:pPr>
        <w:suppressAutoHyphens/>
        <w:spacing w:after="29" w:line="268" w:lineRule="auto"/>
        <w:ind w:left="1136" w:right="47"/>
        <w:jc w:val="both"/>
        <w:rPr>
          <w:rFonts w:ascii="Arial" w:eastAsia="Calibri" w:hAnsi="Arial" w:cs="Arial"/>
          <w:color w:val="000000"/>
          <w:lang w:eastAsia="pl-PL"/>
        </w:rPr>
      </w:pPr>
    </w:p>
    <w:p w14:paraId="5AAC9F7D" w14:textId="27ACD34D" w:rsidR="00417E9D" w:rsidRPr="004F22E8" w:rsidRDefault="00417E9D" w:rsidP="004F22E8">
      <w:pPr>
        <w:suppressAutoHyphens/>
        <w:spacing w:after="29" w:line="268" w:lineRule="auto"/>
        <w:ind w:left="113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w:t>
      </w:r>
      <w:r w:rsidRPr="00417E9D">
        <w:rPr>
          <w:rFonts w:ascii="Arial" w:eastAsia="Calibri" w:hAnsi="Arial" w:cs="Arial"/>
          <w:color w:val="000000"/>
          <w:lang w:eastAsia="pl-PL"/>
        </w:rPr>
        <w:lastRenderedPageBreak/>
        <w:t xml:space="preserve">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17</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012E4639" w14:textId="7C93EBCC" w:rsidR="00417E9D" w:rsidRPr="00417E9D" w:rsidRDefault="00417E9D" w:rsidP="00417E9D">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Kontrasygnata </w:t>
      </w:r>
    </w:p>
    <w:p w14:paraId="6AF54231" w14:textId="14C238E6"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ato Light">
    <w:altName w:val="Calibri"/>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altName w:val="Calibri"/>
    <w:panose1 w:val="020F0502020204030203"/>
    <w:charset w:val="EE"/>
    <w:family w:val="swiss"/>
    <w:pitch w:val="variable"/>
    <w:sig w:usb0="E10002FF" w:usb1="5000ECFF" w:usb2="00000021" w:usb3="00000000" w:csb0="0000019F" w:csb1="00000000"/>
  </w:font>
  <w:font w:name="SimSun">
    <w:altName w:val="??ˇ¦||||||||ˇ¦|||||||ˇ¦|||||ˇ¦|"/>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altName w:val="Gentium Book Bas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1"/>
  </w:num>
  <w:num w:numId="10" w16cid:durableId="2026860159">
    <w:abstractNumId w:val="9"/>
  </w:num>
  <w:num w:numId="11" w16cid:durableId="857546460">
    <w:abstractNumId w:val="13"/>
  </w:num>
  <w:num w:numId="12" w16cid:durableId="2038307279">
    <w:abstractNumId w:val="10"/>
  </w:num>
  <w:num w:numId="13" w16cid:durableId="1968854521">
    <w:abstractNumId w:val="12"/>
  </w:num>
  <w:num w:numId="14" w16cid:durableId="385298316">
    <w:abstractNumId w:val="14"/>
  </w:num>
  <w:num w:numId="15" w16cid:durableId="85577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6555B"/>
    <w:rsid w:val="00126436"/>
    <w:rsid w:val="001353F9"/>
    <w:rsid w:val="00227683"/>
    <w:rsid w:val="002A68BF"/>
    <w:rsid w:val="00337A6D"/>
    <w:rsid w:val="003E5AEB"/>
    <w:rsid w:val="00417E9D"/>
    <w:rsid w:val="00476234"/>
    <w:rsid w:val="004F22E8"/>
    <w:rsid w:val="005D1553"/>
    <w:rsid w:val="006F5D51"/>
    <w:rsid w:val="00731DC9"/>
    <w:rsid w:val="00756977"/>
    <w:rsid w:val="00821087"/>
    <w:rsid w:val="00963591"/>
    <w:rsid w:val="00A66073"/>
    <w:rsid w:val="00AA6714"/>
    <w:rsid w:val="00AB65CF"/>
    <w:rsid w:val="00C53C19"/>
    <w:rsid w:val="00CB545F"/>
    <w:rsid w:val="00D944AA"/>
    <w:rsid w:val="00DE5E58"/>
    <w:rsid w:val="00EE5253"/>
    <w:rsid w:val="00EF0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7611</Words>
  <Characters>45670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2022-03-16T10:12:00Z</cp:lastPrinted>
  <dcterms:created xsi:type="dcterms:W3CDTF">2024-07-29T13:54:00Z</dcterms:created>
  <dcterms:modified xsi:type="dcterms:W3CDTF">2024-07-29T13:54:00Z</dcterms:modified>
</cp:coreProperties>
</file>