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34E2" w14:textId="77777777" w:rsidR="00AD2240" w:rsidRDefault="00AD2240" w:rsidP="00AD2240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>Załącznik nr 5 do SWZ</w:t>
      </w:r>
    </w:p>
    <w:p w14:paraId="6D7DBF92" w14:textId="77777777" w:rsidR="009568D9" w:rsidRDefault="009568D9" w:rsidP="009568D9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675B9484" w14:textId="3546858A" w:rsidR="009568D9" w:rsidRDefault="009568D9" w:rsidP="009568D9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41112D">
        <w:rPr>
          <w:rFonts w:asciiTheme="majorHAnsi" w:hAnsiTheme="majorHAnsi" w:cstheme="majorHAnsi"/>
          <w:b/>
          <w:sz w:val="24"/>
          <w:szCs w:val="24"/>
        </w:rPr>
        <w:t>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F5D876F" w14:textId="77777777" w:rsidR="009568D9" w:rsidRPr="0070357B" w:rsidRDefault="009568D9" w:rsidP="009568D9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sygn.. GK.271.11.2023</w:t>
      </w:r>
    </w:p>
    <w:bookmarkEnd w:id="0"/>
    <w:p w14:paraId="16A79B82" w14:textId="77777777" w:rsidR="00AD2240" w:rsidRDefault="00AD2240" w:rsidP="00AD224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370599CD" w14:textId="77777777" w:rsidR="00AD2240" w:rsidRDefault="00AD2240" w:rsidP="00AD2240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5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6CEA2390" w14:textId="77777777" w:rsidR="00AD2240" w:rsidRDefault="00AD2240" w:rsidP="00AD2240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Pr="0041112D">
        <w:rPr>
          <w:rFonts w:asciiTheme="majorHAnsi" w:hAnsiTheme="majorHAnsi" w:cstheme="majorHAnsi"/>
          <w:b/>
          <w:sz w:val="24"/>
          <w:szCs w:val="24"/>
        </w:rPr>
        <w:t>akup i dostaw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 urządzenia wielofunkcyjnego</w:t>
      </w:r>
      <w:r>
        <w:rPr>
          <w:rFonts w:asciiTheme="majorHAnsi" w:hAnsiTheme="majorHAnsi" w:cstheme="majorHAnsi"/>
          <w:b/>
          <w:sz w:val="24"/>
          <w:szCs w:val="24"/>
        </w:rPr>
        <w:t xml:space="preserve"> – 1 szt.</w:t>
      </w:r>
    </w:p>
    <w:tbl>
      <w:tblPr>
        <w:tblW w:w="14034" w:type="dxa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230"/>
        <w:gridCol w:w="6804"/>
      </w:tblGrid>
      <w:tr w:rsidR="00AD2240" w14:paraId="79AE72A2" w14:textId="77777777" w:rsidTr="00357F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4033" w14:textId="77777777" w:rsidR="00AD2240" w:rsidRPr="002866A8" w:rsidRDefault="00AD2240" w:rsidP="00AD224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Specyfikacja sprzętowa/ minimalne parametry techniczne wymagane przez 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Z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amawiającego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2CC28" w14:textId="77777777" w:rsidR="00AD2240" w:rsidRPr="002866A8" w:rsidRDefault="00AD2240" w:rsidP="00AD2240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14:paraId="677ED619" w14:textId="77777777" w:rsidR="00AD2240" w:rsidRPr="00FE02EA" w:rsidRDefault="00AD2240" w:rsidP="00AD2240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FE02EA">
              <w:rPr>
                <w:rFonts w:eastAsia="Times New Roman" w:cs="Calibri"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14:paraId="07E8666F" w14:textId="77777777" w:rsidR="00AD2240" w:rsidRDefault="00AD2240" w:rsidP="00AD2240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FE02EA">
              <w:rPr>
                <w:rFonts w:eastAsia="Times New Roman" w:cs="Calibri"/>
                <w:color w:val="00000A"/>
                <w:sz w:val="20"/>
                <w:szCs w:val="20"/>
              </w:rPr>
              <w:t xml:space="preserve">w rozdziale </w:t>
            </w:r>
            <w:r w:rsidR="00862CCD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FE02EA">
              <w:rPr>
                <w:rFonts w:eastAsia="Times New Roman" w:cs="Calibri"/>
                <w:color w:val="00000A"/>
                <w:sz w:val="20"/>
                <w:szCs w:val="20"/>
              </w:rPr>
              <w:t xml:space="preserve"> ust. 1</w:t>
            </w:r>
            <w:r w:rsidR="00862CCD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FE02EA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AD2240" w14:paraId="0190B9AB" w14:textId="77777777" w:rsidTr="00AD224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A78A" w14:textId="77777777" w:rsidR="00AD2240" w:rsidRPr="001717B2" w:rsidRDefault="00AD2240" w:rsidP="00AD2240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color w:val="00000A"/>
                <w:sz w:val="20"/>
                <w:szCs w:val="20"/>
              </w:rPr>
              <w:t>Urządzenie wielofunkcyjne A3</w:t>
            </w:r>
          </w:p>
          <w:p w14:paraId="60D8282E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Prędkość drukowania (mono i w kolorze) A4: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26 str./min.</w:t>
            </w:r>
          </w:p>
          <w:p w14:paraId="5F8A5EC0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Czas nagrzewania: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18 s.</w:t>
            </w:r>
          </w:p>
          <w:p w14:paraId="5A61D71F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Rozdzielczość: optyczna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1200 x 1200 dpi, interpolowana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9600 x 600 dpi</w:t>
            </w:r>
          </w:p>
          <w:p w14:paraId="7686A543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Procesor: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1,6 GHz</w:t>
            </w:r>
          </w:p>
          <w:p w14:paraId="267EF5D9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Interfejsy: 10Base-T, 100Base-TX, 1000Base-T, USB 2.0 (urządzenie i host), USB 3.0 (urządzenie i host), opcjonalnie Bluetooth</w:t>
            </w:r>
          </w:p>
          <w:p w14:paraId="6FAA5F12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Obsługiwane protokoły i porty: TCP/IP(IPv4, IPv6), LPR, Raw Port 9100, IPP1.0, FTP, HTTP, SMB (v1.0, v2.0, v2.1, v3.0,v3.1.1), POP3, SMTP, SSL, TLS (1.0, 1.1, 1.2, 1.3), SNMP V1, SNMP V3</w:t>
            </w:r>
          </w:p>
          <w:p w14:paraId="760E1C30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Języki opisu strony: standard - PCL6, opcjonalnie - Adobe PostScript3</w:t>
            </w:r>
          </w:p>
          <w:p w14:paraId="165C57F3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Pamięć: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5 GB</w:t>
            </w:r>
          </w:p>
          <w:p w14:paraId="6FA6B827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Twardy dysk: standard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128 GB SSD/ opcja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512 GB SSD</w:t>
            </w:r>
          </w:p>
          <w:p w14:paraId="69F396D1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Opcjonalnie złącze wifi IEEE802.11 a/b/n/g/ac </w:t>
            </w:r>
          </w:p>
          <w:p w14:paraId="40EDCA6F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Panel sterowania: dotykowy, kolorowy ,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10-calowy, ruchomy</w:t>
            </w:r>
          </w:p>
          <w:p w14:paraId="7D7BDD7C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Zoom: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25-400% w krokach co 1%</w:t>
            </w:r>
          </w:p>
          <w:p w14:paraId="13ECE419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lastRenderedPageBreak/>
              <w:t>Kolorowe skanowanie sieciowe</w:t>
            </w:r>
          </w:p>
          <w:p w14:paraId="01F744EA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Pojemność podajnika dokumentów: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100 ark. (80 g/m2)</w:t>
            </w:r>
          </w:p>
          <w:p w14:paraId="061B7078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Prędkość skanowania: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80 str./min.</w:t>
            </w:r>
          </w:p>
          <w:p w14:paraId="65B66C8F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Kasety na papier: na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550 ark. (80 g/m2)</w:t>
            </w:r>
          </w:p>
          <w:p w14:paraId="226F86EE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Co najmniej 2 kasety obsługujące format papieru A5 – SRA3</w:t>
            </w:r>
          </w:p>
          <w:p w14:paraId="2B980C9D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Obsługiwana gramatura papieru w kasetach: 60 – 300 g/m2</w:t>
            </w:r>
          </w:p>
          <w:p w14:paraId="0328A6B3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Maksymalna gramatura dla wydruków w dupleksie: 256 g/m2 (z kaset i podajnika bocznego)</w:t>
            </w:r>
          </w:p>
          <w:p w14:paraId="498FD554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Podajnik boczny na 100 arkuszy (80 g/m2) obsługujący gramaturę 55 – 300 g/m2 i formaty A6-SRA3, formaty użytkownika od 90 x 140 mm do 320 x 457 mm oraz papier banerowy o wymiarach do 320 mm x 1300 mm</w:t>
            </w:r>
          </w:p>
          <w:p w14:paraId="2DF7C91E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Sortowanie z przesunięciem dla formatów A4 i A3</w:t>
            </w:r>
          </w:p>
          <w:p w14:paraId="15EB46F6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Pojemność tacy odbiorczej: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400 ark. (80 g/m2)</w:t>
            </w:r>
          </w:p>
          <w:p w14:paraId="7E0E14A5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Możliwość instalacji 2 dodatkowych tac odbiorczych o łącznej pojemności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220 ark. (80 g/m2)</w:t>
            </w:r>
          </w:p>
          <w:p w14:paraId="7D3AF081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Możliwość rozbudowy o finiszer ze zszywaniem (zszywanie dwupozycyjne, ręczne, bezzszywkowe)</w:t>
            </w:r>
          </w:p>
          <w:p w14:paraId="59297AB9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Opcjonalnie moduł OCR instalowany w urządzeniu pozwalający skanować do formatów .xlsx, .docx,. pptx, przeszukiwalny PDF</w:t>
            </w:r>
          </w:p>
          <w:p w14:paraId="275600C5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Kopiowanie ciągłe: 1 – 9999</w:t>
            </w:r>
          </w:p>
          <w:p w14:paraId="29685F2F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Czas uzyskania pierwszej kopii: mono –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6,5 s., kolor –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7,6 s.</w:t>
            </w:r>
          </w:p>
          <w:p w14:paraId="24184AD8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Bezpieczeństwo: wbudowany moduł TPM, opcjonalnie możliwość instalacji programu antywirusowego</w:t>
            </w:r>
          </w:p>
          <w:p w14:paraId="52FBFFDB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Możliwość podglądu prac kopiowania / skanowania na panelu sterowania z możliwością edycji (zmiana kolejności stron, obracanie stron, usuwanie stron, strefowe usuwanie treści) przed zatwierdzeniem pracy</w:t>
            </w:r>
          </w:p>
          <w:p w14:paraId="28936806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Drukowanie i kopiowanie w tandemie (praca zostanie rozłożona na dwa urządzenia)</w:t>
            </w:r>
          </w:p>
          <w:p w14:paraId="3A0A847F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Skanowanie do e-maila, FTP, SMB, do nośnika pamięci USB, na pulpit, na twardy dysk, sieciowy TWAIN</w:t>
            </w:r>
          </w:p>
          <w:p w14:paraId="4089DF91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Możliwość skanowania do: TIFF, JPEG, PDF, PDF/A-1b, szyfrowany PDF, XPS, JPEG, opcjonalnie do PDF/A-1a, przeszukiwalny PDF, pptx, docx, xlsx, Compact PDF</w:t>
            </w:r>
          </w:p>
          <w:p w14:paraId="045298F1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Pomijanie pustych stron przy skanowaniu</w:t>
            </w:r>
          </w:p>
          <w:p w14:paraId="6FC2122A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Podział skanowanego dokumentu na oddzielne pliki o określonej ilości stron</w:t>
            </w:r>
          </w:p>
          <w:p w14:paraId="033FD371" w14:textId="77777777" w:rsidR="00AD2240" w:rsidRPr="001717B2" w:rsidRDefault="00AD2240" w:rsidP="00AD2240">
            <w:p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</w:p>
          <w:p w14:paraId="429F4508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lastRenderedPageBreak/>
              <w:t xml:space="preserve">Możliwość założenia 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min 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1000 folderów użytkowników na twardym dysku</w:t>
            </w:r>
          </w:p>
          <w:p w14:paraId="73281979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Funkcja wydruku podążającego dla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min</w:t>
            </w: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10 urządzeń</w:t>
            </w:r>
          </w:p>
          <w:p w14:paraId="6466386E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System automatycznego wysuwania tonera – pojemnik z tonerem zostanie automatycznie wysunięty, gdy zostanie wyczerpany</w:t>
            </w:r>
          </w:p>
          <w:p w14:paraId="408FCF5E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Obsługa S/MIME, IEEE 802.1X</w:t>
            </w:r>
          </w:p>
          <w:p w14:paraId="68132934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Nadpisywanie danych na twardym dysku</w:t>
            </w:r>
          </w:p>
          <w:p w14:paraId="4220AAD9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Funkcja zdalnego panelu – możliwość wyświetlenia panelu na ekranie komputera i wprowadzania ustawień oraz pracy na urządzeniu korzystając z tak wyświetlonego panelu.</w:t>
            </w:r>
          </w:p>
          <w:p w14:paraId="7A472371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Możliwość rozbudowy o moduł podłączenia do drugiej sieci komputerowej (łącznie ze skonfigurowaną funkcją skanowania do e-maila dla obydwu sieci).</w:t>
            </w:r>
          </w:p>
          <w:p w14:paraId="16279360" w14:textId="77777777" w:rsidR="00AD2240" w:rsidRPr="00A12086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Szyfrowanie danych algorytmem AES 256-bit</w:t>
            </w:r>
          </w:p>
          <w:p w14:paraId="074D7DF4" w14:textId="77777777" w:rsidR="00AD2240" w:rsidRPr="001717B2" w:rsidRDefault="00AD2240" w:rsidP="00AD2240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1717B2">
              <w:rPr>
                <w:rFonts w:eastAsia="Times New Roman" w:cs="Calibri"/>
                <w:bCs/>
                <w:color w:val="00000A"/>
                <w:sz w:val="20"/>
                <w:szCs w:val="20"/>
              </w:rPr>
              <w:t>Obsługa oprogramowania typu SIEM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B655" w14:textId="77777777" w:rsidR="00AD2240" w:rsidRPr="001717B2" w:rsidRDefault="00AD2240" w:rsidP="00AD2240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</w:tbl>
    <w:p w14:paraId="282F7FFB" w14:textId="77777777" w:rsidR="00AD2240" w:rsidRDefault="00AD2240" w:rsidP="00AD2240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</w:rPr>
      </w:pPr>
    </w:p>
    <w:p w14:paraId="414D9621" w14:textId="77777777" w:rsidR="00AD2240" w:rsidRDefault="00AD2240" w:rsidP="00AD2240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14:paraId="58853C14" w14:textId="77777777" w:rsidR="00AD2240" w:rsidRDefault="00AD2240" w:rsidP="00AD2240">
      <w:pPr>
        <w:spacing w:after="0" w:line="276" w:lineRule="auto"/>
        <w:rPr>
          <w:b/>
          <w:bCs/>
        </w:rPr>
      </w:pPr>
    </w:p>
    <w:p w14:paraId="0A5EA363" w14:textId="77777777" w:rsidR="00AD2240" w:rsidRDefault="00AD2240" w:rsidP="00AD2240">
      <w:pPr>
        <w:spacing w:after="0" w:line="276" w:lineRule="auto"/>
        <w:ind w:left="2124" w:hanging="2124"/>
        <w:rPr>
          <w:b/>
          <w:bCs/>
        </w:rPr>
      </w:pPr>
    </w:p>
    <w:p w14:paraId="6BAEB174" w14:textId="77777777" w:rsidR="00AD2240" w:rsidRDefault="00AD2240" w:rsidP="00AD2240">
      <w:pPr>
        <w:spacing w:after="0" w:line="276" w:lineRule="auto"/>
        <w:ind w:left="2124" w:hanging="2124"/>
      </w:pPr>
    </w:p>
    <w:p w14:paraId="27DA9A97" w14:textId="77777777" w:rsidR="00AD2240" w:rsidRDefault="00AD2240" w:rsidP="00AD2240">
      <w:pPr>
        <w:spacing w:after="0" w:line="276" w:lineRule="auto"/>
        <w:ind w:left="9204" w:firstLine="708"/>
        <w:rPr>
          <w:b/>
          <w:bCs/>
        </w:rPr>
      </w:pPr>
      <w:r>
        <w:rPr>
          <w:b/>
          <w:bCs/>
        </w:rPr>
        <w:t>……………………………………………………</w:t>
      </w:r>
    </w:p>
    <w:p w14:paraId="0869589E" w14:textId="77777777" w:rsidR="00AD2240" w:rsidRPr="00160853" w:rsidRDefault="00AD2240" w:rsidP="00AD2240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795CFF" w14:textId="77777777" w:rsidR="00AD2240" w:rsidRPr="00160853" w:rsidRDefault="00AD2240" w:rsidP="00AD2240">
      <w:pPr>
        <w:spacing w:after="0" w:line="276" w:lineRule="auto"/>
        <w:ind w:left="2124" w:hanging="2124"/>
      </w:pPr>
    </w:p>
    <w:p w14:paraId="66F173EF" w14:textId="77777777" w:rsidR="00AD2240" w:rsidRDefault="00AD2240" w:rsidP="00AD2240">
      <w:pPr>
        <w:spacing w:after="0" w:line="276" w:lineRule="auto"/>
        <w:ind w:left="2124" w:hanging="2124"/>
      </w:pPr>
    </w:p>
    <w:p w14:paraId="57F974BC" w14:textId="77777777" w:rsidR="00AD2240" w:rsidRDefault="00AD2240" w:rsidP="00AD2240"/>
    <w:p w14:paraId="18003321" w14:textId="77777777" w:rsidR="00AD2240" w:rsidRDefault="00AD2240" w:rsidP="00AD2240"/>
    <w:p w14:paraId="5AB642DE" w14:textId="77777777" w:rsidR="00AD2240" w:rsidRDefault="00AD2240"/>
    <w:sectPr w:rsidR="00AD2240" w:rsidSect="00BB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A834" w14:textId="77777777" w:rsidR="000D532F" w:rsidRDefault="000D532F">
      <w:pPr>
        <w:spacing w:after="0" w:line="240" w:lineRule="auto"/>
      </w:pPr>
      <w:r>
        <w:separator/>
      </w:r>
    </w:p>
  </w:endnote>
  <w:endnote w:type="continuationSeparator" w:id="0">
    <w:p w14:paraId="7BDBFC78" w14:textId="77777777" w:rsidR="000D532F" w:rsidRDefault="000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8D2" w14:textId="77777777" w:rsidR="00BB09B4" w:rsidRDefault="00956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7384" w14:textId="77777777" w:rsidR="00BB09B4" w:rsidRDefault="009568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C0DC" w14:textId="77777777" w:rsidR="00BB09B4" w:rsidRDefault="00956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1C3C" w14:textId="77777777" w:rsidR="000D532F" w:rsidRDefault="000D532F">
      <w:pPr>
        <w:spacing w:after="0" w:line="240" w:lineRule="auto"/>
      </w:pPr>
      <w:r>
        <w:separator/>
      </w:r>
    </w:p>
  </w:footnote>
  <w:footnote w:type="continuationSeparator" w:id="0">
    <w:p w14:paraId="02AFBE8E" w14:textId="77777777" w:rsidR="000D532F" w:rsidRDefault="000D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341" w14:textId="77777777" w:rsidR="00BB09B4" w:rsidRDefault="009568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0595" w14:textId="77777777" w:rsidR="00BB09B4" w:rsidRDefault="00FE02EA" w:rsidP="00B157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0E5CD" wp14:editId="27FCEC4D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F5E6" w14:textId="77777777" w:rsidR="00BB09B4" w:rsidRDefault="009568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9BC6" w14:textId="77777777" w:rsidR="00BB09B4" w:rsidRDefault="00956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14C"/>
    <w:multiLevelType w:val="hybridMultilevel"/>
    <w:tmpl w:val="702CE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40"/>
    <w:rsid w:val="000D532F"/>
    <w:rsid w:val="00862CCD"/>
    <w:rsid w:val="009568D9"/>
    <w:rsid w:val="00AD2240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910C"/>
  <w15:chartTrackingRefBased/>
  <w15:docId w15:val="{91F8E92E-65ED-4D52-A9EE-2F335C77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240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AD224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uiPriority w:val="99"/>
    <w:semiHidden/>
    <w:rsid w:val="00AD2240"/>
    <w:rPr>
      <w:rFonts w:ascii="Calibri" w:eastAsia="SimSun" w:hAnsi="Calibri" w:cs="font48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AD2240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AD224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uiPriority w:val="99"/>
    <w:semiHidden/>
    <w:rsid w:val="00AD2240"/>
    <w:rPr>
      <w:rFonts w:ascii="Calibri" w:eastAsia="SimSun" w:hAnsi="Calibri" w:cs="font480"/>
      <w:lang w:eastAsia="ar-SA"/>
    </w:rPr>
  </w:style>
  <w:style w:type="character" w:customStyle="1" w:styleId="StopkaZnak1">
    <w:name w:val="Stopka Znak1"/>
    <w:basedOn w:val="Domylnaczcionkaakapitu"/>
    <w:link w:val="Stopka"/>
    <w:rsid w:val="00AD2240"/>
    <w:rPr>
      <w:rFonts w:ascii="Calibri" w:eastAsia="SimSun" w:hAnsi="Calibri" w:cs="font48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22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22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EA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4</cp:revision>
  <cp:lastPrinted>2023-05-12T07:28:00Z</cp:lastPrinted>
  <dcterms:created xsi:type="dcterms:W3CDTF">2023-05-12T07:22:00Z</dcterms:created>
  <dcterms:modified xsi:type="dcterms:W3CDTF">2023-05-16T08:35:00Z</dcterms:modified>
</cp:coreProperties>
</file>