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E139DF">
            <w:pPr>
              <w:rPr>
                <w:rFonts w:cs="Times New Roman"/>
                <w:b/>
                <w:sz w:val="21"/>
                <w:szCs w:val="21"/>
              </w:rPr>
            </w:pPr>
            <w:bookmarkStart w:id="0" w:name="_Hlk12607021"/>
            <w:r w:rsidRPr="00483ED3">
              <w:rPr>
                <w:rFonts w:cs="Times New Roman"/>
                <w:b/>
                <w:sz w:val="21"/>
                <w:szCs w:val="21"/>
              </w:rPr>
              <w:t>ZP/220/</w:t>
            </w:r>
            <w:r w:rsidR="00E139DF">
              <w:rPr>
                <w:rFonts w:cs="Times New Roman"/>
                <w:b/>
                <w:sz w:val="21"/>
                <w:szCs w:val="21"/>
              </w:rPr>
              <w:t>108</w:t>
            </w:r>
            <w:r w:rsidR="00CB7275" w:rsidRPr="00483ED3">
              <w:rPr>
                <w:rFonts w:cs="Times New Roman"/>
                <w:b/>
                <w:sz w:val="21"/>
                <w:szCs w:val="21"/>
              </w:rPr>
              <w:t>/</w:t>
            </w:r>
            <w:r w:rsidR="00A711D1" w:rsidRPr="00483ED3">
              <w:rPr>
                <w:rFonts w:cs="Times New Roman"/>
                <w:b/>
                <w:sz w:val="21"/>
                <w:szCs w:val="21"/>
              </w:rPr>
              <w:t>2</w:t>
            </w:r>
            <w:r w:rsidR="006F32F5">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E139DF" w:rsidRPr="004955C0" w:rsidRDefault="00E139DF" w:rsidP="00E139DF">
      <w:pPr>
        <w:pStyle w:val="Stopka"/>
        <w:tabs>
          <w:tab w:val="clear" w:pos="4536"/>
          <w:tab w:val="clear" w:pos="9072"/>
          <w:tab w:val="left" w:pos="1080"/>
        </w:tabs>
        <w:jc w:val="both"/>
        <w:rPr>
          <w:rFonts w:ascii="Calibri" w:hAnsi="Calibri" w:cs="Calibri"/>
          <w:i/>
          <w:sz w:val="19"/>
          <w:szCs w:val="19"/>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dostawę, montaż i</w:t>
      </w:r>
      <w:r w:rsidRPr="00223BC7">
        <w:rPr>
          <w:rFonts w:ascii="Calibri" w:hAnsi="Calibri" w:cs="Calibri"/>
          <w:bCs/>
          <w:i/>
          <w:sz w:val="19"/>
          <w:szCs w:val="19"/>
        </w:rPr>
        <w:t xml:space="preserve"> uruchomienie </w:t>
      </w:r>
      <w:r>
        <w:rPr>
          <w:rFonts w:ascii="Calibri" w:hAnsi="Calibri" w:cs="Calibri"/>
          <w:bCs/>
          <w:i/>
          <w:sz w:val="19"/>
          <w:szCs w:val="19"/>
        </w:rPr>
        <w:t>aparatu RTG zestaw przyłóżkowy</w:t>
      </w:r>
      <w:r w:rsidRPr="004955C0">
        <w:rPr>
          <w:rFonts w:ascii="Calibri" w:hAnsi="Calibri" w:cs="Calibri"/>
          <w:bCs/>
          <w:i/>
          <w:sz w:val="19"/>
          <w:szCs w:val="19"/>
        </w:rPr>
        <w:t>.</w:t>
      </w:r>
    </w:p>
    <w:p w:rsidR="0068381F" w:rsidRPr="0038083B" w:rsidRDefault="0068381F" w:rsidP="00883CDE">
      <w:pPr>
        <w:spacing w:line="240" w:lineRule="auto"/>
        <w:ind w:right="284"/>
        <w:jc w:val="both"/>
        <w:rPr>
          <w:rFonts w:cs="Times New Roman"/>
          <w:i/>
          <w:sz w:val="18"/>
          <w:szCs w:val="18"/>
        </w:rPr>
      </w:pP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E139DF" w:rsidRPr="00E139DF" w:rsidRDefault="00E139DF" w:rsidP="00E139DF">
      <w:pPr>
        <w:spacing w:line="360" w:lineRule="auto"/>
        <w:ind w:right="-1"/>
        <w:jc w:val="center"/>
        <w:rPr>
          <w:rFonts w:ascii="Calibri" w:hAnsi="Calibri" w:cs="Calibri"/>
          <w:b/>
        </w:rPr>
      </w:pPr>
      <w:bookmarkStart w:id="2" w:name="_Hlk12607031"/>
      <w:r w:rsidRPr="00581E29">
        <w:rPr>
          <w:rFonts w:ascii="Calibri" w:hAnsi="Calibri" w:cs="Calibri"/>
          <w:b/>
        </w:rPr>
        <w:t>WYJAŚNIENIA NR 1 ORAZ MODYFIKACJA SWZ NR 1</w:t>
      </w:r>
    </w:p>
    <w:p w:rsidR="000D1019" w:rsidRDefault="000D1019" w:rsidP="000D1019">
      <w:pPr>
        <w:spacing w:line="240" w:lineRule="auto"/>
        <w:jc w:val="both"/>
        <w:rPr>
          <w:rFonts w:ascii="Calibri" w:hAnsi="Calibri" w:cs="Calibri"/>
          <w:sz w:val="19"/>
          <w:szCs w:val="19"/>
        </w:rPr>
      </w:pPr>
    </w:p>
    <w:p w:rsidR="00E139DF" w:rsidRPr="00164FB9" w:rsidRDefault="00E139DF" w:rsidP="000D1019">
      <w:pPr>
        <w:spacing w:line="240" w:lineRule="auto"/>
        <w:jc w:val="both"/>
        <w:rPr>
          <w:rFonts w:ascii="Calibri" w:hAnsi="Calibri" w:cs="Calibri"/>
          <w:sz w:val="19"/>
          <w:szCs w:val="19"/>
        </w:rPr>
      </w:pPr>
      <w:r w:rsidRPr="00164FB9">
        <w:rPr>
          <w:rFonts w:ascii="Calibri" w:hAnsi="Calibri" w:cs="Calibri"/>
          <w:sz w:val="19"/>
          <w:szCs w:val="19"/>
        </w:rPr>
        <w:t xml:space="preserve">Działając na podstawie art. 135 ust. 2 ustawy z dnia 11 września 2021 r. Prawo zamówień publicznych (Dz.U.2021.1129 </w:t>
      </w:r>
      <w:proofErr w:type="spellStart"/>
      <w:r w:rsidRPr="00164FB9">
        <w:rPr>
          <w:rFonts w:ascii="Calibri" w:hAnsi="Calibri" w:cs="Calibri"/>
          <w:sz w:val="19"/>
          <w:szCs w:val="19"/>
        </w:rPr>
        <w:t>t.j</w:t>
      </w:r>
      <w:proofErr w:type="spellEnd"/>
      <w:r w:rsidRPr="00164FB9">
        <w:rPr>
          <w:rFonts w:ascii="Calibri" w:hAnsi="Calibri" w:cs="Calibri"/>
          <w:sz w:val="19"/>
          <w:szCs w:val="19"/>
        </w:rPr>
        <w:t>. z dnia 2021.06.24, dalej: ustawa PZP), zamawiający udziela następującego wyjaśnienia:</w:t>
      </w:r>
    </w:p>
    <w:p w:rsidR="00E139DF" w:rsidRPr="00164FB9" w:rsidRDefault="00E139DF" w:rsidP="000D1019">
      <w:pPr>
        <w:spacing w:line="240" w:lineRule="auto"/>
        <w:ind w:right="-851"/>
        <w:jc w:val="both"/>
        <w:rPr>
          <w:rFonts w:ascii="Calibri" w:hAnsi="Calibri" w:cs="Calibri"/>
          <w:sz w:val="19"/>
          <w:szCs w:val="19"/>
        </w:rPr>
      </w:pPr>
    </w:p>
    <w:p w:rsidR="00E139DF" w:rsidRPr="00E139DF" w:rsidRDefault="00E139DF" w:rsidP="000D1019">
      <w:pPr>
        <w:spacing w:line="240" w:lineRule="auto"/>
        <w:jc w:val="both"/>
        <w:rPr>
          <w:rFonts w:cstheme="minorHAnsi"/>
          <w:b/>
          <w:bCs/>
          <w:color w:val="000000"/>
          <w:sz w:val="19"/>
          <w:szCs w:val="19"/>
        </w:rPr>
      </w:pPr>
      <w:r w:rsidRPr="00E139DF">
        <w:rPr>
          <w:rFonts w:cstheme="minorHAnsi"/>
          <w:b/>
          <w:bCs/>
          <w:color w:val="000000"/>
          <w:sz w:val="19"/>
          <w:szCs w:val="19"/>
        </w:rPr>
        <w:t>Pytanie nr 1</w:t>
      </w:r>
    </w:p>
    <w:p w:rsidR="00E139DF" w:rsidRPr="00E139DF" w:rsidRDefault="00E139DF" w:rsidP="000D1019">
      <w:pPr>
        <w:pStyle w:val="Akapitzlist"/>
        <w:spacing w:after="160"/>
        <w:ind w:left="0"/>
        <w:jc w:val="both"/>
        <w:rPr>
          <w:rFonts w:asciiTheme="minorHAnsi" w:hAnsiTheme="minorHAnsi" w:cstheme="minorHAnsi"/>
          <w:b/>
          <w:bCs/>
          <w:sz w:val="19"/>
          <w:szCs w:val="19"/>
        </w:rPr>
      </w:pPr>
      <w:r w:rsidRPr="00E139DF">
        <w:rPr>
          <w:rFonts w:asciiTheme="minorHAnsi" w:hAnsiTheme="minorHAnsi" w:cstheme="minorHAnsi"/>
          <w:b/>
          <w:bCs/>
          <w:sz w:val="19"/>
          <w:szCs w:val="19"/>
        </w:rPr>
        <w:t xml:space="preserve">Dotyczy pkt 3.13. - Miernik dawki DAP zintegrowany z generatorem. Pomiar dawki DAP z prezentacją wartości dawki na konsoli operatora i zapisem w pliku </w:t>
      </w:r>
      <w:proofErr w:type="spellStart"/>
      <w:r w:rsidRPr="00E139DF">
        <w:rPr>
          <w:rFonts w:asciiTheme="minorHAnsi" w:hAnsiTheme="minorHAnsi" w:cstheme="minorHAnsi"/>
          <w:b/>
          <w:bCs/>
          <w:sz w:val="19"/>
          <w:szCs w:val="19"/>
        </w:rPr>
        <w:t>Dicom</w:t>
      </w:r>
      <w:proofErr w:type="spellEnd"/>
    </w:p>
    <w:p w:rsidR="00E139DF" w:rsidRPr="00E139DF" w:rsidRDefault="00E139DF" w:rsidP="000D1019">
      <w:pPr>
        <w:pStyle w:val="Akapitzlist"/>
        <w:ind w:left="0"/>
        <w:jc w:val="both"/>
        <w:rPr>
          <w:rFonts w:asciiTheme="minorHAnsi" w:hAnsiTheme="minorHAnsi" w:cstheme="minorHAnsi"/>
          <w:sz w:val="19"/>
          <w:szCs w:val="19"/>
        </w:rPr>
      </w:pPr>
      <w:r w:rsidRPr="00E139DF">
        <w:rPr>
          <w:rFonts w:asciiTheme="minorHAnsi" w:hAnsiTheme="minorHAnsi" w:cstheme="minorHAnsi"/>
          <w:sz w:val="19"/>
          <w:szCs w:val="19"/>
        </w:rPr>
        <w:t>Zamawiający wymaga, aby aparat wyposażony był w miernik dawki DAP. Czy Zamawiający dopuści zestaw, w którym pomiar dawki realizowany jest przez zintegrowane oprogramowanie (kalkulator DAP), z prezentacją dawki na konsoli i zapisem do pliku DICOM, co jest rozwiązaniem równie skutecznym, i nie wpływa znacząco na funkcjonalność oferowanego sprzętu. Dodatkowo takie rozwiązanie zmniejsza ryzyko usterki układu, który wyposażony jest w tradycyjną komorę, będącą delik</w:t>
      </w:r>
      <w:r>
        <w:rPr>
          <w:rFonts w:asciiTheme="minorHAnsi" w:hAnsiTheme="minorHAnsi" w:cstheme="minorHAnsi"/>
          <w:sz w:val="19"/>
          <w:szCs w:val="19"/>
        </w:rPr>
        <w:t xml:space="preserve">atnym urządzeniem pomiarowym.  </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Odp. Zamawiający dopuszcza</w:t>
      </w:r>
    </w:p>
    <w:p w:rsidR="00E139DF" w:rsidRPr="00E139DF" w:rsidRDefault="00E139DF" w:rsidP="000D1019">
      <w:pPr>
        <w:spacing w:line="240" w:lineRule="auto"/>
        <w:jc w:val="both"/>
        <w:rPr>
          <w:rFonts w:cstheme="minorHAnsi"/>
          <w:b/>
          <w:bCs/>
          <w:sz w:val="19"/>
          <w:szCs w:val="19"/>
        </w:rPr>
      </w:pP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Pytanie nr 2</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Dotyczy SWZ</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Zamawiający w rozdz. V SWZ wymaga, aby realizacja przedmiotu zamówienia odbyła się w dniach od 20 do 24 listopada 2023 r.</w:t>
      </w:r>
    </w:p>
    <w:p w:rsidR="00E139DF" w:rsidRPr="00E139DF" w:rsidRDefault="00E139DF" w:rsidP="000D1019">
      <w:pPr>
        <w:spacing w:line="240" w:lineRule="auto"/>
        <w:jc w:val="both"/>
        <w:rPr>
          <w:rFonts w:cstheme="minorHAnsi"/>
          <w:b/>
          <w:bCs/>
          <w:sz w:val="19"/>
          <w:szCs w:val="19"/>
          <w:u w:val="single"/>
        </w:rPr>
      </w:pPr>
      <w:r w:rsidRPr="00E139DF">
        <w:rPr>
          <w:rFonts w:cstheme="minorHAnsi"/>
          <w:sz w:val="19"/>
          <w:szCs w:val="19"/>
        </w:rPr>
        <w:t xml:space="preserve">Zwracamy się z uprzejmą prośbą o wydłużenie terminu realizacji do min. </w:t>
      </w:r>
      <w:r w:rsidRPr="00E139DF">
        <w:rPr>
          <w:rFonts w:cstheme="minorHAnsi"/>
          <w:b/>
          <w:bCs/>
          <w:sz w:val="19"/>
          <w:szCs w:val="19"/>
          <w:u w:val="single"/>
        </w:rPr>
        <w:t>31 grudnia 2023r.</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 xml:space="preserve">Pragniemy poinformować, iż urządzenia będące przedmiotem zamówienia są produkowane pod konkretne zamówienie składane u producenta. Żaden z dostawców przedmiotowych aparatów RTG nie przechowuje ich „na magazynie”, tylko w momencie podpisywania umowy z klientem zleca ich produkcję. </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 xml:space="preserve">Ponadto, biorąc pod uwagę terminy wynikające z ustawy Prawo zamówień publicznych, przy założeniu, że cała procedura przebiega w „ekspresowym tempie” i bez żadnych zakłóceń (termin składania ofert nie zostanie wydłużony, wykonawca w odpowiedzi na wezwanie w trybie art. 126 ust. 1 </w:t>
      </w:r>
      <w:proofErr w:type="spellStart"/>
      <w:r w:rsidRPr="00E139DF">
        <w:rPr>
          <w:rFonts w:cstheme="minorHAnsi"/>
          <w:sz w:val="19"/>
          <w:szCs w:val="19"/>
        </w:rPr>
        <w:t>Pzp</w:t>
      </w:r>
      <w:proofErr w:type="spellEnd"/>
      <w:r w:rsidRPr="00E139DF">
        <w:rPr>
          <w:rFonts w:cstheme="minorHAnsi"/>
          <w:sz w:val="19"/>
          <w:szCs w:val="19"/>
        </w:rPr>
        <w:t xml:space="preserve"> niezwłocznie dostarczy dokumenty, nie zaistnieje konieczność wezwania wykonawców do uzupełnienia dokumentów i/lub złożenia wyjaśnień treści oferty oraz jeżeli nie zostanie złożone odwołanie) to najwcześniejszym możliwym terminem w którym może zostać zawarta umowa jest 13-14 listopada 2023 r. – czyli wykonawca ma 3-5 dni roboczych na rozpoczęcie i zakończenie realizacji całego zamówienia (dostawa, instalacja, konfiguracja, szkolenie personelu itp.), co czyni tę realizację niewykonalną.</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 xml:space="preserve">W przypadku gdy np. na wybór oferty zostałoby złożone odwołanie Zamawiający będzie zmuszony do unieważnienia postępowania, gdyż mając na uwadze terminy wydawania orzeczeń przez Krajową Izbę Odwoławczą odbędzie się to już po terminie realizacji przedmiotu zamówienia wskazanym w SWZ. </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 xml:space="preserve">W związku z powyższym prosimy jak na wstępie o wydłużenie terminu realizacji co najmniej do </w:t>
      </w:r>
      <w:r w:rsidRPr="00E139DF">
        <w:rPr>
          <w:rFonts w:cstheme="minorHAnsi"/>
          <w:b/>
          <w:bCs/>
          <w:sz w:val="19"/>
          <w:szCs w:val="19"/>
          <w:u w:val="single"/>
        </w:rPr>
        <w:t>31 grudnia 2023 r.</w:t>
      </w:r>
    </w:p>
    <w:p w:rsidR="00E139DF" w:rsidRPr="00E139DF" w:rsidRDefault="00E139DF" w:rsidP="000D1019">
      <w:pPr>
        <w:spacing w:line="240" w:lineRule="auto"/>
        <w:jc w:val="both"/>
        <w:rPr>
          <w:rFonts w:cstheme="minorHAnsi"/>
          <w:b/>
          <w:sz w:val="19"/>
          <w:szCs w:val="19"/>
        </w:rPr>
      </w:pPr>
      <w:r w:rsidRPr="00E139DF">
        <w:rPr>
          <w:rFonts w:cstheme="minorHAnsi"/>
          <w:b/>
          <w:sz w:val="19"/>
          <w:szCs w:val="19"/>
        </w:rPr>
        <w:lastRenderedPageBreak/>
        <w:t>Odp. Zamawiający nie wyraża zgody na wydłużenie terminu</w:t>
      </w:r>
    </w:p>
    <w:p w:rsidR="00E139DF" w:rsidRPr="00E139DF" w:rsidRDefault="00E139DF" w:rsidP="000D1019">
      <w:pPr>
        <w:spacing w:line="240" w:lineRule="auto"/>
        <w:jc w:val="both"/>
        <w:rPr>
          <w:rFonts w:cstheme="minorHAnsi"/>
          <w:sz w:val="19"/>
          <w:szCs w:val="19"/>
        </w:rPr>
      </w:pP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Pytanie nr 3</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Dotyczy SWZ</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W rozdz. IV Zamawiający napisał, że: „</w:t>
      </w:r>
      <w:r w:rsidRPr="00E139DF">
        <w:rPr>
          <w:rFonts w:cstheme="minorHAnsi"/>
          <w:i/>
          <w:iCs/>
          <w:sz w:val="19"/>
          <w:szCs w:val="19"/>
        </w:rPr>
        <w:t>wymaga, aby zaoferowany sprzęt stanowił wyrób medyczny</w:t>
      </w:r>
      <w:r w:rsidRPr="00E139DF">
        <w:rPr>
          <w:rFonts w:cstheme="minorHAnsi"/>
          <w:sz w:val="19"/>
          <w:szCs w:val="19"/>
        </w:rPr>
        <w:t>”.</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 xml:space="preserve">Uprzejmie prosimy o potwierdzenie, że ww. zapis dotyczy tylko i wyłącznie głównego przedmiotu zamówienia, tj. aparatów RTG a nie np. elementów ochrony radiologicznej, </w:t>
      </w:r>
      <w:r>
        <w:rPr>
          <w:rFonts w:cstheme="minorHAnsi"/>
          <w:sz w:val="19"/>
          <w:szCs w:val="19"/>
        </w:rPr>
        <w:t>które nie są wyrobem medycznym.</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Odp. Zamawiający wymaga aparatów RTG, który ma być wyrobem medycznym. Wyposażenie dodatkowe w postaci ochrony radiologicznej nie jest wymaga</w:t>
      </w:r>
      <w:r>
        <w:rPr>
          <w:rFonts w:cstheme="minorHAnsi"/>
          <w:b/>
          <w:bCs/>
          <w:sz w:val="19"/>
          <w:szCs w:val="19"/>
        </w:rPr>
        <w:t>ne żeby było wyrobem medycznym.</w:t>
      </w:r>
    </w:p>
    <w:p w:rsidR="00E139DF" w:rsidRPr="00E139DF" w:rsidRDefault="00E139DF" w:rsidP="000D1019">
      <w:pPr>
        <w:spacing w:line="240" w:lineRule="auto"/>
        <w:jc w:val="both"/>
        <w:rPr>
          <w:rFonts w:cstheme="minorHAnsi"/>
          <w:b/>
          <w:bCs/>
          <w:sz w:val="19"/>
          <w:szCs w:val="19"/>
        </w:rPr>
      </w:pP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Pytanie nr 4</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Dotyczy SWZ</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W rozdz. XIX SWZ Zamawiający wymaga przedmiotowych środkó</w:t>
      </w:r>
      <w:r>
        <w:rPr>
          <w:rFonts w:cstheme="minorHAnsi"/>
          <w:sz w:val="19"/>
          <w:szCs w:val="19"/>
        </w:rPr>
        <w:t xml:space="preserve">w dowodowych. Uprzejmie prosimy </w:t>
      </w:r>
      <w:r w:rsidRPr="00E139DF">
        <w:rPr>
          <w:rFonts w:cstheme="minorHAnsi"/>
          <w:sz w:val="19"/>
          <w:szCs w:val="19"/>
        </w:rPr>
        <w:t>o potwierdzenie, że wymagane dokumenty mają dotyczyć tylko i wyłącznie głównego przedmiotu zamówienia, tj. aparatów RTG.</w:t>
      </w:r>
    </w:p>
    <w:p w:rsidR="00E139DF" w:rsidRPr="00E139DF" w:rsidRDefault="00E139DF" w:rsidP="000D1019">
      <w:pPr>
        <w:spacing w:line="240" w:lineRule="auto"/>
        <w:jc w:val="both"/>
        <w:rPr>
          <w:rFonts w:cstheme="minorHAnsi"/>
          <w:sz w:val="19"/>
          <w:szCs w:val="19"/>
        </w:rPr>
      </w:pPr>
      <w:r w:rsidRPr="00E139DF">
        <w:rPr>
          <w:rFonts w:cstheme="minorHAnsi"/>
          <w:b/>
          <w:bCs/>
          <w:sz w:val="19"/>
          <w:szCs w:val="19"/>
        </w:rPr>
        <w:t>Odp. Zamawiający wymaga przedmiotowych środków dowodowych na aparat RTG, który ma być wyrobem medycznym. Na wyposażenie dodatkowe, jeśli nie jest wyrobem medycznym, Zamawiający nie wymaga środków dowodowych.</w:t>
      </w:r>
    </w:p>
    <w:p w:rsidR="00E139DF" w:rsidRPr="00E139DF" w:rsidRDefault="00E139DF" w:rsidP="000D1019">
      <w:pPr>
        <w:spacing w:line="240" w:lineRule="auto"/>
        <w:jc w:val="both"/>
        <w:rPr>
          <w:rFonts w:cstheme="minorHAnsi"/>
          <w:sz w:val="19"/>
          <w:szCs w:val="19"/>
        </w:rPr>
      </w:pP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Pytanie nr 5</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Dotyczy SWZ</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Zamawiający w rozdz. XXIII SWZ zastrzegł:</w:t>
      </w:r>
    </w:p>
    <w:p w:rsidR="00E139DF" w:rsidRPr="00E139DF" w:rsidRDefault="00E139DF" w:rsidP="000D1019">
      <w:pPr>
        <w:autoSpaceDE w:val="0"/>
        <w:autoSpaceDN w:val="0"/>
        <w:adjustRightInd w:val="0"/>
        <w:spacing w:line="240" w:lineRule="auto"/>
        <w:jc w:val="both"/>
        <w:rPr>
          <w:rFonts w:cstheme="minorHAnsi"/>
          <w:i/>
          <w:iCs/>
          <w:sz w:val="19"/>
          <w:szCs w:val="19"/>
        </w:rPr>
      </w:pPr>
      <w:r w:rsidRPr="00E139DF">
        <w:rPr>
          <w:rFonts w:cstheme="minorHAnsi"/>
          <w:i/>
          <w:iCs/>
          <w:sz w:val="19"/>
          <w:szCs w:val="19"/>
        </w:rPr>
        <w:t>4. W przypadku powierzenia części zamówienia podwykonawcom, zamawiający zastrzega sobie prawo do zbadania podstaw wykluczenia podwykonawcy niebędącego podmiotem udostepniającym zasoby, w zakresie określonym w niniejszym postępowaniu.</w:t>
      </w:r>
    </w:p>
    <w:p w:rsidR="00E139DF" w:rsidRPr="00E139DF" w:rsidRDefault="00E139DF" w:rsidP="000D1019">
      <w:pPr>
        <w:autoSpaceDE w:val="0"/>
        <w:autoSpaceDN w:val="0"/>
        <w:adjustRightInd w:val="0"/>
        <w:spacing w:line="240" w:lineRule="auto"/>
        <w:jc w:val="both"/>
        <w:rPr>
          <w:rFonts w:cstheme="minorHAnsi"/>
          <w:sz w:val="19"/>
          <w:szCs w:val="19"/>
        </w:rPr>
      </w:pPr>
      <w:r w:rsidRPr="00E139DF">
        <w:rPr>
          <w:rFonts w:cstheme="minorHAnsi"/>
          <w:i/>
          <w:iCs/>
          <w:sz w:val="19"/>
          <w:szCs w:val="19"/>
        </w:rPr>
        <w:t>5. W przypadku opisanym w podpunkcie 4, wykonawca na żądanie zamawiającego zobowiązany będzie przedstawić oświadczenie, o którym mowa w art. 125 ust. 1, lub podmiotowe środki dowodowe dotyczące tego podwykonawcy.</w:t>
      </w:r>
    </w:p>
    <w:p w:rsidR="00E139DF" w:rsidRPr="00E139DF" w:rsidRDefault="00E139DF" w:rsidP="000D1019">
      <w:pPr>
        <w:autoSpaceDE w:val="0"/>
        <w:autoSpaceDN w:val="0"/>
        <w:adjustRightInd w:val="0"/>
        <w:spacing w:line="240" w:lineRule="auto"/>
        <w:jc w:val="both"/>
        <w:rPr>
          <w:rFonts w:cstheme="minorHAnsi"/>
          <w:sz w:val="19"/>
          <w:szCs w:val="19"/>
        </w:rPr>
      </w:pPr>
      <w:r w:rsidRPr="00E139DF">
        <w:rPr>
          <w:rFonts w:cstheme="minorHAnsi"/>
          <w:sz w:val="19"/>
          <w:szCs w:val="19"/>
        </w:rPr>
        <w:t>Uprzejmie prosimy o potwierdzenie, że powyższy zapis ma charakter tylko i wyłącznie informacyjny i wykonawcy nie muszą załączać do oferty dokumentów dotyczących podwykonawców niebędących podmiotem udostępniającym zasoby.</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Biorąc pod uwagę fakt, iż wskazanie na etapie składania ofert nazw podwykonawców ma jedynie charakter informacyjny, a podwykonawcy będą realizować jedynie część zamówienia, za którą ostatecznie ponosi odpowiedzialność wykonawca, konieczność przedłożenia dokumentacji podwykonawców nie udostępniających zasobów stanowiłoby na etapie składania ofert jedynie dodatkową pracę biurokratyczną dla</w:t>
      </w:r>
      <w:r>
        <w:rPr>
          <w:rFonts w:cstheme="minorHAnsi"/>
          <w:sz w:val="19"/>
          <w:szCs w:val="19"/>
        </w:rPr>
        <w:t xml:space="preserve"> Zamawiającego oraz wykonawcy. </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 xml:space="preserve">Odp. Zamawiający wskazuje, że zobowiązanie do przedłożenia oświadczeń, o których mowa w art. 124 ust. 1 PZP lub podmiotowych środków dowodowych dotyczących podwykonawcy niebędącym podmiotem udostępniającym zasoby aktualizuje się na żądanie Zamawiającego. </w:t>
      </w:r>
    </w:p>
    <w:p w:rsidR="00E139DF" w:rsidRPr="00E139DF" w:rsidRDefault="00E139DF" w:rsidP="000D1019">
      <w:pPr>
        <w:spacing w:line="240" w:lineRule="auto"/>
        <w:jc w:val="both"/>
        <w:rPr>
          <w:rFonts w:cstheme="minorHAnsi"/>
          <w:b/>
          <w:bCs/>
          <w:sz w:val="19"/>
          <w:szCs w:val="19"/>
        </w:rPr>
      </w:pP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Pytanie nr 6</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Dotyczy SWZ</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Dotyczy projektowanych postanowień umowy</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 xml:space="preserve">W § 7 ust. </w:t>
      </w:r>
      <w:r>
        <w:rPr>
          <w:rFonts w:cstheme="minorHAnsi"/>
          <w:sz w:val="19"/>
          <w:szCs w:val="19"/>
        </w:rPr>
        <w:t>2, pkt. 6) Zamawiający napisał:</w:t>
      </w:r>
    </w:p>
    <w:p w:rsidR="00E139DF" w:rsidRPr="00E139DF" w:rsidRDefault="00E139DF" w:rsidP="000D1019">
      <w:pPr>
        <w:spacing w:line="240" w:lineRule="auto"/>
        <w:jc w:val="both"/>
        <w:rPr>
          <w:rFonts w:cstheme="minorHAnsi"/>
          <w:i/>
          <w:iCs/>
          <w:sz w:val="19"/>
          <w:szCs w:val="19"/>
        </w:rPr>
      </w:pPr>
      <w:r w:rsidRPr="00E139DF">
        <w:rPr>
          <w:rFonts w:cstheme="minorHAnsi"/>
          <w:i/>
          <w:iCs/>
          <w:sz w:val="19"/>
          <w:szCs w:val="19"/>
        </w:rPr>
        <w:t>dostarczenie sprzętu zastępczego, na czas trwającej naprawy, w przypadku awarii trwającej powyżej 5 dni roboczych.</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 xml:space="preserve">Uprzejmie prosimy o usunięcie ww. zapisu z projektowanych postanowień umowy. </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Użytkowanie aparatu zastępczego, aby mógł on funkcjonować w placówce ochrony zdrowia w zgodzie z obowiązującymi przepisami prawa wymaga uzyskania zezwolenia z Sanepidu. Czas niezbędny na uzyskanie ww. decyzji administracyjnej może być dłuższy niż jakakolwiek naprawa urządzenia co w konsekwencji czynni prz</w:t>
      </w:r>
      <w:r>
        <w:rPr>
          <w:rFonts w:cstheme="minorHAnsi"/>
          <w:sz w:val="19"/>
          <w:szCs w:val="19"/>
        </w:rPr>
        <w:t xml:space="preserve">edmiotowy zapis bezużytecznym. </w:t>
      </w:r>
    </w:p>
    <w:p w:rsidR="00E139DF" w:rsidRPr="00E139DF" w:rsidRDefault="00E139DF" w:rsidP="000D1019">
      <w:pPr>
        <w:spacing w:line="240" w:lineRule="auto"/>
        <w:jc w:val="both"/>
        <w:rPr>
          <w:rFonts w:cstheme="minorHAnsi"/>
          <w:b/>
          <w:sz w:val="19"/>
          <w:szCs w:val="19"/>
        </w:rPr>
      </w:pPr>
      <w:r w:rsidRPr="00E139DF">
        <w:rPr>
          <w:rFonts w:cstheme="minorHAnsi"/>
          <w:b/>
          <w:sz w:val="19"/>
          <w:szCs w:val="19"/>
        </w:rPr>
        <w:lastRenderedPageBreak/>
        <w:t>Odp. Zamawiający rezygnuje z aparatu zastępczego</w:t>
      </w:r>
    </w:p>
    <w:p w:rsidR="00E139DF" w:rsidRPr="00E139DF" w:rsidRDefault="00E139DF" w:rsidP="000D1019">
      <w:pPr>
        <w:spacing w:line="240" w:lineRule="auto"/>
        <w:jc w:val="both"/>
        <w:rPr>
          <w:rFonts w:cstheme="minorHAnsi"/>
          <w:sz w:val="19"/>
          <w:szCs w:val="19"/>
        </w:rPr>
      </w:pP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Pytanie nr 7</w:t>
      </w: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Dotyczy projektowanych postanowień umowy</w:t>
      </w:r>
    </w:p>
    <w:p w:rsidR="00E139DF" w:rsidRPr="00E139DF" w:rsidRDefault="00E139DF" w:rsidP="000D1019">
      <w:pPr>
        <w:spacing w:line="240" w:lineRule="auto"/>
        <w:jc w:val="both"/>
        <w:rPr>
          <w:rFonts w:cstheme="minorHAnsi"/>
          <w:sz w:val="19"/>
          <w:szCs w:val="19"/>
        </w:rPr>
      </w:pPr>
      <w:r>
        <w:rPr>
          <w:rFonts w:cstheme="minorHAnsi"/>
          <w:sz w:val="19"/>
          <w:szCs w:val="19"/>
        </w:rPr>
        <w:t>W § 7 ust. 17 czytamy:</w:t>
      </w:r>
    </w:p>
    <w:p w:rsidR="00E139DF" w:rsidRPr="00E139DF" w:rsidRDefault="00E139DF" w:rsidP="000D1019">
      <w:pPr>
        <w:spacing w:line="240" w:lineRule="auto"/>
        <w:jc w:val="both"/>
        <w:rPr>
          <w:rFonts w:cstheme="minorHAnsi"/>
          <w:i/>
          <w:iCs/>
          <w:sz w:val="19"/>
          <w:szCs w:val="19"/>
        </w:rPr>
      </w:pPr>
      <w:r w:rsidRPr="00E139DF">
        <w:rPr>
          <w:rFonts w:cstheme="minorHAnsi"/>
          <w:i/>
          <w:iCs/>
          <w:sz w:val="19"/>
          <w:szCs w:val="19"/>
        </w:rPr>
        <w:t>W przypadku wymiany wadliwego elementu zestawu/modułu/podzespołu na nowy, termin gwarancji na wymieniany w element zestawu/moduł/podzespół bi</w:t>
      </w:r>
      <w:r>
        <w:rPr>
          <w:rFonts w:cstheme="minorHAnsi"/>
          <w:i/>
          <w:iCs/>
          <w:sz w:val="19"/>
          <w:szCs w:val="19"/>
        </w:rPr>
        <w:t xml:space="preserve">egnie na nowo od dnia wymiany. </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Zwracamy się z uprzejmą prośbą o zmianę treści ww. zapisu i nada</w:t>
      </w:r>
      <w:r>
        <w:rPr>
          <w:rFonts w:cstheme="minorHAnsi"/>
          <w:sz w:val="19"/>
          <w:szCs w:val="19"/>
        </w:rPr>
        <w:t>nie mu następującego brzmienia:</w:t>
      </w:r>
    </w:p>
    <w:p w:rsidR="00E139DF" w:rsidRPr="00E139DF" w:rsidRDefault="00E139DF" w:rsidP="000D1019">
      <w:pPr>
        <w:spacing w:line="240" w:lineRule="auto"/>
        <w:jc w:val="both"/>
        <w:rPr>
          <w:rFonts w:cstheme="minorHAnsi"/>
          <w:i/>
          <w:iCs/>
          <w:sz w:val="19"/>
          <w:szCs w:val="19"/>
        </w:rPr>
      </w:pPr>
      <w:r w:rsidRPr="00E139DF">
        <w:rPr>
          <w:rFonts w:cstheme="minorHAnsi"/>
          <w:i/>
          <w:iCs/>
          <w:sz w:val="19"/>
          <w:szCs w:val="19"/>
        </w:rPr>
        <w:t>W przypadku wymiany wadliwego elementu zestawu/modułu/podzespołu na nowy, termin gwarancji na wymieniany element zestawu/moduł/podzespół obowiązuje do końca gwarancji na całe urządze</w:t>
      </w:r>
      <w:r>
        <w:rPr>
          <w:rFonts w:cstheme="minorHAnsi"/>
          <w:i/>
          <w:iCs/>
          <w:sz w:val="19"/>
          <w:szCs w:val="19"/>
        </w:rPr>
        <w:t>nie, nie krócej niż 6 miesięcy.</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Obecny zapis prowadzi do sytuacji, w której Zamawiający może w zakresie niektórych elementów przedmiotu zamówienia dysponować, tzw. „wieczną gwarancją” w związku z czym zaproponowana zmiana jest konieczna. W przypadku pozostawienia zapisu w pierwotnym brzmieniu każdy z wykonawców będzie musiał uwzględnić wynikające z ww</w:t>
      </w:r>
      <w:r>
        <w:rPr>
          <w:rFonts w:cstheme="minorHAnsi"/>
          <w:sz w:val="19"/>
          <w:szCs w:val="19"/>
        </w:rPr>
        <w:t>. zapisu ryzyko w cenie oferty.</w:t>
      </w:r>
    </w:p>
    <w:p w:rsidR="00E139DF" w:rsidRPr="00E139DF" w:rsidRDefault="00E139DF" w:rsidP="000D1019">
      <w:pPr>
        <w:spacing w:line="240" w:lineRule="auto"/>
        <w:jc w:val="both"/>
        <w:rPr>
          <w:rFonts w:cstheme="minorHAnsi"/>
          <w:b/>
          <w:sz w:val="19"/>
          <w:szCs w:val="19"/>
        </w:rPr>
      </w:pPr>
      <w:r w:rsidRPr="00E139DF">
        <w:rPr>
          <w:rFonts w:cstheme="minorHAnsi"/>
          <w:b/>
          <w:sz w:val="19"/>
          <w:szCs w:val="19"/>
        </w:rPr>
        <w:t>Odp. Brak zgody, Zamawiający pozostaje przy dotychczasowym brzmieniu projektowanych postanowień umownych.</w:t>
      </w:r>
    </w:p>
    <w:p w:rsidR="00E139DF" w:rsidRPr="00E139DF" w:rsidRDefault="00E139DF" w:rsidP="000D1019">
      <w:pPr>
        <w:spacing w:line="240" w:lineRule="auto"/>
        <w:jc w:val="both"/>
        <w:rPr>
          <w:rFonts w:cstheme="minorHAnsi"/>
          <w:b/>
          <w:bCs/>
          <w:sz w:val="19"/>
          <w:szCs w:val="19"/>
        </w:rPr>
      </w:pPr>
    </w:p>
    <w:p w:rsidR="00E139DF" w:rsidRPr="00E139DF" w:rsidRDefault="00E139DF" w:rsidP="000D1019">
      <w:pPr>
        <w:spacing w:line="240" w:lineRule="auto"/>
        <w:jc w:val="both"/>
        <w:rPr>
          <w:rFonts w:cstheme="minorHAnsi"/>
          <w:b/>
          <w:bCs/>
          <w:sz w:val="19"/>
          <w:szCs w:val="19"/>
        </w:rPr>
      </w:pPr>
      <w:r w:rsidRPr="00E139DF">
        <w:rPr>
          <w:rFonts w:cstheme="minorHAnsi"/>
          <w:b/>
          <w:bCs/>
          <w:sz w:val="19"/>
          <w:szCs w:val="19"/>
        </w:rPr>
        <w:t>Pytanie nr 8</w:t>
      </w:r>
    </w:p>
    <w:p w:rsidR="00E139DF" w:rsidRPr="00E139DF" w:rsidRDefault="00E139DF" w:rsidP="000D1019">
      <w:pPr>
        <w:spacing w:line="240" w:lineRule="auto"/>
        <w:jc w:val="both"/>
        <w:rPr>
          <w:rFonts w:cstheme="minorHAnsi"/>
          <w:sz w:val="19"/>
          <w:szCs w:val="19"/>
        </w:rPr>
      </w:pPr>
      <w:r w:rsidRPr="00E139DF">
        <w:rPr>
          <w:rFonts w:cstheme="minorHAnsi"/>
          <w:b/>
          <w:bCs/>
          <w:sz w:val="19"/>
          <w:szCs w:val="19"/>
        </w:rPr>
        <w:t>Dotyczy załącznika nr 3 do umowy – wzór karty gwarancyjnej</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W § 2 ust. 3 ww.</w:t>
      </w:r>
      <w:r>
        <w:rPr>
          <w:rFonts w:cstheme="minorHAnsi"/>
          <w:sz w:val="19"/>
          <w:szCs w:val="19"/>
        </w:rPr>
        <w:t xml:space="preserve"> dokumentu Zamawiający napisał:</w:t>
      </w:r>
    </w:p>
    <w:p w:rsidR="00E139DF" w:rsidRPr="00E139DF" w:rsidRDefault="00E139DF" w:rsidP="000D1019">
      <w:pPr>
        <w:pStyle w:val="Default"/>
        <w:spacing w:after="16"/>
        <w:jc w:val="both"/>
        <w:rPr>
          <w:rFonts w:asciiTheme="minorHAnsi" w:hAnsiTheme="minorHAnsi" w:cstheme="minorHAnsi"/>
          <w:i/>
          <w:iCs/>
          <w:color w:val="auto"/>
          <w:sz w:val="19"/>
          <w:szCs w:val="19"/>
        </w:rPr>
      </w:pPr>
      <w:r w:rsidRPr="00E139DF">
        <w:rPr>
          <w:rFonts w:asciiTheme="minorHAnsi" w:hAnsiTheme="minorHAnsi" w:cstheme="minorHAnsi"/>
          <w:i/>
          <w:iCs/>
          <w:color w:val="auto"/>
          <w:sz w:val="19"/>
          <w:szCs w:val="19"/>
        </w:rPr>
        <w:t xml:space="preserve">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rsidR="00E139DF" w:rsidRPr="00E139DF" w:rsidRDefault="00E139DF" w:rsidP="000D1019">
      <w:pPr>
        <w:spacing w:line="240" w:lineRule="auto"/>
        <w:jc w:val="both"/>
        <w:rPr>
          <w:rFonts w:cstheme="minorHAnsi"/>
          <w:sz w:val="19"/>
          <w:szCs w:val="19"/>
        </w:rPr>
      </w:pPr>
      <w:r w:rsidRPr="00E139DF">
        <w:rPr>
          <w:rFonts w:cstheme="minorHAnsi"/>
          <w:sz w:val="19"/>
          <w:szCs w:val="19"/>
        </w:rPr>
        <w:t>Mając na względzie argumentację przytoczoną w pytaniu nr 6, zwracamy się z uprzejmą prośbą o zmianę przedm</w:t>
      </w:r>
      <w:r>
        <w:rPr>
          <w:rFonts w:cstheme="minorHAnsi"/>
          <w:sz w:val="19"/>
          <w:szCs w:val="19"/>
        </w:rPr>
        <w:t>iotowego zapisu na następujący:</w:t>
      </w:r>
    </w:p>
    <w:p w:rsidR="00E139DF" w:rsidRPr="00E139DF" w:rsidRDefault="00E139DF" w:rsidP="000D1019">
      <w:pPr>
        <w:pStyle w:val="Default"/>
        <w:spacing w:after="16"/>
        <w:jc w:val="both"/>
        <w:rPr>
          <w:rFonts w:asciiTheme="minorHAnsi" w:hAnsiTheme="minorHAnsi" w:cstheme="minorHAnsi"/>
          <w:i/>
          <w:iCs/>
          <w:color w:val="auto"/>
          <w:sz w:val="19"/>
          <w:szCs w:val="19"/>
        </w:rPr>
      </w:pPr>
      <w:r w:rsidRPr="00E139DF">
        <w:rPr>
          <w:rFonts w:asciiTheme="minorHAnsi" w:hAnsiTheme="minorHAnsi" w:cstheme="minorHAnsi"/>
          <w:i/>
          <w:iCs/>
          <w:color w:val="auto"/>
          <w:sz w:val="19"/>
          <w:szCs w:val="19"/>
        </w:rPr>
        <w:t xml:space="preserve">Jeżeli w wykonywaniu swoich obowiązków gwarant dostarczył Zamawiającemu zamiast rzeczy wadliwej, rzecz wolną od wad (lub część rzeczy), albo dokonał istotnych napraw rzeczy objętej gwarancją, termin gwarancji obowiązuje do końca gwarancji na całe urządzenie, nie krócej niż 6 miesięcy od chwili odbioru przez Zamawiającego dostarczonej rzeczy wolnej od wad (lub części </w:t>
      </w:r>
      <w:r>
        <w:rPr>
          <w:rFonts w:asciiTheme="minorHAnsi" w:hAnsiTheme="minorHAnsi" w:cstheme="minorHAnsi"/>
          <w:i/>
          <w:iCs/>
          <w:color w:val="auto"/>
          <w:sz w:val="19"/>
          <w:szCs w:val="19"/>
        </w:rPr>
        <w:t xml:space="preserve">rzeczy) lub dokonanej naprawy. </w:t>
      </w:r>
    </w:p>
    <w:p w:rsidR="00E139DF" w:rsidRPr="00E139DF" w:rsidRDefault="00E139DF" w:rsidP="000D1019">
      <w:pPr>
        <w:spacing w:line="240" w:lineRule="auto"/>
        <w:jc w:val="both"/>
        <w:rPr>
          <w:rFonts w:cstheme="minorHAnsi"/>
          <w:b/>
          <w:sz w:val="19"/>
          <w:szCs w:val="19"/>
        </w:rPr>
      </w:pPr>
      <w:r w:rsidRPr="00E139DF">
        <w:rPr>
          <w:rFonts w:cstheme="minorHAnsi"/>
          <w:b/>
          <w:sz w:val="19"/>
          <w:szCs w:val="19"/>
        </w:rPr>
        <w:t>Odp. Brak zgody, Zamawiający pozostaje przy dotychczasowym brzmieniu projektowanych postanowień umownych.</w:t>
      </w:r>
    </w:p>
    <w:p w:rsidR="00E139DF" w:rsidRPr="00164FB9" w:rsidRDefault="00E139DF" w:rsidP="000D1019">
      <w:pPr>
        <w:spacing w:line="240" w:lineRule="auto"/>
        <w:jc w:val="both"/>
        <w:rPr>
          <w:rFonts w:ascii="Calibri" w:hAnsi="Calibri" w:cs="Calibri"/>
          <w:sz w:val="19"/>
          <w:szCs w:val="19"/>
        </w:rPr>
      </w:pPr>
      <w:r>
        <w:rPr>
          <w:rFonts w:ascii="Calibri" w:hAnsi="Calibri" w:cs="Calibri"/>
          <w:sz w:val="19"/>
          <w:szCs w:val="19"/>
        </w:rPr>
        <w:t xml:space="preserve"> </w:t>
      </w:r>
    </w:p>
    <w:p w:rsidR="00E139DF" w:rsidRPr="00164FB9" w:rsidRDefault="00E139DF" w:rsidP="000D1019">
      <w:pPr>
        <w:spacing w:line="240" w:lineRule="auto"/>
        <w:jc w:val="both"/>
        <w:rPr>
          <w:rFonts w:ascii="Calibri" w:hAnsi="Calibri" w:cs="Calibri"/>
          <w:sz w:val="19"/>
          <w:szCs w:val="19"/>
        </w:rPr>
      </w:pPr>
      <w:r w:rsidRPr="00164FB9">
        <w:rPr>
          <w:rFonts w:ascii="Calibri" w:hAnsi="Calibri" w:cs="Calibri"/>
          <w:sz w:val="19"/>
          <w:szCs w:val="19"/>
        </w:rPr>
        <w:t xml:space="preserve">Na podstawie art. 137 ustawy z dnia 11 września 2021 r. Prawo zamówień publicznych (Dz.U.2019.2019 </w:t>
      </w:r>
      <w:proofErr w:type="spellStart"/>
      <w:r w:rsidRPr="00164FB9">
        <w:rPr>
          <w:rFonts w:ascii="Calibri" w:hAnsi="Calibri" w:cs="Calibri"/>
          <w:sz w:val="19"/>
          <w:szCs w:val="19"/>
        </w:rPr>
        <w:t>t.j</w:t>
      </w:r>
      <w:proofErr w:type="spellEnd"/>
      <w:r w:rsidRPr="00164FB9">
        <w:rPr>
          <w:rFonts w:ascii="Calibri" w:hAnsi="Calibri" w:cs="Calibri"/>
          <w:sz w:val="19"/>
          <w:szCs w:val="19"/>
        </w:rPr>
        <w:t>. z dnia 2019.10.24), zamawiający dokonuje poniższej modyfikacji SWZ:</w:t>
      </w:r>
    </w:p>
    <w:p w:rsidR="00E139DF" w:rsidRPr="00164FB9" w:rsidRDefault="00E139DF" w:rsidP="000D1019">
      <w:pPr>
        <w:spacing w:line="240" w:lineRule="auto"/>
        <w:jc w:val="both"/>
        <w:rPr>
          <w:rFonts w:ascii="Calibri" w:hAnsi="Calibri" w:cs="Calibri"/>
          <w:sz w:val="19"/>
          <w:szCs w:val="19"/>
        </w:rPr>
      </w:pPr>
    </w:p>
    <w:p w:rsidR="00E139DF" w:rsidRPr="00164FB9" w:rsidRDefault="00E139DF" w:rsidP="000D1019">
      <w:pPr>
        <w:autoSpaceDE w:val="0"/>
        <w:autoSpaceDN w:val="0"/>
        <w:adjustRightInd w:val="0"/>
        <w:spacing w:line="240" w:lineRule="auto"/>
        <w:jc w:val="both"/>
        <w:rPr>
          <w:rFonts w:ascii="Calibri" w:hAnsi="Calibri" w:cs="Calibri"/>
          <w:b/>
          <w:sz w:val="19"/>
          <w:szCs w:val="19"/>
        </w:rPr>
      </w:pPr>
      <w:r w:rsidRPr="00164FB9">
        <w:rPr>
          <w:rFonts w:ascii="Calibri" w:hAnsi="Calibri" w:cs="Calibri"/>
          <w:b/>
          <w:sz w:val="19"/>
          <w:szCs w:val="19"/>
        </w:rPr>
        <w:t xml:space="preserve">I. Wykreśla się w całości </w:t>
      </w:r>
      <w:r w:rsidRPr="008F727C">
        <w:rPr>
          <w:rFonts w:ascii="Calibri" w:hAnsi="Calibri" w:cs="Calibri"/>
          <w:b/>
          <w:bCs/>
          <w:sz w:val="19"/>
          <w:szCs w:val="19"/>
        </w:rPr>
        <w:t xml:space="preserve">§ </w:t>
      </w:r>
      <w:r>
        <w:rPr>
          <w:rFonts w:ascii="Calibri" w:hAnsi="Calibri" w:cs="Calibri"/>
          <w:b/>
          <w:bCs/>
          <w:sz w:val="19"/>
          <w:szCs w:val="19"/>
        </w:rPr>
        <w:t>7 ust. 2 pkt. 6). Kolejne punkty zmienią swoją numerację.</w:t>
      </w:r>
      <w:r w:rsidR="00CE2D6D">
        <w:rPr>
          <w:rFonts w:ascii="Calibri" w:hAnsi="Calibri" w:cs="Calibri"/>
          <w:b/>
          <w:bCs/>
          <w:sz w:val="19"/>
          <w:szCs w:val="19"/>
        </w:rPr>
        <w:t xml:space="preserve"> Ustęp 2 będzie miał teraz 9 punktów.</w:t>
      </w:r>
    </w:p>
    <w:p w:rsidR="00E139DF" w:rsidRPr="00164FB9" w:rsidRDefault="00E139DF" w:rsidP="000D1019">
      <w:pPr>
        <w:spacing w:line="240" w:lineRule="auto"/>
        <w:jc w:val="both"/>
        <w:rPr>
          <w:rFonts w:ascii="Calibri" w:hAnsi="Calibri" w:cs="Calibri"/>
          <w:sz w:val="19"/>
          <w:szCs w:val="19"/>
        </w:rPr>
      </w:pPr>
    </w:p>
    <w:p w:rsidR="00E139DF" w:rsidRPr="000D1019" w:rsidRDefault="00E139DF" w:rsidP="000D1019">
      <w:pPr>
        <w:autoSpaceDE w:val="0"/>
        <w:autoSpaceDN w:val="0"/>
        <w:adjustRightInd w:val="0"/>
        <w:spacing w:line="240" w:lineRule="auto"/>
        <w:jc w:val="both"/>
        <w:rPr>
          <w:rFonts w:ascii="Calibri" w:hAnsi="Calibri" w:cs="Calibri"/>
          <w:spacing w:val="2"/>
          <w:sz w:val="19"/>
          <w:szCs w:val="19"/>
        </w:rPr>
      </w:pPr>
      <w:r w:rsidRPr="00164FB9">
        <w:rPr>
          <w:rFonts w:ascii="Calibri" w:hAnsi="Calibri" w:cs="Calibri"/>
          <w:bCs/>
          <w:sz w:val="19"/>
          <w:szCs w:val="19"/>
        </w:rPr>
        <w:t xml:space="preserve">Zamawiający wyznaczy nowy termin składania i otwarcia ofert. Zmiana terminu zostanie zamieszczona </w:t>
      </w:r>
      <w:r w:rsidR="00CE2D6D">
        <w:rPr>
          <w:rFonts w:ascii="Calibri" w:hAnsi="Calibri" w:cs="Calibri"/>
          <w:bCs/>
          <w:sz w:val="19"/>
          <w:szCs w:val="19"/>
        </w:rPr>
        <w:t>w odpowiednim czasie, tak aby zachować zgodność z przepisami ustawowymi</w:t>
      </w:r>
      <w:r w:rsidRPr="00164FB9">
        <w:rPr>
          <w:rFonts w:ascii="Calibri" w:hAnsi="Calibri" w:cs="Calibri"/>
          <w:bCs/>
          <w:sz w:val="19"/>
          <w:szCs w:val="19"/>
        </w:rPr>
        <w:t>.</w:t>
      </w:r>
    </w:p>
    <w:p w:rsidR="00883CDE" w:rsidRPr="000D1019" w:rsidRDefault="00E139DF" w:rsidP="009E6858">
      <w:pPr>
        <w:spacing w:line="240" w:lineRule="auto"/>
        <w:jc w:val="both"/>
        <w:rPr>
          <w:rFonts w:ascii="Calibri" w:hAnsi="Calibri" w:cs="Calibri"/>
          <w:sz w:val="19"/>
          <w:szCs w:val="19"/>
        </w:rPr>
      </w:pPr>
      <w:r w:rsidRPr="00164FB9">
        <w:rPr>
          <w:rFonts w:ascii="Calibri" w:hAnsi="Calibri" w:cs="Calibri"/>
          <w:sz w:val="19"/>
          <w:szCs w:val="19"/>
        </w:rPr>
        <w:t xml:space="preserve">Wykonawcy są zobowiązani uwzględnić powyższe wyjaśnienia podczas </w:t>
      </w:r>
      <w:r w:rsidR="000D1019">
        <w:rPr>
          <w:rFonts w:ascii="Calibri" w:hAnsi="Calibri" w:cs="Calibri"/>
          <w:sz w:val="19"/>
          <w:szCs w:val="19"/>
        </w:rPr>
        <w:t>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FF3C9E" w:rsidRPr="000D1019" w:rsidRDefault="0068303C" w:rsidP="000D1019">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FF3C9E" w:rsidRDefault="00FF3C9E" w:rsidP="00483ED3">
      <w:pPr>
        <w:widowControl w:val="0"/>
        <w:spacing w:line="240" w:lineRule="auto"/>
        <w:jc w:val="both"/>
        <w:rPr>
          <w:rFonts w:cs="Times New Roman"/>
          <w:sz w:val="18"/>
          <w:szCs w:val="18"/>
        </w:rPr>
      </w:pPr>
    </w:p>
    <w:p w:rsidR="000D1019" w:rsidRDefault="000D1019"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bookmarkStart w:id="3" w:name="_GoBack"/>
      <w:bookmarkEnd w:id="3"/>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0B" w:rsidRDefault="0069660B" w:rsidP="00073102">
      <w:pPr>
        <w:spacing w:after="0" w:line="240" w:lineRule="auto"/>
      </w:pPr>
      <w:r>
        <w:separator/>
      </w:r>
    </w:p>
  </w:endnote>
  <w:endnote w:type="continuationSeparator" w:id="0">
    <w:p w:rsidR="0069660B" w:rsidRDefault="0069660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257CEE">
      <w:rPr>
        <w:noProof/>
      </w:rPr>
      <w:t>6</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EA709D">
      <w:rPr>
        <w:b/>
        <w:bCs/>
        <w:noProof/>
      </w:rPr>
      <w:t>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EA709D">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0B" w:rsidRDefault="0069660B" w:rsidP="00073102">
      <w:pPr>
        <w:spacing w:after="0" w:line="240" w:lineRule="auto"/>
      </w:pPr>
      <w:r>
        <w:separator/>
      </w:r>
    </w:p>
  </w:footnote>
  <w:footnote w:type="continuationSeparator" w:id="0">
    <w:p w:rsidR="0069660B" w:rsidRDefault="0069660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E139DF">
      <w:rPr>
        <w:rFonts w:cstheme="minorHAnsi"/>
      </w:rPr>
      <w:t>26</w:t>
    </w:r>
    <w:r w:rsidR="00182086">
      <w:rPr>
        <w:rFonts w:cstheme="minorHAnsi"/>
      </w:rPr>
      <w:t>-</w:t>
    </w:r>
    <w:r w:rsidR="00E139DF">
      <w:rPr>
        <w:rFonts w:cstheme="minorHAnsi"/>
      </w:rPr>
      <w:t>1</w:t>
    </w:r>
    <w:r w:rsidR="006F32F5">
      <w:rPr>
        <w:rFonts w:cstheme="minorHAnsi"/>
      </w:rPr>
      <w:t>0</w:t>
    </w:r>
    <w:r w:rsidR="00182086">
      <w:rPr>
        <w:rFonts w:cstheme="minorHAnsi"/>
      </w:rPr>
      <w:t>-20</w:t>
    </w:r>
    <w:r w:rsidR="00D73922">
      <w:rPr>
        <w:rFonts w:cstheme="minorHAnsi"/>
      </w:rPr>
      <w:t>2</w:t>
    </w:r>
    <w:r w:rsidR="006F32F5">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D"/>
    <w:multiLevelType w:val="singleLevel"/>
    <w:tmpl w:val="0000002D"/>
    <w:name w:val="WW8Num48"/>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4"/>
    <w:multiLevelType w:val="multilevel"/>
    <w:tmpl w:val="8F52A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5443"/>
    <w:multiLevelType w:val="hybridMultilevel"/>
    <w:tmpl w:val="CDA6F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564181"/>
    <w:multiLevelType w:val="hybridMultilevel"/>
    <w:tmpl w:val="77B0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817B8"/>
    <w:multiLevelType w:val="hybridMultilevel"/>
    <w:tmpl w:val="3244A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10"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416C035C"/>
    <w:multiLevelType w:val="hybridMultilevel"/>
    <w:tmpl w:val="54605D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2F133B6"/>
    <w:multiLevelType w:val="multilevel"/>
    <w:tmpl w:val="122EB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7"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6CCC0B21"/>
    <w:multiLevelType w:val="hybridMultilevel"/>
    <w:tmpl w:val="3FAE6D50"/>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C6229A"/>
    <w:multiLevelType w:val="hybridMultilevel"/>
    <w:tmpl w:val="53F449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9"/>
  </w:num>
  <w:num w:numId="2">
    <w:abstractNumId w:val="12"/>
  </w:num>
  <w:num w:numId="3">
    <w:abstractNumId w:val="10"/>
  </w:num>
  <w:num w:numId="4">
    <w:abstractNumId w:val="4"/>
  </w:num>
  <w:num w:numId="5">
    <w:abstractNumId w:val="13"/>
  </w:num>
  <w:num w:numId="6">
    <w:abstractNumId w:val="17"/>
  </w:num>
  <w:num w:numId="7">
    <w:abstractNumId w:val="2"/>
  </w:num>
  <w:num w:numId="8">
    <w:abstractNumId w:val="15"/>
  </w:num>
  <w:num w:numId="9">
    <w:abstractNumId w:val="16"/>
  </w:num>
  <w:num w:numId="10">
    <w:abstractNumId w:val="9"/>
  </w:num>
  <w:num w:numId="11">
    <w:abstractNumId w:val="8"/>
  </w:num>
  <w:num w:numId="12">
    <w:abstractNumId w:val="7"/>
  </w:num>
  <w:num w:numId="13">
    <w:abstractNumId w:val="11"/>
  </w:num>
  <w:num w:numId="14">
    <w:abstractNumId w:val="3"/>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5262F"/>
    <w:rsid w:val="000623ED"/>
    <w:rsid w:val="00063BB5"/>
    <w:rsid w:val="000725B5"/>
    <w:rsid w:val="00073102"/>
    <w:rsid w:val="00073895"/>
    <w:rsid w:val="00075301"/>
    <w:rsid w:val="000962FF"/>
    <w:rsid w:val="000A24B3"/>
    <w:rsid w:val="000B1F53"/>
    <w:rsid w:val="000C2EF4"/>
    <w:rsid w:val="000D1019"/>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A7FF3"/>
    <w:rsid w:val="001B5AD0"/>
    <w:rsid w:val="001C1337"/>
    <w:rsid w:val="001D1C72"/>
    <w:rsid w:val="001D4ED2"/>
    <w:rsid w:val="0020327F"/>
    <w:rsid w:val="0022185D"/>
    <w:rsid w:val="00224F00"/>
    <w:rsid w:val="00234D8E"/>
    <w:rsid w:val="00242E06"/>
    <w:rsid w:val="00244B93"/>
    <w:rsid w:val="00253567"/>
    <w:rsid w:val="00254013"/>
    <w:rsid w:val="00257720"/>
    <w:rsid w:val="00257CEE"/>
    <w:rsid w:val="00262F6B"/>
    <w:rsid w:val="002641C1"/>
    <w:rsid w:val="00264E70"/>
    <w:rsid w:val="00271FCC"/>
    <w:rsid w:val="00275311"/>
    <w:rsid w:val="00280B89"/>
    <w:rsid w:val="00281F3D"/>
    <w:rsid w:val="002A2FFF"/>
    <w:rsid w:val="002B27E7"/>
    <w:rsid w:val="002D3728"/>
    <w:rsid w:val="002D4184"/>
    <w:rsid w:val="002D6FA8"/>
    <w:rsid w:val="002F497A"/>
    <w:rsid w:val="00306E71"/>
    <w:rsid w:val="00310B40"/>
    <w:rsid w:val="0031785D"/>
    <w:rsid w:val="003224FA"/>
    <w:rsid w:val="003235A3"/>
    <w:rsid w:val="00331D38"/>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0756"/>
    <w:rsid w:val="00401776"/>
    <w:rsid w:val="00431AA2"/>
    <w:rsid w:val="0043584D"/>
    <w:rsid w:val="00444C5C"/>
    <w:rsid w:val="004503FB"/>
    <w:rsid w:val="004546F9"/>
    <w:rsid w:val="004601DD"/>
    <w:rsid w:val="004640AA"/>
    <w:rsid w:val="004835E7"/>
    <w:rsid w:val="00483ED3"/>
    <w:rsid w:val="0049442F"/>
    <w:rsid w:val="0049795C"/>
    <w:rsid w:val="004A3D3E"/>
    <w:rsid w:val="004B4891"/>
    <w:rsid w:val="004C650D"/>
    <w:rsid w:val="004D078D"/>
    <w:rsid w:val="004E75B9"/>
    <w:rsid w:val="00510338"/>
    <w:rsid w:val="00514DB7"/>
    <w:rsid w:val="005169AC"/>
    <w:rsid w:val="00547609"/>
    <w:rsid w:val="0055259A"/>
    <w:rsid w:val="0055743D"/>
    <w:rsid w:val="005648A4"/>
    <w:rsid w:val="00577ADC"/>
    <w:rsid w:val="00584B2B"/>
    <w:rsid w:val="0059532E"/>
    <w:rsid w:val="005B188D"/>
    <w:rsid w:val="006143A1"/>
    <w:rsid w:val="00622EF3"/>
    <w:rsid w:val="00630EEF"/>
    <w:rsid w:val="00637424"/>
    <w:rsid w:val="00672827"/>
    <w:rsid w:val="0068303C"/>
    <w:rsid w:val="00683069"/>
    <w:rsid w:val="0068381F"/>
    <w:rsid w:val="006845B2"/>
    <w:rsid w:val="00690712"/>
    <w:rsid w:val="0069660B"/>
    <w:rsid w:val="006B266D"/>
    <w:rsid w:val="006B2997"/>
    <w:rsid w:val="006B40AD"/>
    <w:rsid w:val="006B4652"/>
    <w:rsid w:val="006B7726"/>
    <w:rsid w:val="006C1F92"/>
    <w:rsid w:val="006D18B8"/>
    <w:rsid w:val="006E2DB2"/>
    <w:rsid w:val="006E43DC"/>
    <w:rsid w:val="006E69D8"/>
    <w:rsid w:val="006E75FE"/>
    <w:rsid w:val="006F239C"/>
    <w:rsid w:val="006F32F5"/>
    <w:rsid w:val="006F7C28"/>
    <w:rsid w:val="00702E2A"/>
    <w:rsid w:val="007116F9"/>
    <w:rsid w:val="00711F02"/>
    <w:rsid w:val="00726E09"/>
    <w:rsid w:val="007356D2"/>
    <w:rsid w:val="007606B5"/>
    <w:rsid w:val="00780053"/>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115A7"/>
    <w:rsid w:val="00916964"/>
    <w:rsid w:val="00935BC0"/>
    <w:rsid w:val="0095368C"/>
    <w:rsid w:val="00955857"/>
    <w:rsid w:val="00962800"/>
    <w:rsid w:val="00964DE6"/>
    <w:rsid w:val="00982738"/>
    <w:rsid w:val="00986917"/>
    <w:rsid w:val="009A51C8"/>
    <w:rsid w:val="009B13C4"/>
    <w:rsid w:val="009B7F15"/>
    <w:rsid w:val="009D0FB3"/>
    <w:rsid w:val="009E1723"/>
    <w:rsid w:val="009E5466"/>
    <w:rsid w:val="009E6858"/>
    <w:rsid w:val="00A114DC"/>
    <w:rsid w:val="00A15C89"/>
    <w:rsid w:val="00A249E6"/>
    <w:rsid w:val="00A25373"/>
    <w:rsid w:val="00A25AB1"/>
    <w:rsid w:val="00A40328"/>
    <w:rsid w:val="00A44F48"/>
    <w:rsid w:val="00A52329"/>
    <w:rsid w:val="00A53304"/>
    <w:rsid w:val="00A711D1"/>
    <w:rsid w:val="00A85E5D"/>
    <w:rsid w:val="00A86842"/>
    <w:rsid w:val="00A8753E"/>
    <w:rsid w:val="00A90CB8"/>
    <w:rsid w:val="00A90D73"/>
    <w:rsid w:val="00A92B7F"/>
    <w:rsid w:val="00A93939"/>
    <w:rsid w:val="00AA1139"/>
    <w:rsid w:val="00AA6EE0"/>
    <w:rsid w:val="00AA70D6"/>
    <w:rsid w:val="00AB3F2C"/>
    <w:rsid w:val="00AB7973"/>
    <w:rsid w:val="00AC5C33"/>
    <w:rsid w:val="00AC785C"/>
    <w:rsid w:val="00AF46AF"/>
    <w:rsid w:val="00AF63EA"/>
    <w:rsid w:val="00AF7F4D"/>
    <w:rsid w:val="00B104CB"/>
    <w:rsid w:val="00B1552C"/>
    <w:rsid w:val="00B20EBC"/>
    <w:rsid w:val="00B30A39"/>
    <w:rsid w:val="00B31215"/>
    <w:rsid w:val="00B36766"/>
    <w:rsid w:val="00B53385"/>
    <w:rsid w:val="00B5430B"/>
    <w:rsid w:val="00B561DD"/>
    <w:rsid w:val="00B64545"/>
    <w:rsid w:val="00B76106"/>
    <w:rsid w:val="00B84173"/>
    <w:rsid w:val="00BA70A7"/>
    <w:rsid w:val="00BB2847"/>
    <w:rsid w:val="00C33FF1"/>
    <w:rsid w:val="00C3713A"/>
    <w:rsid w:val="00C41103"/>
    <w:rsid w:val="00C456B2"/>
    <w:rsid w:val="00C52EBD"/>
    <w:rsid w:val="00C55A28"/>
    <w:rsid w:val="00C62D98"/>
    <w:rsid w:val="00C87B8A"/>
    <w:rsid w:val="00C925E4"/>
    <w:rsid w:val="00CA6119"/>
    <w:rsid w:val="00CB7275"/>
    <w:rsid w:val="00CD6A2E"/>
    <w:rsid w:val="00CE2D6D"/>
    <w:rsid w:val="00D11F40"/>
    <w:rsid w:val="00D22FF5"/>
    <w:rsid w:val="00D248E0"/>
    <w:rsid w:val="00D410F9"/>
    <w:rsid w:val="00D52FED"/>
    <w:rsid w:val="00D568FF"/>
    <w:rsid w:val="00D64946"/>
    <w:rsid w:val="00D73922"/>
    <w:rsid w:val="00D8247E"/>
    <w:rsid w:val="00D83501"/>
    <w:rsid w:val="00D86DD0"/>
    <w:rsid w:val="00DC019F"/>
    <w:rsid w:val="00DD685C"/>
    <w:rsid w:val="00DF0398"/>
    <w:rsid w:val="00DF676F"/>
    <w:rsid w:val="00DF7F3A"/>
    <w:rsid w:val="00E001A5"/>
    <w:rsid w:val="00E00321"/>
    <w:rsid w:val="00E052E9"/>
    <w:rsid w:val="00E129AB"/>
    <w:rsid w:val="00E139DF"/>
    <w:rsid w:val="00E2195C"/>
    <w:rsid w:val="00E57712"/>
    <w:rsid w:val="00E668EE"/>
    <w:rsid w:val="00E66F17"/>
    <w:rsid w:val="00E8223A"/>
    <w:rsid w:val="00E82359"/>
    <w:rsid w:val="00E82F8E"/>
    <w:rsid w:val="00E93CFD"/>
    <w:rsid w:val="00EA709D"/>
    <w:rsid w:val="00EB7EA3"/>
    <w:rsid w:val="00ED6F2B"/>
    <w:rsid w:val="00EE1CC0"/>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B4A84"/>
    <w:rsid w:val="00FC5674"/>
    <w:rsid w:val="00FC664D"/>
    <w:rsid w:val="00FD1BFB"/>
    <w:rsid w:val="00FD29BB"/>
    <w:rsid w:val="00FF0107"/>
    <w:rsid w:val="00FF3C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paragraph" w:styleId="Bezodstpw">
    <w:name w:val="No Spacing"/>
    <w:uiPriority w:val="1"/>
    <w:qFormat/>
    <w:rsid w:val="006F32F5"/>
    <w:pPr>
      <w:spacing w:after="0" w:line="240" w:lineRule="auto"/>
    </w:pPr>
    <w:rPr>
      <w:rFonts w:ascii="GE Inspira" w:eastAsia="Times" w:hAnsi="GE Inspira" w:cs="Times New Roman"/>
      <w:kern w:val="8"/>
      <w:lang w:val="en-US"/>
    </w:rPr>
  </w:style>
  <w:style w:type="character" w:styleId="Uwydatnienie">
    <w:name w:val="Emphasis"/>
    <w:uiPriority w:val="20"/>
    <w:qFormat/>
    <w:rsid w:val="006F32F5"/>
    <w:rPr>
      <w:i/>
      <w:iCs/>
    </w:rPr>
  </w:style>
  <w:style w:type="character" w:styleId="Pogrubienie">
    <w:name w:val="Strong"/>
    <w:basedOn w:val="Domylnaczcionkaakapitu"/>
    <w:uiPriority w:val="22"/>
    <w:qFormat/>
    <w:rsid w:val="00B8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C91C-705F-4A7C-995B-01A08A73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1239</Words>
  <Characters>7440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Szpital</cp:lastModifiedBy>
  <cp:revision>22</cp:revision>
  <cp:lastPrinted>2021-07-05T09:45:00Z</cp:lastPrinted>
  <dcterms:created xsi:type="dcterms:W3CDTF">2022-11-07T20:00:00Z</dcterms:created>
  <dcterms:modified xsi:type="dcterms:W3CDTF">2023-10-26T20:29:00Z</dcterms:modified>
</cp:coreProperties>
</file>