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8B52A6" w:rsidRDefault="0068250E" w:rsidP="00431319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8B52A6">
        <w:rPr>
          <w:rFonts w:ascii="Tahoma" w:hAnsi="Tahoma" w:cs="Tahoma"/>
          <w:b/>
        </w:rPr>
        <w:t>nr referencyjny ZP.271</w:t>
      </w:r>
      <w:r w:rsidR="00CC58DA" w:rsidRPr="008B52A6">
        <w:rPr>
          <w:rFonts w:ascii="Tahoma" w:hAnsi="Tahoma" w:cs="Tahoma"/>
          <w:b/>
        </w:rPr>
        <w:t>.</w:t>
      </w:r>
      <w:r w:rsidR="00A6434F">
        <w:rPr>
          <w:rFonts w:ascii="Tahoma" w:hAnsi="Tahoma" w:cs="Tahoma"/>
          <w:b/>
        </w:rPr>
        <w:t>3.2021</w:t>
      </w:r>
      <w:r w:rsidR="008B52A6">
        <w:rPr>
          <w:rFonts w:ascii="Tahoma" w:hAnsi="Tahoma" w:cs="Tahoma"/>
        </w:rPr>
        <w:tab/>
      </w:r>
      <w:r w:rsidR="008B52A6">
        <w:rPr>
          <w:rFonts w:ascii="Tahoma" w:hAnsi="Tahoma" w:cs="Tahoma"/>
        </w:rPr>
        <w:tab/>
      </w:r>
      <w:r w:rsidR="00010038" w:rsidRPr="008B52A6">
        <w:rPr>
          <w:rFonts w:ascii="Tahoma" w:hAnsi="Tahoma" w:cs="Tahoma"/>
        </w:rPr>
        <w:tab/>
        <w:t>Aleksandrów Łódzki, dn.</w:t>
      </w:r>
      <w:r w:rsidR="0022200E">
        <w:rPr>
          <w:rFonts w:ascii="Tahoma" w:hAnsi="Tahoma" w:cs="Tahoma"/>
        </w:rPr>
        <w:t xml:space="preserve"> 02</w:t>
      </w:r>
      <w:bookmarkStart w:id="0" w:name="_GoBack"/>
      <w:bookmarkEnd w:id="0"/>
      <w:r w:rsidR="00A6434F">
        <w:rPr>
          <w:rFonts w:ascii="Tahoma" w:hAnsi="Tahoma" w:cs="Tahoma"/>
        </w:rPr>
        <w:t>.04.2021</w:t>
      </w:r>
      <w:r w:rsidR="00010038" w:rsidRPr="008B52A6">
        <w:rPr>
          <w:rFonts w:ascii="Tahoma" w:hAnsi="Tahoma" w:cs="Tahoma"/>
        </w:rPr>
        <w:t>r.</w:t>
      </w:r>
    </w:p>
    <w:p w:rsidR="00BC78AC" w:rsidRPr="008B52A6" w:rsidRDefault="00BC78AC" w:rsidP="00B85D6C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:rsidR="00010038" w:rsidRPr="008B52A6" w:rsidRDefault="00E00FBB" w:rsidP="0043131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Wyjaśnienie</w:t>
      </w:r>
      <w:r w:rsidR="006B48E8" w:rsidRPr="008B52A6">
        <w:rPr>
          <w:rFonts w:ascii="Tahoma" w:hAnsi="Tahoma" w:cs="Tahoma"/>
          <w:b/>
          <w:u w:val="single"/>
        </w:rPr>
        <w:t xml:space="preserve"> </w:t>
      </w:r>
      <w:r w:rsidR="00A6434F">
        <w:rPr>
          <w:rFonts w:ascii="Tahoma" w:hAnsi="Tahoma" w:cs="Tahoma"/>
          <w:b/>
          <w:u w:val="single"/>
        </w:rPr>
        <w:t>treści SWZ</w:t>
      </w:r>
    </w:p>
    <w:p w:rsidR="00010038" w:rsidRPr="008B52A6" w:rsidRDefault="00010038" w:rsidP="00431319">
      <w:pPr>
        <w:keepNext/>
        <w:keepLines/>
        <w:spacing w:line="276" w:lineRule="auto"/>
        <w:ind w:left="3540"/>
        <w:rPr>
          <w:rFonts w:ascii="Tahoma" w:hAnsi="Tahoma" w:cs="Tahoma"/>
          <w:b/>
          <w:u w:val="single"/>
        </w:rPr>
      </w:pPr>
    </w:p>
    <w:p w:rsidR="001D5AA4" w:rsidRPr="00A6434F" w:rsidRDefault="001D5AA4" w:rsidP="00431319">
      <w:pPr>
        <w:keepNext/>
        <w:keepLines/>
        <w:jc w:val="center"/>
        <w:rPr>
          <w:rFonts w:ascii="Tahoma" w:hAnsi="Tahoma" w:cs="Tahoma"/>
          <w:b/>
          <w:u w:val="single"/>
        </w:rPr>
      </w:pPr>
      <w:r w:rsidRPr="00A6434F">
        <w:rPr>
          <w:rFonts w:ascii="Tahoma" w:hAnsi="Tahoma" w:cs="Tahoma"/>
          <w:b/>
          <w:u w:val="single"/>
        </w:rPr>
        <w:t>Dotyczy</w:t>
      </w:r>
      <w:r w:rsidR="00A6434F" w:rsidRPr="00A6434F">
        <w:rPr>
          <w:rFonts w:ascii="Tahoma" w:hAnsi="Tahoma" w:cs="Tahoma"/>
          <w:b/>
          <w:u w:val="single"/>
        </w:rPr>
        <w:t xml:space="preserve"> postępowania o udzielenie zamówienia publicznego prowadzonego w</w:t>
      </w:r>
      <w:r w:rsidR="00A6434F" w:rsidRPr="00A6434F">
        <w:rPr>
          <w:rFonts w:ascii="Tahoma" w:hAnsi="Tahoma" w:cs="Tahoma"/>
          <w:u w:val="single"/>
        </w:rPr>
        <w:t xml:space="preserve"> </w:t>
      </w:r>
      <w:r w:rsidR="00A6434F" w:rsidRPr="00A6434F">
        <w:rPr>
          <w:rFonts w:ascii="Tahoma" w:hAnsi="Tahoma" w:cs="Tahoma"/>
          <w:b/>
          <w:u w:val="single"/>
        </w:rPr>
        <w:t>trybie podstawowym bez negocjacji</w:t>
      </w:r>
      <w:r w:rsidR="00A6434F">
        <w:rPr>
          <w:rFonts w:ascii="Tahoma" w:hAnsi="Tahoma" w:cs="Tahoma"/>
          <w:b/>
          <w:u w:val="single"/>
        </w:rPr>
        <w:t xml:space="preserve"> pn.</w:t>
      </w:r>
    </w:p>
    <w:p w:rsidR="001D5AA4" w:rsidRPr="00A6434F" w:rsidRDefault="001D5AA4" w:rsidP="00A6434F">
      <w:pPr>
        <w:keepNext/>
        <w:keepLines/>
        <w:spacing w:after="240" w:line="276" w:lineRule="auto"/>
        <w:jc w:val="center"/>
        <w:rPr>
          <w:rFonts w:ascii="Tahoma" w:eastAsia="Calibri" w:hAnsi="Tahoma" w:cs="Tahoma"/>
          <w:b/>
          <w:lang w:eastAsia="en-US"/>
        </w:rPr>
      </w:pPr>
      <w:r w:rsidRPr="008B52A6">
        <w:rPr>
          <w:rFonts w:ascii="Tahoma" w:hAnsi="Tahoma" w:cs="Tahoma"/>
          <w:b/>
        </w:rPr>
        <w:t xml:space="preserve"> „</w:t>
      </w:r>
      <w:r w:rsidR="00A6434F" w:rsidRPr="00A6434F">
        <w:rPr>
          <w:rFonts w:ascii="Tahoma" w:eastAsia="Calibri" w:hAnsi="Tahoma" w:cs="Tahoma"/>
          <w:b/>
          <w:lang w:eastAsia="en-US"/>
        </w:rPr>
        <w:t xml:space="preserve">Budowa ciągu komunikacyjnego Poselska – Sportowa – </w:t>
      </w:r>
      <w:proofErr w:type="spellStart"/>
      <w:r w:rsidR="00A6434F" w:rsidRPr="00A6434F">
        <w:rPr>
          <w:rFonts w:ascii="Tahoma" w:eastAsia="Calibri" w:hAnsi="Tahoma" w:cs="Tahoma"/>
          <w:b/>
          <w:lang w:eastAsia="en-US"/>
        </w:rPr>
        <w:t>Nowokaliska</w:t>
      </w:r>
      <w:proofErr w:type="spellEnd"/>
      <w:r w:rsidR="00A6434F" w:rsidRPr="00A6434F">
        <w:rPr>
          <w:rFonts w:ascii="Tahoma" w:eastAsia="Calibri" w:hAnsi="Tahoma" w:cs="Tahoma"/>
          <w:b/>
          <w:lang w:eastAsia="en-US"/>
        </w:rPr>
        <w:t xml:space="preserve"> w Aleksandrowie Łódzkim – etap I, obejmujący budowę ulicy </w:t>
      </w:r>
      <w:proofErr w:type="spellStart"/>
      <w:r w:rsidR="00A6434F" w:rsidRPr="00A6434F">
        <w:rPr>
          <w:rFonts w:ascii="Tahoma" w:eastAsia="Calibri" w:hAnsi="Tahoma" w:cs="Tahoma"/>
          <w:b/>
          <w:lang w:eastAsia="en-US"/>
        </w:rPr>
        <w:t>Nowokaliskiej</w:t>
      </w:r>
      <w:proofErr w:type="spellEnd"/>
      <w:r w:rsidR="00A6434F" w:rsidRPr="00A6434F">
        <w:rPr>
          <w:rFonts w:ascii="Tahoma" w:eastAsia="Calibri" w:hAnsi="Tahoma" w:cs="Tahoma"/>
          <w:b/>
          <w:lang w:eastAsia="en-US"/>
        </w:rPr>
        <w:t xml:space="preserve"> na odcinku od ulicy 11 Listopada do ulicy Mickiewicza wraz z przebudową skrzyżowania ulicy Mickiewicza</w:t>
      </w:r>
      <w:r w:rsidRPr="008B52A6">
        <w:rPr>
          <w:rFonts w:ascii="Tahoma" w:hAnsi="Tahoma" w:cs="Tahoma"/>
          <w:b/>
          <w:bCs/>
          <w:iCs/>
        </w:rPr>
        <w:t>”</w:t>
      </w:r>
    </w:p>
    <w:p w:rsidR="00BC78AC" w:rsidRPr="008B52A6" w:rsidRDefault="00BC78AC" w:rsidP="00431319">
      <w:pPr>
        <w:keepNext/>
        <w:keepLines/>
        <w:spacing w:line="276" w:lineRule="auto"/>
        <w:jc w:val="both"/>
        <w:rPr>
          <w:rFonts w:ascii="Tahoma" w:hAnsi="Tahoma" w:cs="Tahoma"/>
        </w:rPr>
      </w:pPr>
    </w:p>
    <w:p w:rsidR="00A6434F" w:rsidRPr="00A6434F" w:rsidRDefault="00A6434F" w:rsidP="00A6434F">
      <w:pPr>
        <w:spacing w:before="100" w:beforeAutospacing="1" w:after="100" w:afterAutospacing="1" w:line="276" w:lineRule="auto"/>
        <w:jc w:val="both"/>
        <w:rPr>
          <w:rFonts w:ascii="Tahoma" w:hAnsi="Tahoma" w:cs="Tahoma"/>
        </w:rPr>
      </w:pPr>
      <w:r w:rsidRPr="00A6434F">
        <w:rPr>
          <w:rFonts w:ascii="Tahoma" w:hAnsi="Tahoma" w:cs="Tahoma"/>
        </w:rPr>
        <w:t>Działając na podstawie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</w:rPr>
        <w:t>art. 284 ust. 2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  <w:bCs/>
        </w:rPr>
        <w:t>ustawy z dnia 11 września 2019 r. – Prawo zamówień publicznych (D</w:t>
      </w:r>
      <w:r>
        <w:rPr>
          <w:rFonts w:ascii="Tahoma" w:hAnsi="Tahoma" w:cs="Tahoma"/>
          <w:bCs/>
        </w:rPr>
        <w:t xml:space="preserve">z.U. z 2019 r. poz. 2019 z </w:t>
      </w:r>
      <w:proofErr w:type="spellStart"/>
      <w:r>
        <w:rPr>
          <w:rFonts w:ascii="Tahoma" w:hAnsi="Tahoma" w:cs="Tahoma"/>
          <w:bCs/>
        </w:rPr>
        <w:t>późn</w:t>
      </w:r>
      <w:proofErr w:type="spellEnd"/>
      <w:r>
        <w:rPr>
          <w:rFonts w:ascii="Tahoma" w:hAnsi="Tahoma" w:cs="Tahoma"/>
          <w:bCs/>
        </w:rPr>
        <w:t>. zm.</w:t>
      </w:r>
      <w:r w:rsidRPr="00A6434F">
        <w:rPr>
          <w:rFonts w:ascii="Tahoma" w:hAnsi="Tahoma" w:cs="Tahoma"/>
          <w:bCs/>
        </w:rPr>
        <w:t>.; zwana dalej: PZP),</w:t>
      </w:r>
      <w:r w:rsidRPr="00A6434F">
        <w:rPr>
          <w:rFonts w:ascii="Tahoma" w:hAnsi="Tahoma" w:cs="Tahoma"/>
        </w:rPr>
        <w:t xml:space="preserve"> </w:t>
      </w:r>
      <w:r w:rsidRPr="00A6434F">
        <w:rPr>
          <w:rFonts w:ascii="Tahoma" w:hAnsi="Tahoma" w:cs="Tahoma"/>
          <w:color w:val="000000"/>
        </w:rPr>
        <w:t>Zamawiający przekazuje poniżej treść zapytań, które wpłynęły do Zamawiającego wraz z wyjaśnieniami:</w:t>
      </w:r>
    </w:p>
    <w:p w:rsidR="00C461F3" w:rsidRDefault="00C461F3" w:rsidP="00FF48BA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C461F3">
        <w:rPr>
          <w:rFonts w:ascii="Tahoma" w:hAnsi="Tahoma" w:cs="Tahoma"/>
        </w:rPr>
        <w:tab/>
      </w:r>
    </w:p>
    <w:p w:rsidR="003A5DD4" w:rsidRDefault="00C461F3" w:rsidP="00FF48BA">
      <w:pPr>
        <w:keepNext/>
        <w:keepLines/>
        <w:spacing w:line="276" w:lineRule="auto"/>
        <w:jc w:val="both"/>
        <w:rPr>
          <w:rFonts w:ascii="Tahoma" w:hAnsi="Tahoma" w:cs="Tahoma"/>
          <w:b/>
        </w:rPr>
      </w:pPr>
      <w:r w:rsidRPr="0013576C">
        <w:rPr>
          <w:rFonts w:ascii="Tahoma" w:hAnsi="Tahoma" w:cs="Tahoma"/>
          <w:b/>
        </w:rPr>
        <w:t xml:space="preserve">Pyt 1. </w:t>
      </w:r>
    </w:p>
    <w:p w:rsidR="00AD562B" w:rsidRPr="00AD562B" w:rsidRDefault="00AD562B" w:rsidP="00AD562B">
      <w:pPr>
        <w:keepNext/>
        <w:keepLines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color w:val="000000"/>
        </w:rPr>
        <w:t xml:space="preserve">Czy realizowany inwestycja </w:t>
      </w:r>
      <w:r w:rsidRPr="00AD562B">
        <w:rPr>
          <w:rFonts w:ascii="Tahoma" w:hAnsi="Tahoma" w:cs="Tahoma"/>
          <w:color w:val="000000"/>
        </w:rPr>
        <w:t xml:space="preserve">ma przyjęte obliczenia mocy  opraw  zgodne z klasami oświetlenia dróg M2 , M3, M6 plus inne na  przejazdy kolejowe, na których trzeba </w:t>
      </w:r>
      <w:proofErr w:type="spellStart"/>
      <w:r w:rsidRPr="00AD562B">
        <w:rPr>
          <w:rFonts w:ascii="Tahoma" w:hAnsi="Tahoma" w:cs="Tahoma"/>
          <w:color w:val="000000"/>
        </w:rPr>
        <w:t>zapewnc</w:t>
      </w:r>
      <w:proofErr w:type="spellEnd"/>
      <w:r w:rsidRPr="00AD562B">
        <w:rPr>
          <w:rFonts w:ascii="Tahoma" w:hAnsi="Tahoma" w:cs="Tahoma"/>
          <w:color w:val="000000"/>
        </w:rPr>
        <w:t xml:space="preserve">  bezpieczeństwo normy olśnienia, czy jest potrzeba dołączyć odpowiednich obliczeń fotometrycznych do oferty oraz czy wykonawca zobowiązany jest do posiadania aktualnych (ważnych) uprawnień, właściwych do wykonywania prac objętych przedmiotem zapytania Informacje o RODO: Zgodnie z art. 13 ust. 1 i 2 rozporządzenia Parlamentu Europejskiego i Rady (UE) 2016/</w:t>
      </w:r>
      <w:r w:rsidRPr="00AD562B">
        <w:rPr>
          <w:rFonts w:ascii="Tahoma" w:hAnsi="Tahoma" w:cs="Tahoma"/>
          <w:color w:val="454C54"/>
        </w:rPr>
        <w:t>679</w:t>
      </w:r>
    </w:p>
    <w:p w:rsidR="00C461F3" w:rsidRDefault="00C461F3" w:rsidP="00FF48BA">
      <w:pPr>
        <w:spacing w:line="276" w:lineRule="auto"/>
        <w:jc w:val="both"/>
        <w:rPr>
          <w:rFonts w:ascii="Tahoma" w:hAnsi="Tahoma" w:cs="Tahoma"/>
        </w:rPr>
      </w:pPr>
    </w:p>
    <w:p w:rsidR="00E23A83" w:rsidRDefault="0013576C" w:rsidP="00FF48BA">
      <w:pPr>
        <w:spacing w:line="276" w:lineRule="auto"/>
        <w:jc w:val="both"/>
        <w:rPr>
          <w:rFonts w:ascii="Tahoma" w:hAnsi="Tahoma" w:cs="Tahoma"/>
          <w:b/>
        </w:rPr>
      </w:pPr>
      <w:r w:rsidRPr="0013576C">
        <w:rPr>
          <w:rFonts w:ascii="Tahoma" w:hAnsi="Tahoma" w:cs="Tahoma"/>
          <w:b/>
        </w:rPr>
        <w:t>Odpowiedź:</w:t>
      </w:r>
    </w:p>
    <w:p w:rsidR="00AD562B" w:rsidRPr="00AD562B" w:rsidRDefault="00AD562B" w:rsidP="00AD562B">
      <w:pPr>
        <w:pStyle w:val="Standard"/>
        <w:rPr>
          <w:rFonts w:ascii="Tahoma" w:hAnsi="Tahoma" w:cs="Tahoma"/>
          <w:sz w:val="24"/>
          <w:szCs w:val="24"/>
        </w:rPr>
      </w:pPr>
      <w:r w:rsidRPr="00AD562B">
        <w:rPr>
          <w:rFonts w:ascii="Tahoma" w:hAnsi="Tahoma" w:cs="Tahoma"/>
          <w:sz w:val="24"/>
          <w:szCs w:val="24"/>
        </w:rPr>
        <w:t xml:space="preserve">Przedmiotem zamówienia jest oświetlenie ulic. Cały jego zakres jest ujęty w dokumentacji projektowej.  Dla jego zrealizowania należy określić klasę oświetleniową i wykonać obliczenia fotometryczne przyjmując m.in. typ oprawy oświetleniowej, lokalizację punktów oświetleniowych i parametry techniczne zastosowanych urządzeń ( szczegóły techniczne oprawy oświetleniowej, szczegóły techniczne </w:t>
      </w:r>
      <w:proofErr w:type="spellStart"/>
      <w:r w:rsidRPr="00AD562B">
        <w:rPr>
          <w:rFonts w:ascii="Tahoma" w:hAnsi="Tahoma" w:cs="Tahoma"/>
          <w:sz w:val="24"/>
          <w:szCs w:val="24"/>
        </w:rPr>
        <w:t>żródeł</w:t>
      </w:r>
      <w:proofErr w:type="spellEnd"/>
      <w:r w:rsidRPr="00AD562B">
        <w:rPr>
          <w:rFonts w:ascii="Tahoma" w:hAnsi="Tahoma" w:cs="Tahoma"/>
          <w:sz w:val="24"/>
          <w:szCs w:val="24"/>
        </w:rPr>
        <w:t xml:space="preserve"> światła, słupy, wysięgniki itd.). W związku z koniecznością zastosowania </w:t>
      </w:r>
      <w:r w:rsidRPr="00AD562B">
        <w:rPr>
          <w:rFonts w:ascii="Tahoma" w:hAnsi="Tahoma" w:cs="Tahoma"/>
          <w:b/>
          <w:bCs/>
          <w:sz w:val="24"/>
          <w:szCs w:val="24"/>
        </w:rPr>
        <w:t>opraw typu LED</w:t>
      </w:r>
      <w:r w:rsidRPr="00AD562B">
        <w:rPr>
          <w:rFonts w:ascii="Tahoma" w:hAnsi="Tahoma" w:cs="Tahoma"/>
          <w:sz w:val="24"/>
          <w:szCs w:val="24"/>
        </w:rPr>
        <w:t xml:space="preserve">, ich doboru można dokonać wyłącznie poprzez </w:t>
      </w:r>
      <w:r w:rsidRPr="00AD562B">
        <w:rPr>
          <w:rFonts w:ascii="Tahoma" w:hAnsi="Tahoma" w:cs="Tahoma"/>
          <w:b/>
          <w:bCs/>
          <w:sz w:val="24"/>
          <w:szCs w:val="24"/>
        </w:rPr>
        <w:t>powtórne wykonanie obliczeń fotometrycznych</w:t>
      </w:r>
      <w:r w:rsidRPr="00AD562B">
        <w:rPr>
          <w:rFonts w:ascii="Tahoma" w:hAnsi="Tahoma" w:cs="Tahoma"/>
          <w:sz w:val="24"/>
          <w:szCs w:val="24"/>
        </w:rPr>
        <w:t>, które musi wykonać upoważniony projektant, najlepiej współpracujący z producentem dobieranych opraw oświetleniowych.</w:t>
      </w:r>
    </w:p>
    <w:p w:rsidR="00AD562B" w:rsidRDefault="00AD562B" w:rsidP="00FF48BA">
      <w:pPr>
        <w:spacing w:line="276" w:lineRule="auto"/>
        <w:jc w:val="both"/>
        <w:rPr>
          <w:rFonts w:ascii="Tahoma" w:hAnsi="Tahoma" w:cs="Tahoma"/>
          <w:b/>
        </w:rPr>
      </w:pPr>
    </w:p>
    <w:p w:rsidR="00AD562B" w:rsidRDefault="00AD562B" w:rsidP="00AD562B">
      <w:pPr>
        <w:keepNext/>
        <w:keepLines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Pyt 2</w:t>
      </w:r>
      <w:r w:rsidRPr="0013576C">
        <w:rPr>
          <w:rFonts w:ascii="Tahoma" w:hAnsi="Tahoma" w:cs="Tahoma"/>
          <w:b/>
        </w:rPr>
        <w:t xml:space="preserve">. </w:t>
      </w:r>
    </w:p>
    <w:p w:rsidR="00AD562B" w:rsidRDefault="00AD562B" w:rsidP="00AD562B">
      <w:pPr>
        <w:keepNext/>
        <w:keepLines/>
        <w:spacing w:line="276" w:lineRule="auto"/>
        <w:rPr>
          <w:rFonts w:ascii="Tahoma" w:hAnsi="Tahoma" w:cs="Tahoma"/>
        </w:rPr>
      </w:pPr>
      <w:r w:rsidRPr="00AD562B">
        <w:rPr>
          <w:rFonts w:ascii="Tahoma" w:hAnsi="Tahoma" w:cs="Tahoma"/>
          <w:color w:val="000000"/>
        </w:rPr>
        <w:t xml:space="preserve">Proszę o dodanie do SIWZ obowiązujących Norm na tereny PKP-PLK S.A jeśli taki są , na zamawiane produkty lub dobrych opisów bez podawania nazw, które mają zastosowane a nie zostały podane do realizacji </w:t>
      </w:r>
      <w:proofErr w:type="spellStart"/>
      <w:r w:rsidRPr="00AD562B">
        <w:rPr>
          <w:rFonts w:ascii="Tahoma" w:hAnsi="Tahoma" w:cs="Tahoma"/>
          <w:color w:val="000000"/>
        </w:rPr>
        <w:t>przedsiewzięcia</w:t>
      </w:r>
      <w:proofErr w:type="spellEnd"/>
      <w:r w:rsidRPr="00AD562B">
        <w:rPr>
          <w:rFonts w:ascii="Tahoma" w:hAnsi="Tahoma" w:cs="Tahoma"/>
          <w:color w:val="000000"/>
        </w:rPr>
        <w:t xml:space="preserve"> . Normy na słupy  </w:t>
      </w:r>
      <w:proofErr w:type="spellStart"/>
      <w:r w:rsidRPr="00AD562B">
        <w:rPr>
          <w:rFonts w:ascii="Tahoma" w:hAnsi="Tahoma" w:cs="Tahoma"/>
          <w:color w:val="000000"/>
        </w:rPr>
        <w:t>wysiegniki</w:t>
      </w:r>
      <w:proofErr w:type="spellEnd"/>
      <w:r w:rsidRPr="00AD562B">
        <w:rPr>
          <w:rFonts w:ascii="Tahoma" w:hAnsi="Tahoma" w:cs="Tahoma"/>
          <w:color w:val="000000"/>
        </w:rPr>
        <w:t xml:space="preserve"> i oświetlenie  Nowych norm PN-EN13201-2;2016-03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color w:val="000000"/>
        </w:rPr>
        <w:t xml:space="preserve">                            oraz </w:t>
      </w:r>
      <w:r w:rsidRPr="00AD562B">
        <w:rPr>
          <w:rFonts w:ascii="Tahoma" w:hAnsi="Tahoma" w:cs="Tahoma"/>
          <w:color w:val="000000"/>
        </w:rPr>
        <w:t>ważnych norm PN-EN12464-1:2011 „Światło i Oświetlenie miejsc pracy.                                                                                                                                                                                                           PN-EN60698-1       PN-EN60598-2-3        PN-EN 55015       PN-EN61547,    PN-EN61000-3-2,     PN-EN61000-3-3</w:t>
      </w:r>
      <w:r w:rsidRPr="00AD562B">
        <w:rPr>
          <w:rFonts w:ascii="Tahoma" w:hAnsi="Tahoma" w:cs="Tahoma"/>
        </w:rPr>
        <w:t xml:space="preserve">     </w:t>
      </w:r>
    </w:p>
    <w:p w:rsidR="00AD562B" w:rsidRDefault="00AD562B" w:rsidP="00AD562B">
      <w:pPr>
        <w:keepNext/>
        <w:keepLines/>
        <w:spacing w:line="276" w:lineRule="auto"/>
        <w:jc w:val="both"/>
        <w:rPr>
          <w:rFonts w:ascii="Tahoma" w:hAnsi="Tahoma" w:cs="Tahoma"/>
        </w:rPr>
      </w:pPr>
    </w:p>
    <w:p w:rsidR="00AD562B" w:rsidRDefault="00AD562B" w:rsidP="00AD562B">
      <w:pPr>
        <w:spacing w:line="276" w:lineRule="auto"/>
        <w:jc w:val="both"/>
        <w:rPr>
          <w:rFonts w:ascii="Tahoma" w:hAnsi="Tahoma" w:cs="Tahoma"/>
          <w:b/>
        </w:rPr>
      </w:pPr>
      <w:r w:rsidRPr="0013576C">
        <w:rPr>
          <w:rFonts w:ascii="Tahoma" w:hAnsi="Tahoma" w:cs="Tahoma"/>
          <w:b/>
        </w:rPr>
        <w:t>Odpowiedź:</w:t>
      </w:r>
    </w:p>
    <w:p w:rsidR="000C33E6" w:rsidRDefault="00AD562B" w:rsidP="00AD562B">
      <w:pPr>
        <w:pStyle w:val="Standard"/>
        <w:tabs>
          <w:tab w:val="left" w:pos="2895"/>
        </w:tabs>
        <w:rPr>
          <w:rFonts w:ascii="Tahoma" w:hAnsi="Tahoma" w:cs="Tahoma"/>
          <w:sz w:val="24"/>
          <w:szCs w:val="24"/>
        </w:rPr>
      </w:pPr>
      <w:r w:rsidRPr="00AD562B">
        <w:rPr>
          <w:rFonts w:ascii="Tahoma" w:hAnsi="Tahoma" w:cs="Tahoma"/>
          <w:sz w:val="24"/>
          <w:szCs w:val="24"/>
        </w:rPr>
        <w:t xml:space="preserve">Oświetlenie ulic należy projektować i wykonywać w sposób określony w aktualnie obowiązujących przepisach, w tym techniczno-budowlanych, oraz zgodnie z zasadami wiedzy technicznej.  </w:t>
      </w:r>
    </w:p>
    <w:p w:rsidR="000C33E6" w:rsidRDefault="000C33E6" w:rsidP="000C33E6">
      <w:pPr>
        <w:keepNext/>
        <w:keepLines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Pyt 3</w:t>
      </w:r>
      <w:r w:rsidRPr="0013576C">
        <w:rPr>
          <w:rFonts w:ascii="Tahoma" w:hAnsi="Tahoma" w:cs="Tahoma"/>
          <w:b/>
        </w:rPr>
        <w:t xml:space="preserve">. </w:t>
      </w:r>
    </w:p>
    <w:p w:rsidR="000C33E6" w:rsidRDefault="000C33E6" w:rsidP="000C33E6">
      <w:pPr>
        <w:pStyle w:val="Standard"/>
        <w:tabs>
          <w:tab w:val="left" w:pos="2895"/>
        </w:tabs>
        <w:rPr>
          <w:rFonts w:ascii="Tahoma" w:hAnsi="Tahoma" w:cs="Tahoma"/>
          <w:color w:val="000000"/>
          <w:sz w:val="24"/>
          <w:szCs w:val="24"/>
        </w:rPr>
      </w:pPr>
      <w:r w:rsidRPr="000C33E6">
        <w:rPr>
          <w:rFonts w:ascii="Tahoma" w:hAnsi="Tahoma" w:cs="Tahoma"/>
          <w:color w:val="000000"/>
          <w:sz w:val="24"/>
          <w:szCs w:val="24"/>
        </w:rPr>
        <w:t xml:space="preserve">Czy  wykonawcy którzy brali udział w postepowaniach wcześniejszych  i ich działania mogą być  podstawą prawną do eliminowania bezprawnego  zachowania  i odrzucenia ich ofert </w:t>
      </w:r>
      <w:proofErr w:type="spellStart"/>
      <w:r w:rsidRPr="000C33E6">
        <w:rPr>
          <w:rFonts w:ascii="Tahoma" w:hAnsi="Tahoma" w:cs="Tahoma"/>
          <w:color w:val="000000"/>
          <w:sz w:val="24"/>
          <w:szCs w:val="24"/>
        </w:rPr>
        <w:t>przz</w:t>
      </w:r>
      <w:proofErr w:type="spellEnd"/>
      <w:r w:rsidRPr="000C33E6">
        <w:rPr>
          <w:rFonts w:ascii="Tahoma" w:hAnsi="Tahoma" w:cs="Tahoma"/>
          <w:color w:val="000000"/>
          <w:sz w:val="24"/>
          <w:szCs w:val="24"/>
        </w:rPr>
        <w:t xml:space="preserve"> instalacje podróbek lamp Led niespełniających norm, które dotyczą praw wyłącznych chronionych na podstawie ustawy z dnia 30 czerwca 2000 r.                                                                                                                                   akty prawne, rozporządzenia  Polskie, wynikających z art.4 ust.3 TUE oraz art.7 Konstytucji RP, obowiązek respektowania zasad prawa unijnego przy wykonywaniu  kompetencji przewidzianych dla niego w ustawy Prawa , z zakresu własności przemysłowej przez Trybunał Sprawiedliwości  Unii Europejskiej  i Ustawy </w:t>
      </w:r>
    </w:p>
    <w:p w:rsidR="000C33E6" w:rsidRDefault="000C33E6" w:rsidP="000C33E6">
      <w:pPr>
        <w:spacing w:line="276" w:lineRule="auto"/>
        <w:jc w:val="both"/>
        <w:rPr>
          <w:rFonts w:ascii="Tahoma" w:hAnsi="Tahoma" w:cs="Tahoma"/>
          <w:b/>
        </w:rPr>
      </w:pPr>
      <w:r w:rsidRPr="0013576C">
        <w:rPr>
          <w:rFonts w:ascii="Tahoma" w:hAnsi="Tahoma" w:cs="Tahoma"/>
          <w:b/>
        </w:rPr>
        <w:t>Odpowiedź:</w:t>
      </w:r>
    </w:p>
    <w:p w:rsidR="000C33E6" w:rsidRDefault="000C33E6" w:rsidP="000C33E6">
      <w:pPr>
        <w:pStyle w:val="Standard"/>
        <w:tabs>
          <w:tab w:val="left" w:pos="2895"/>
        </w:tabs>
        <w:rPr>
          <w:rFonts w:ascii="Tahoma" w:hAnsi="Tahoma" w:cs="Tahoma"/>
          <w:sz w:val="24"/>
          <w:szCs w:val="24"/>
        </w:rPr>
      </w:pPr>
      <w:r w:rsidRPr="000C33E6">
        <w:rPr>
          <w:rFonts w:ascii="Tahoma" w:hAnsi="Tahoma" w:cs="Tahoma"/>
          <w:sz w:val="24"/>
          <w:szCs w:val="24"/>
        </w:rPr>
        <w:t xml:space="preserve">Na terenie naszego kraju obowiązują wymagania posiadania przez wbudowywane materiały znaku CE i ENEC, oraz stosownych deklaracji i dopuszczenia do obrotu na terenie Rzeczpospolitej Polskiej.     </w:t>
      </w:r>
    </w:p>
    <w:p w:rsidR="000C33E6" w:rsidRDefault="000C33E6" w:rsidP="00503EFD">
      <w:pPr>
        <w:pStyle w:val="Standard"/>
        <w:tabs>
          <w:tab w:val="left" w:pos="2895"/>
        </w:tabs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Pyt 4</w:t>
      </w:r>
      <w:r w:rsidRPr="0013576C">
        <w:rPr>
          <w:rFonts w:ascii="Tahoma" w:hAnsi="Tahoma" w:cs="Tahoma"/>
          <w:b/>
        </w:rPr>
        <w:t xml:space="preserve">. </w:t>
      </w:r>
    </w:p>
    <w:p w:rsidR="00503EFD" w:rsidRDefault="00503EFD" w:rsidP="00503EFD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503EFD">
        <w:rPr>
          <w:rFonts w:ascii="Tahoma" w:hAnsi="Tahoma" w:cs="Tahoma"/>
          <w:color w:val="000000"/>
          <w:sz w:val="24"/>
          <w:szCs w:val="24"/>
        </w:rPr>
        <w:t>Czy   opraw oświetleniowe powinny mieć  dokumenty do  użytkowania: - EN 60598-1 _ EN 60598-2 . Potwierdzone badaniami ze zgodność  Ustawy o ogólnym bezpieczeństwie produktów i ustawa o efektywności energetycznej z maj 2016, wymagania dla sprzętu elektrycznego:</w:t>
      </w:r>
      <w:r w:rsidRPr="00503EFD">
        <w:rPr>
          <w:rFonts w:ascii="Tahoma" w:hAnsi="Tahoma" w:cs="Tahoma"/>
          <w:sz w:val="24"/>
          <w:szCs w:val="24"/>
        </w:rPr>
        <w:t xml:space="preserve">   </w:t>
      </w:r>
    </w:p>
    <w:p w:rsidR="00503EFD" w:rsidRDefault="00503EFD" w:rsidP="00503EFD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</w:p>
    <w:p w:rsidR="00503EFD" w:rsidRDefault="00503EFD" w:rsidP="00503EFD">
      <w:pPr>
        <w:spacing w:line="276" w:lineRule="auto"/>
        <w:jc w:val="both"/>
        <w:rPr>
          <w:rFonts w:ascii="Tahoma" w:hAnsi="Tahoma" w:cs="Tahoma"/>
          <w:b/>
        </w:rPr>
      </w:pPr>
    </w:p>
    <w:p w:rsidR="00503EFD" w:rsidRDefault="00503EFD" w:rsidP="00503EFD">
      <w:pPr>
        <w:spacing w:line="276" w:lineRule="auto"/>
        <w:jc w:val="both"/>
        <w:rPr>
          <w:rFonts w:ascii="Tahoma" w:hAnsi="Tahoma" w:cs="Tahoma"/>
          <w:b/>
        </w:rPr>
      </w:pPr>
      <w:r w:rsidRPr="0013576C">
        <w:rPr>
          <w:rFonts w:ascii="Tahoma" w:hAnsi="Tahoma" w:cs="Tahoma"/>
          <w:b/>
        </w:rPr>
        <w:lastRenderedPageBreak/>
        <w:t>Odpowiedź:</w:t>
      </w:r>
    </w:p>
    <w:p w:rsidR="009A0284" w:rsidRDefault="00503EFD" w:rsidP="00503EFD">
      <w:pPr>
        <w:pStyle w:val="Standard"/>
        <w:tabs>
          <w:tab w:val="left" w:pos="2895"/>
        </w:tabs>
        <w:rPr>
          <w:rFonts w:ascii="Tahoma" w:hAnsi="Tahoma" w:cs="Tahoma"/>
          <w:sz w:val="24"/>
          <w:szCs w:val="24"/>
        </w:rPr>
      </w:pPr>
      <w:r w:rsidRPr="00503EFD">
        <w:rPr>
          <w:rFonts w:ascii="Tahoma" w:hAnsi="Tahoma" w:cs="Tahoma"/>
          <w:sz w:val="24"/>
          <w:szCs w:val="24"/>
        </w:rPr>
        <w:t xml:space="preserve">Proponowane w dokumentacji projektowej oprawy posiadają wszystkie wymagane normami dokumenty oraz są wykonane zgodnie z wszystkimi obowiązującymi przepisami. Na Wykonawcy spoczywa obowiązek udowodnienia, że zastosowane przez niego oprawy spełniają wymogi określone w dokumentacji.          </w:t>
      </w:r>
    </w:p>
    <w:p w:rsidR="009A0284" w:rsidRPr="009A0284" w:rsidRDefault="009A0284" w:rsidP="009A0284">
      <w:pPr>
        <w:pStyle w:val="Standard"/>
        <w:tabs>
          <w:tab w:val="left" w:pos="2895"/>
        </w:tabs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Pyt 5</w:t>
      </w:r>
      <w:r w:rsidRPr="0013576C">
        <w:rPr>
          <w:rFonts w:ascii="Tahoma" w:hAnsi="Tahoma" w:cs="Tahoma"/>
          <w:b/>
        </w:rPr>
        <w:t xml:space="preserve">. </w:t>
      </w:r>
    </w:p>
    <w:p w:rsidR="009A0284" w:rsidRDefault="009A0284" w:rsidP="00503EFD">
      <w:pPr>
        <w:pStyle w:val="Standard"/>
        <w:tabs>
          <w:tab w:val="left" w:pos="2895"/>
        </w:tabs>
        <w:rPr>
          <w:rFonts w:ascii="Tahoma" w:hAnsi="Tahoma" w:cs="Tahoma"/>
          <w:sz w:val="24"/>
          <w:szCs w:val="24"/>
        </w:rPr>
      </w:pPr>
      <w:r w:rsidRPr="009A0284">
        <w:rPr>
          <w:rFonts w:ascii="Tahoma" w:hAnsi="Tahoma" w:cs="Tahoma"/>
          <w:sz w:val="24"/>
          <w:szCs w:val="24"/>
        </w:rPr>
        <w:t xml:space="preserve">Brak jest  opisów ogólnych opisów lampy ich  </w:t>
      </w:r>
      <w:proofErr w:type="spellStart"/>
      <w:r w:rsidRPr="009A0284">
        <w:rPr>
          <w:rFonts w:ascii="Tahoma" w:hAnsi="Tahoma" w:cs="Tahoma"/>
          <w:sz w:val="24"/>
          <w:szCs w:val="24"/>
        </w:rPr>
        <w:t>ich</w:t>
      </w:r>
      <w:proofErr w:type="spellEnd"/>
      <w:r w:rsidRPr="009A0284">
        <w:rPr>
          <w:rFonts w:ascii="Tahoma" w:hAnsi="Tahoma" w:cs="Tahoma"/>
          <w:sz w:val="24"/>
          <w:szCs w:val="24"/>
        </w:rPr>
        <w:t xml:space="preserve"> do uchwytu mocowań , jest niedopuszczalne podawanie nazw produktów , powinna być podana charakterystyka i normy minimum powyżej 110 lm/m2  1W netto, według zamienników </w:t>
      </w:r>
      <w:r w:rsidRPr="009A0284">
        <w:rPr>
          <w:rFonts w:ascii="Tahoma" w:hAnsi="Tahoma" w:cs="Tahoma"/>
          <w:b/>
          <w:sz w:val="24"/>
          <w:szCs w:val="24"/>
        </w:rPr>
        <w:t>Zielonych  Zamówień Publicznych i Kryteriów Unijnych zamienników oświetlenia sodowego na LED</w:t>
      </w:r>
      <w:r w:rsidRPr="009A0284">
        <w:rPr>
          <w:rFonts w:ascii="Tahoma" w:hAnsi="Tahoma" w:cs="Tahoma"/>
          <w:sz w:val="24"/>
          <w:szCs w:val="24"/>
        </w:rPr>
        <w:t>, które mogą ukierunkować wykonawcę i inwestora jakie produkty przedstawić do  rzetelnej przygotowanej wyceny. dostosowując się do polityki klimatycznej z zachowaniem strategii niskoemisyjne</w:t>
      </w:r>
      <w:r>
        <w:rPr>
          <w:rFonts w:ascii="Tahoma" w:hAnsi="Tahoma" w:cs="Tahoma"/>
          <w:sz w:val="24"/>
          <w:szCs w:val="24"/>
        </w:rPr>
        <w:t xml:space="preserve">j rozwoju. </w:t>
      </w:r>
      <w:r w:rsidRPr="009A0284">
        <w:rPr>
          <w:rFonts w:ascii="Tahoma" w:hAnsi="Tahoma" w:cs="Tahoma"/>
          <w:sz w:val="24"/>
          <w:szCs w:val="24"/>
        </w:rPr>
        <w:t>Czy wszystkie oprawy LED lub sodowe powinny spełniać  niezbędne wytyczne EU.</w:t>
      </w:r>
    </w:p>
    <w:p w:rsidR="009A0284" w:rsidRDefault="009A0284" w:rsidP="009A0284">
      <w:pPr>
        <w:spacing w:line="276" w:lineRule="auto"/>
        <w:jc w:val="both"/>
        <w:rPr>
          <w:rFonts w:ascii="Tahoma" w:hAnsi="Tahoma" w:cs="Tahoma"/>
          <w:b/>
        </w:rPr>
      </w:pPr>
      <w:r w:rsidRPr="0013576C">
        <w:rPr>
          <w:rFonts w:ascii="Tahoma" w:hAnsi="Tahoma" w:cs="Tahoma"/>
          <w:b/>
        </w:rPr>
        <w:t>Odpowiedź:</w:t>
      </w:r>
    </w:p>
    <w:p w:rsidR="009A0284" w:rsidRDefault="009A0284" w:rsidP="009A0284">
      <w:pPr>
        <w:pStyle w:val="Standard"/>
        <w:rPr>
          <w:rFonts w:ascii="Tahoma" w:hAnsi="Tahoma" w:cs="Tahoma"/>
          <w:sz w:val="24"/>
          <w:szCs w:val="24"/>
        </w:rPr>
      </w:pPr>
      <w:r w:rsidRPr="009A0284">
        <w:rPr>
          <w:rFonts w:ascii="Tahoma" w:hAnsi="Tahoma" w:cs="Tahoma"/>
          <w:sz w:val="24"/>
          <w:szCs w:val="24"/>
        </w:rPr>
        <w:t>Zamawiający wymaga stosowania opraw równoważnych z przykładowymi oprawami przyjętymi w projekcie, na który zostały wykonane obliczenia. Wszystkie dane zostały ujęte w projekcie do czego należy się zastosować proponując oprawy równoważne. Są to zwłaszcza:                                                                                                                                           - całkowity pobór mocy nie większy niż opraw przyjętych do obliczeń,                                                                                              - strumień świetlny nie mniejszy niż przyjęty w obliczeniach,                                                                                                                   - temperatura barwowa +/-5% oprawy przyjętej w obliczeniach,                                                                                                                                     - wraz ze zgłoszeniem robót do odbioru, Zamawiający wymaga od Wykonawcy dostarczenia pełnej, kompletnej</w:t>
      </w:r>
      <w:r w:rsidR="002640A7">
        <w:rPr>
          <w:rFonts w:ascii="Tahoma" w:hAnsi="Tahoma" w:cs="Tahoma"/>
          <w:sz w:val="24"/>
          <w:szCs w:val="24"/>
        </w:rPr>
        <w:t xml:space="preserve"> </w:t>
      </w:r>
      <w:r w:rsidRPr="009A0284">
        <w:rPr>
          <w:rFonts w:ascii="Tahoma" w:hAnsi="Tahoma" w:cs="Tahoma"/>
          <w:sz w:val="24"/>
          <w:szCs w:val="24"/>
        </w:rPr>
        <w:t>dokumentacji powykonawczej, zgodnie z warunkami w isto</w:t>
      </w:r>
      <w:r w:rsidR="00FE20CC">
        <w:rPr>
          <w:rFonts w:ascii="Tahoma" w:hAnsi="Tahoma" w:cs="Tahoma"/>
          <w:sz w:val="24"/>
          <w:szCs w:val="24"/>
        </w:rPr>
        <w:t>tnych postanowieniach umowy i S</w:t>
      </w:r>
      <w:r w:rsidRPr="009A0284">
        <w:rPr>
          <w:rFonts w:ascii="Tahoma" w:hAnsi="Tahoma" w:cs="Tahoma"/>
          <w:sz w:val="24"/>
          <w:szCs w:val="24"/>
        </w:rPr>
        <w:t>WZ.</w:t>
      </w:r>
    </w:p>
    <w:p w:rsidR="00F505A6" w:rsidRPr="009A0284" w:rsidRDefault="00F505A6" w:rsidP="00F505A6">
      <w:pPr>
        <w:pStyle w:val="Standard"/>
        <w:tabs>
          <w:tab w:val="left" w:pos="2895"/>
        </w:tabs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Pyt 6</w:t>
      </w:r>
      <w:r w:rsidRPr="0013576C">
        <w:rPr>
          <w:rFonts w:ascii="Tahoma" w:hAnsi="Tahoma" w:cs="Tahoma"/>
          <w:b/>
        </w:rPr>
        <w:t xml:space="preserve">. </w:t>
      </w:r>
    </w:p>
    <w:p w:rsidR="00F505A6" w:rsidRDefault="00F505A6" w:rsidP="009A0284">
      <w:pPr>
        <w:pStyle w:val="Standard"/>
        <w:rPr>
          <w:rFonts w:ascii="Tahoma" w:hAnsi="Tahoma" w:cs="Tahoma"/>
          <w:sz w:val="24"/>
          <w:szCs w:val="24"/>
        </w:rPr>
      </w:pPr>
      <w:r w:rsidRPr="00F505A6">
        <w:rPr>
          <w:rFonts w:ascii="Tahoma" w:hAnsi="Tahoma" w:cs="Tahoma"/>
          <w:sz w:val="24"/>
          <w:szCs w:val="24"/>
        </w:rPr>
        <w:t>W SWZ zamawiający wymaga montażu opraw LED, natomiast w projekcie widnieją już nieprodukowane oprawy sodowe. Prosimy o aktualizację projektu o wymagania stawiane oprawom LED oraz o właściwe obliczenia elektryczne i fotometryczne. Jakie konkretnie należy użyć na tym zadaniu.</w:t>
      </w:r>
    </w:p>
    <w:p w:rsidR="008D1D40" w:rsidRDefault="008D1D40" w:rsidP="009A0284">
      <w:pPr>
        <w:pStyle w:val="Standard"/>
        <w:rPr>
          <w:rFonts w:ascii="Tahoma" w:hAnsi="Tahoma" w:cs="Tahoma"/>
          <w:sz w:val="24"/>
          <w:szCs w:val="24"/>
        </w:rPr>
      </w:pPr>
    </w:p>
    <w:p w:rsidR="008D1D40" w:rsidRDefault="008D1D40" w:rsidP="009A0284">
      <w:pPr>
        <w:pStyle w:val="Standard"/>
        <w:rPr>
          <w:rFonts w:ascii="Tahoma" w:hAnsi="Tahoma" w:cs="Tahoma"/>
          <w:sz w:val="24"/>
          <w:szCs w:val="24"/>
        </w:rPr>
      </w:pPr>
    </w:p>
    <w:p w:rsidR="008D1D40" w:rsidRDefault="00F505A6" w:rsidP="008D1D40">
      <w:pPr>
        <w:spacing w:line="276" w:lineRule="auto"/>
        <w:jc w:val="both"/>
        <w:rPr>
          <w:rFonts w:ascii="Tahoma" w:hAnsi="Tahoma" w:cs="Tahoma"/>
          <w:b/>
        </w:rPr>
      </w:pPr>
      <w:r w:rsidRPr="0013576C">
        <w:rPr>
          <w:rFonts w:ascii="Tahoma" w:hAnsi="Tahoma" w:cs="Tahoma"/>
          <w:b/>
        </w:rPr>
        <w:lastRenderedPageBreak/>
        <w:t>Odpowiedź:</w:t>
      </w:r>
    </w:p>
    <w:p w:rsidR="008D1D40" w:rsidRPr="008D1D40" w:rsidRDefault="008D1D40" w:rsidP="008D1D40">
      <w:pPr>
        <w:spacing w:line="276" w:lineRule="auto"/>
        <w:jc w:val="both"/>
        <w:rPr>
          <w:rFonts w:ascii="Tahoma" w:hAnsi="Tahoma" w:cs="Tahoma"/>
          <w:b/>
        </w:rPr>
      </w:pPr>
    </w:p>
    <w:p w:rsidR="008D1D40" w:rsidRPr="008D1D40" w:rsidRDefault="008D1D40" w:rsidP="008D1D40">
      <w:pPr>
        <w:rPr>
          <w:rFonts w:ascii="Tahoma" w:hAnsi="Tahoma" w:cs="Tahoma"/>
          <w:b/>
        </w:rPr>
      </w:pPr>
      <w:r w:rsidRPr="008D1D40">
        <w:rPr>
          <w:rFonts w:ascii="Tahoma" w:hAnsi="Tahoma" w:cs="Tahoma"/>
          <w:b/>
        </w:rPr>
        <w:t>MINIMALNE PARAMETRY TECHNICZNE OPRAWY DROGOWEJ W TECHNOLOGII LED</w:t>
      </w:r>
    </w:p>
    <w:p w:rsidR="008D1D40" w:rsidRPr="008D1D40" w:rsidRDefault="008D1D40" w:rsidP="008D1D40">
      <w:pPr>
        <w:rPr>
          <w:rFonts w:ascii="Tahoma" w:hAnsi="Tahoma" w:cs="Tahoma"/>
          <w:b/>
        </w:rPr>
      </w:pPr>
    </w:p>
    <w:p w:rsidR="008D1D40" w:rsidRPr="008D1D40" w:rsidRDefault="008D1D40" w:rsidP="008D1D40">
      <w:pPr>
        <w:pBdr>
          <w:bottom w:val="single" w:sz="12" w:space="1" w:color="auto"/>
        </w:pBdr>
        <w:rPr>
          <w:rFonts w:ascii="Tahoma" w:hAnsi="Tahoma" w:cs="Tahoma"/>
        </w:rPr>
      </w:pPr>
      <w:r w:rsidRPr="008D1D40">
        <w:rPr>
          <w:rFonts w:ascii="Tahoma" w:hAnsi="Tahoma" w:cs="Tahoma"/>
        </w:rPr>
        <w:t>PARAMETRY KONSTRUKCYJNE</w:t>
      </w:r>
    </w:p>
    <w:p w:rsidR="008D1D40" w:rsidRPr="008D1D40" w:rsidRDefault="008D1D40" w:rsidP="008D1D4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D1D40">
        <w:rPr>
          <w:rFonts w:ascii="Tahoma" w:hAnsi="Tahoma" w:cs="Tahoma"/>
          <w:sz w:val="24"/>
          <w:szCs w:val="24"/>
        </w:rPr>
        <w:t>Materiał korpusu: Wysokociśnieniowy odlew aluminiowy malowany proszkowo na wybrany kolor z ogólnodostępnej palety</w:t>
      </w:r>
    </w:p>
    <w:p w:rsidR="008D1D40" w:rsidRPr="008D1D40" w:rsidRDefault="008D1D40" w:rsidP="008D1D4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D1D40">
        <w:rPr>
          <w:rFonts w:ascii="Tahoma" w:hAnsi="Tahoma" w:cs="Tahoma"/>
          <w:sz w:val="24"/>
          <w:szCs w:val="24"/>
        </w:rPr>
        <w:t>Wnętrze komory optycznej, komory elektrycznej oraz elementy oprawy (np. pokrywa, uchwyt montażowy) zabezpieczone przed korozją powłoką lakierniczą. Nie dopuszcza się surowego materiału</w:t>
      </w:r>
    </w:p>
    <w:p w:rsidR="008D1D40" w:rsidRPr="008D1D40" w:rsidRDefault="008D1D40" w:rsidP="008D1D4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D1D40">
        <w:rPr>
          <w:rFonts w:ascii="Tahoma" w:hAnsi="Tahoma" w:cs="Tahoma"/>
          <w:sz w:val="24"/>
          <w:szCs w:val="24"/>
        </w:rPr>
        <w:t>Materiał klosza: Płaskie hartowane szkło</w:t>
      </w:r>
    </w:p>
    <w:p w:rsidR="008D1D40" w:rsidRPr="008D1D40" w:rsidRDefault="008D1D40" w:rsidP="008D1D4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D1D40">
        <w:rPr>
          <w:rFonts w:ascii="Tahoma" w:hAnsi="Tahoma" w:cs="Tahoma"/>
          <w:sz w:val="24"/>
          <w:szCs w:val="24"/>
        </w:rPr>
        <w:t xml:space="preserve">Stopień odporności klosza na uderzenia mechaniczne: IK09. </w:t>
      </w:r>
    </w:p>
    <w:p w:rsidR="008D1D40" w:rsidRPr="008D1D40" w:rsidRDefault="008D1D40" w:rsidP="008D1D4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D1D40">
        <w:rPr>
          <w:rFonts w:ascii="Tahoma" w:hAnsi="Tahoma" w:cs="Tahoma"/>
          <w:sz w:val="24"/>
          <w:szCs w:val="24"/>
        </w:rPr>
        <w:t>Szczelność komory optycznej IP66 oraz IP67</w:t>
      </w:r>
    </w:p>
    <w:p w:rsidR="008D1D40" w:rsidRPr="008D1D40" w:rsidRDefault="008D1D40" w:rsidP="008D1D4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D1D40">
        <w:rPr>
          <w:rFonts w:ascii="Tahoma" w:hAnsi="Tahoma" w:cs="Tahoma"/>
          <w:sz w:val="24"/>
          <w:szCs w:val="24"/>
        </w:rPr>
        <w:t>Szczelność komory elektrycznej IP66 oraz IP67</w:t>
      </w:r>
    </w:p>
    <w:p w:rsidR="008D1D40" w:rsidRPr="008D1D40" w:rsidRDefault="008D1D40" w:rsidP="008D1D4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D1D40">
        <w:rPr>
          <w:rFonts w:ascii="Tahoma" w:hAnsi="Tahoma" w:cs="Tahoma"/>
          <w:sz w:val="24"/>
          <w:szCs w:val="24"/>
        </w:rPr>
        <w:t>Oprawa wyposażona w uniwersalny uchwyt stanowiący integralną część oprawy oraz pozwalający na montaż zarówno na wysięgniku jak i bezpośrednio na słupie. Kąt nachylenia oprawy jest możliwy w zakresie: od -10° do 120° (montaż bezpośredni) lub od -100° do 30° (montaż na wysięgniku). Zmiana sposobu montażu odbywa się bez konieczności zdejmowania oprawy</w:t>
      </w:r>
    </w:p>
    <w:p w:rsidR="008D1D40" w:rsidRPr="008D1D40" w:rsidRDefault="008D1D40" w:rsidP="008D1D4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D1D40">
        <w:rPr>
          <w:rFonts w:ascii="Tahoma" w:hAnsi="Tahoma" w:cs="Tahoma"/>
          <w:sz w:val="24"/>
          <w:szCs w:val="24"/>
        </w:rPr>
        <w:t>Uchwyt montażowy wykonany z tego samego materiału co korpus oprawy oraz malowany proszkowo na ten sam kolor</w:t>
      </w:r>
    </w:p>
    <w:p w:rsidR="008D1D40" w:rsidRPr="008D1D40" w:rsidRDefault="008D1D40" w:rsidP="008D1D4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D1D40">
        <w:rPr>
          <w:rFonts w:ascii="Tahoma" w:hAnsi="Tahoma" w:cs="Tahoma"/>
          <w:sz w:val="24"/>
          <w:szCs w:val="24"/>
        </w:rPr>
        <w:t>Elementy mocujące oprawę na słupie, wysięgniku (śruby, podkładki) oraz klamry zamykające muszą być wykonane ze stali nierdzewnej</w:t>
      </w:r>
    </w:p>
    <w:p w:rsidR="008D1D40" w:rsidRPr="008D1D40" w:rsidRDefault="008D1D40" w:rsidP="008D1D4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D1D40">
        <w:rPr>
          <w:rFonts w:ascii="Tahoma" w:hAnsi="Tahoma" w:cs="Tahoma"/>
          <w:sz w:val="24"/>
          <w:szCs w:val="24"/>
        </w:rPr>
        <w:t xml:space="preserve">Dostęp do komory osprzętu elektrycznego bez użycia narzędzi za pomocą dwóch niezależnych zatrzasków. </w:t>
      </w:r>
    </w:p>
    <w:p w:rsidR="008D1D40" w:rsidRPr="008D1D40" w:rsidRDefault="008D1D40" w:rsidP="008D1D4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D1D40">
        <w:rPr>
          <w:rFonts w:ascii="Tahoma" w:hAnsi="Tahoma" w:cs="Tahoma"/>
          <w:sz w:val="24"/>
          <w:szCs w:val="24"/>
        </w:rPr>
        <w:t>Zakres temperatury otoczenia podczas pracy oprawy: od -40°C do +50°C</w:t>
      </w:r>
    </w:p>
    <w:p w:rsidR="008D1D40" w:rsidRPr="009E731A" w:rsidRDefault="008D1D40" w:rsidP="008D1D40">
      <w:pPr>
        <w:pStyle w:val="Akapitzlist"/>
        <w:spacing w:after="0" w:line="240" w:lineRule="auto"/>
        <w:ind w:left="284"/>
        <w:rPr>
          <w:rFonts w:cs="Calibri"/>
          <w:sz w:val="21"/>
          <w:szCs w:val="21"/>
        </w:rPr>
      </w:pPr>
    </w:p>
    <w:p w:rsidR="008D1D40" w:rsidRPr="008D1D40" w:rsidRDefault="008D1D40" w:rsidP="008D1D40">
      <w:pPr>
        <w:pBdr>
          <w:bottom w:val="single" w:sz="12" w:space="1" w:color="auto"/>
        </w:pBdr>
        <w:rPr>
          <w:rFonts w:ascii="Tahoma" w:hAnsi="Tahoma" w:cs="Tahoma"/>
        </w:rPr>
      </w:pPr>
      <w:r w:rsidRPr="008D1D40">
        <w:rPr>
          <w:rFonts w:ascii="Tahoma" w:hAnsi="Tahoma" w:cs="Tahoma"/>
        </w:rPr>
        <w:t>PARAMETRY ELEKTRYCZNE I FUNKCJONALNOŚĆ</w:t>
      </w:r>
    </w:p>
    <w:p w:rsidR="008D1D40" w:rsidRPr="008D1D40" w:rsidRDefault="008D1D40" w:rsidP="008D1D40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</w:rPr>
      </w:pPr>
      <w:r w:rsidRPr="008D1D40">
        <w:rPr>
          <w:rFonts w:ascii="Tahoma" w:hAnsi="Tahoma" w:cs="Tahoma"/>
        </w:rPr>
        <w:t>Moc maksymalna uwzględniające wszystkie straty –   65W</w:t>
      </w:r>
    </w:p>
    <w:p w:rsidR="008D1D40" w:rsidRPr="008D1D40" w:rsidRDefault="008D1D40" w:rsidP="008D1D4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D1D40">
        <w:rPr>
          <w:rFonts w:ascii="Tahoma" w:hAnsi="Tahoma" w:cs="Tahoma"/>
          <w:sz w:val="24"/>
          <w:szCs w:val="24"/>
        </w:rPr>
        <w:t xml:space="preserve">Oprawa wykonana w I lub II klasie ochronności elektrycznej, znamionowe napięcie zasilania 220-240 V / 50-60 </w:t>
      </w:r>
      <w:proofErr w:type="spellStart"/>
      <w:r w:rsidRPr="008D1D40">
        <w:rPr>
          <w:rFonts w:ascii="Tahoma" w:hAnsi="Tahoma" w:cs="Tahoma"/>
          <w:sz w:val="24"/>
          <w:szCs w:val="24"/>
        </w:rPr>
        <w:t>Hz</w:t>
      </w:r>
      <w:proofErr w:type="spellEnd"/>
    </w:p>
    <w:p w:rsidR="008D1D40" w:rsidRPr="008D1D40" w:rsidRDefault="008D1D40" w:rsidP="008D1D4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D1D40">
        <w:rPr>
          <w:rFonts w:ascii="Tahoma" w:hAnsi="Tahoma" w:cs="Tahoma"/>
          <w:sz w:val="24"/>
          <w:szCs w:val="24"/>
        </w:rPr>
        <w:t>Oprawa musi posiadać moduł przyłączeniowy z wbudowanym ogranicznikiem przepięć 10kV typu</w:t>
      </w:r>
    </w:p>
    <w:p w:rsidR="008D1D40" w:rsidRPr="008D1D40" w:rsidRDefault="008D1D40" w:rsidP="008D1D40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8D1D40">
        <w:rPr>
          <w:rFonts w:ascii="Tahoma" w:hAnsi="Tahoma" w:cs="Tahoma"/>
          <w:sz w:val="24"/>
          <w:szCs w:val="24"/>
        </w:rPr>
        <w:t xml:space="preserve">2 + 3 dedykowanym zarówno do opraw wykonanych w I jak i II klasy ochronności przeciwporażeniowej. </w:t>
      </w:r>
    </w:p>
    <w:p w:rsidR="008D1D40" w:rsidRPr="008D1D40" w:rsidRDefault="008D1D40" w:rsidP="008D1D40">
      <w:pPr>
        <w:rPr>
          <w:rFonts w:ascii="Tahoma" w:hAnsi="Tahoma" w:cs="Tahoma"/>
        </w:rPr>
      </w:pPr>
    </w:p>
    <w:p w:rsidR="008D1D40" w:rsidRPr="008D1D40" w:rsidRDefault="008D1D40" w:rsidP="008D1D40">
      <w:pPr>
        <w:pBdr>
          <w:bottom w:val="single" w:sz="12" w:space="1" w:color="auto"/>
        </w:pBdr>
        <w:rPr>
          <w:rFonts w:ascii="Tahoma" w:hAnsi="Tahoma" w:cs="Tahoma"/>
        </w:rPr>
      </w:pPr>
      <w:r w:rsidRPr="008D1D40">
        <w:rPr>
          <w:rFonts w:ascii="Tahoma" w:hAnsi="Tahoma" w:cs="Tahoma"/>
        </w:rPr>
        <w:t>PARAMETRY OŚWIETLENIOWE I POTWIERDZENIA</w:t>
      </w:r>
    </w:p>
    <w:p w:rsidR="008D1D40" w:rsidRPr="008D1D40" w:rsidRDefault="008D1D40" w:rsidP="008D1D40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</w:rPr>
      </w:pPr>
      <w:r w:rsidRPr="008D1D40">
        <w:rPr>
          <w:rFonts w:ascii="Tahoma" w:hAnsi="Tahoma" w:cs="Tahoma"/>
        </w:rPr>
        <w:t>rodzaj źródła światła – 20LED</w:t>
      </w:r>
    </w:p>
    <w:p w:rsidR="008D1D40" w:rsidRPr="008D1D40" w:rsidRDefault="008D1D40" w:rsidP="008D1D40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</w:rPr>
      </w:pPr>
      <w:r w:rsidRPr="008D1D40">
        <w:rPr>
          <w:rFonts w:ascii="Tahoma" w:hAnsi="Tahoma" w:cs="Tahoma"/>
        </w:rPr>
        <w:t>minimalny strumień świetlny panelu LED – 8989lm</w:t>
      </w:r>
    </w:p>
    <w:p w:rsidR="008D1D40" w:rsidRPr="008D1D40" w:rsidRDefault="008D1D40" w:rsidP="008D1D4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D1D40">
        <w:rPr>
          <w:rFonts w:ascii="Tahoma" w:hAnsi="Tahoma" w:cs="Tahoma"/>
          <w:sz w:val="24"/>
          <w:szCs w:val="24"/>
        </w:rPr>
        <w:lastRenderedPageBreak/>
        <w:t>Budowa oprawy musi posiadać możliwość wymiany  układu optycznego oraz modułu zasilającego</w:t>
      </w:r>
    </w:p>
    <w:p w:rsidR="008D1D40" w:rsidRPr="008D1D40" w:rsidRDefault="008D1D40" w:rsidP="008D1D4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D1D40">
        <w:rPr>
          <w:rFonts w:ascii="Tahoma" w:hAnsi="Tahoma" w:cs="Tahoma"/>
          <w:sz w:val="24"/>
          <w:szCs w:val="24"/>
        </w:rPr>
        <w:t>Wymagana jest możliwość wymiany elementów układu optycznego bez konieczności wykonywania połączeń lutowanych</w:t>
      </w:r>
    </w:p>
    <w:p w:rsidR="008D1D40" w:rsidRPr="008D1D40" w:rsidRDefault="008D1D40" w:rsidP="008D1D4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D1D40">
        <w:rPr>
          <w:rFonts w:ascii="Tahoma" w:hAnsi="Tahoma" w:cs="Tahoma"/>
          <w:sz w:val="24"/>
          <w:szCs w:val="24"/>
        </w:rPr>
        <w:t>Oprawa  musi być wyposażona w system regulacji ciśnienia wewnątrz oprawy, zapobiegający zjawisku kondensacji pary wodnej w komorze elektrycznej</w:t>
      </w:r>
    </w:p>
    <w:p w:rsidR="008D1D40" w:rsidRPr="008D1D40" w:rsidRDefault="008D1D40" w:rsidP="008D1D4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D1D40">
        <w:rPr>
          <w:rFonts w:ascii="Tahoma" w:hAnsi="Tahoma" w:cs="Tahoma"/>
          <w:sz w:val="24"/>
          <w:szCs w:val="24"/>
        </w:rPr>
        <w:t>Oprawa musi być wyposażona w system optymalnego odprowadzenia ciepła (termiczne rozdzielenie pomiędzy układem zasilającym, a układem optycznym)</w:t>
      </w:r>
    </w:p>
    <w:p w:rsidR="008D1D40" w:rsidRPr="008D1D40" w:rsidRDefault="008D1D40" w:rsidP="008D1D4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D1D40">
        <w:rPr>
          <w:rFonts w:ascii="Tahoma" w:hAnsi="Tahoma" w:cs="Tahoma"/>
          <w:sz w:val="24"/>
          <w:szCs w:val="24"/>
        </w:rPr>
        <w:t>Oprawa wykonana w technologii LED, bryła fotometryczna kształtowana za pomocą płaskiej wielosoczewkowej matrycy LED</w:t>
      </w:r>
    </w:p>
    <w:p w:rsidR="008D1D40" w:rsidRPr="008D1D40" w:rsidRDefault="008D1D40" w:rsidP="008D1D4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D1D40">
        <w:rPr>
          <w:rFonts w:ascii="Tahoma" w:hAnsi="Tahoma" w:cs="Tahoma"/>
          <w:sz w:val="24"/>
          <w:szCs w:val="24"/>
        </w:rPr>
        <w:t>Konstrukcja bloku optycznego powinna pozwolić  na montaż modułów z diodami wysokiej oraz średniej mocy</w:t>
      </w:r>
    </w:p>
    <w:p w:rsidR="008D1D40" w:rsidRPr="008D1D40" w:rsidRDefault="008D1D40" w:rsidP="008D1D4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D1D40">
        <w:rPr>
          <w:rFonts w:ascii="Tahoma" w:hAnsi="Tahoma" w:cs="Tahoma"/>
          <w:sz w:val="24"/>
          <w:szCs w:val="24"/>
        </w:rPr>
        <w:t>Wymagana temperatura barwowa źródeł światła: 4000K ±10%</w:t>
      </w:r>
    </w:p>
    <w:p w:rsidR="008D1D40" w:rsidRPr="008D1D40" w:rsidRDefault="008D1D40" w:rsidP="008D1D4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D1D40">
        <w:rPr>
          <w:rFonts w:ascii="Tahoma" w:hAnsi="Tahoma" w:cs="Tahoma"/>
          <w:sz w:val="24"/>
          <w:szCs w:val="24"/>
        </w:rPr>
        <w:t>Wymagane aby każda z soczewek matrycy emitowała  taką samą krzywą światłości, a całkowity strumień oprawy był sumą strumieni poszczególnych soczewek</w:t>
      </w:r>
    </w:p>
    <w:p w:rsidR="008D1D40" w:rsidRPr="008D1D40" w:rsidRDefault="008D1D40" w:rsidP="008D1D4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D1D40">
        <w:rPr>
          <w:rFonts w:ascii="Tahoma" w:hAnsi="Tahoma" w:cs="Tahoma"/>
          <w:sz w:val="24"/>
          <w:szCs w:val="24"/>
        </w:rPr>
        <w:t>Oprawy muszą spełniać wymagania normy EN 62471 „Bezpieczeństwo fotobiologiczne lamp i systemów lampowych”</w:t>
      </w:r>
    </w:p>
    <w:p w:rsidR="008D1D40" w:rsidRPr="008D1D40" w:rsidRDefault="008D1D40" w:rsidP="008D1D40">
      <w:pPr>
        <w:pStyle w:val="Akapitzlist"/>
        <w:numPr>
          <w:ilvl w:val="0"/>
          <w:numId w:val="4"/>
        </w:numPr>
        <w:spacing w:after="160" w:line="259" w:lineRule="auto"/>
        <w:ind w:left="284" w:hanging="284"/>
        <w:rPr>
          <w:rFonts w:ascii="Tahoma" w:hAnsi="Tahoma" w:cs="Tahoma"/>
          <w:sz w:val="24"/>
          <w:szCs w:val="24"/>
        </w:rPr>
      </w:pPr>
      <w:r w:rsidRPr="008D1D40">
        <w:rPr>
          <w:rFonts w:ascii="Tahoma" w:hAnsi="Tahoma" w:cs="Tahoma"/>
          <w:sz w:val="24"/>
          <w:szCs w:val="24"/>
        </w:rPr>
        <w:t xml:space="preserve">Wymagane utrzymanie strumienia świetlnego w czasie: 95% (zgodnie z IES LM-80 - TM-21) </w:t>
      </w:r>
    </w:p>
    <w:p w:rsidR="008D1D40" w:rsidRPr="008D1D40" w:rsidRDefault="008D1D40" w:rsidP="008D1D4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D1D40">
        <w:rPr>
          <w:rFonts w:ascii="Tahoma" w:hAnsi="Tahoma" w:cs="Tahoma"/>
          <w:sz w:val="24"/>
          <w:szCs w:val="24"/>
        </w:rPr>
        <w:t>Wartości wskaźnika udziału światła wysyłanego ku górze (ULOR) nie większa niż określona w Rozporządzeniu WE nr 245/2009</w:t>
      </w:r>
    </w:p>
    <w:p w:rsidR="008D1D40" w:rsidRPr="008D1D40" w:rsidRDefault="008D1D40" w:rsidP="008D1D40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4"/>
          <w:szCs w:val="24"/>
        </w:rPr>
      </w:pPr>
      <w:r w:rsidRPr="008D1D40">
        <w:rPr>
          <w:rFonts w:ascii="Tahoma" w:hAnsi="Tahoma" w:cs="Tahoma"/>
          <w:sz w:val="24"/>
          <w:szCs w:val="24"/>
        </w:rPr>
        <w:t>oprawa musi być oznakowana znakiem CE oraz posiadać deklarację zgodności  </w:t>
      </w:r>
    </w:p>
    <w:p w:rsidR="008D1D40" w:rsidRPr="008D1D40" w:rsidRDefault="008D1D40" w:rsidP="008D1D40">
      <w:pPr>
        <w:ind w:left="284"/>
        <w:jc w:val="both"/>
        <w:rPr>
          <w:rFonts w:ascii="Tahoma" w:hAnsi="Tahoma" w:cs="Tahoma"/>
        </w:rPr>
      </w:pPr>
    </w:p>
    <w:p w:rsidR="008D1D40" w:rsidRPr="008D1D40" w:rsidRDefault="008D1D40" w:rsidP="008D1D40">
      <w:pPr>
        <w:pBdr>
          <w:bottom w:val="single" w:sz="12" w:space="1" w:color="auto"/>
        </w:pBdr>
        <w:rPr>
          <w:rFonts w:ascii="Tahoma" w:hAnsi="Tahoma" w:cs="Tahoma"/>
        </w:rPr>
      </w:pPr>
      <w:r w:rsidRPr="008D1D40">
        <w:rPr>
          <w:rFonts w:ascii="Tahoma" w:hAnsi="Tahoma" w:cs="Tahoma"/>
        </w:rPr>
        <w:t>PRZYKŁADOWE ZDJĘCIA, WYMIARY I KRZYWA FOTOMETRYCZNA</w:t>
      </w:r>
      <w:r w:rsidRPr="008D1D40">
        <w:rPr>
          <w:rFonts w:ascii="Tahoma" w:hAnsi="Tahoma" w:cs="Tahoma"/>
          <w:noProof/>
        </w:rPr>
        <w:t xml:space="preserve"> </w:t>
      </w:r>
      <w:r w:rsidRPr="008D1D40">
        <w:rPr>
          <w:rFonts w:ascii="Tahoma" w:hAnsi="Tahoma" w:cs="Tahoma"/>
          <w:noProof/>
        </w:rPr>
        <w:tab/>
      </w:r>
      <w:r w:rsidRPr="008D1D40">
        <w:rPr>
          <w:rFonts w:ascii="Tahoma" w:hAnsi="Tahoma" w:cs="Tahoma"/>
          <w:noProof/>
        </w:rPr>
        <w:tab/>
      </w:r>
    </w:p>
    <w:p w:rsidR="008D1D40" w:rsidRDefault="008D1D40" w:rsidP="008D1D40">
      <w:pPr>
        <w:jc w:val="center"/>
        <w:rPr>
          <w:noProof/>
        </w:rPr>
      </w:pPr>
      <w:r w:rsidRPr="00F01C88">
        <w:rPr>
          <w:noProof/>
        </w:rPr>
        <w:drawing>
          <wp:inline distT="0" distB="0" distL="0" distR="0" wp14:anchorId="31B1AF41" wp14:editId="089D0CA2">
            <wp:extent cx="2470150" cy="17576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88">
        <w:rPr>
          <w:noProof/>
        </w:rPr>
        <w:drawing>
          <wp:inline distT="0" distB="0" distL="0" distR="0" wp14:anchorId="0BFA694A" wp14:editId="20A5E578">
            <wp:extent cx="1959610" cy="172212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40" w:rsidRDefault="008D1D40" w:rsidP="008D1D40">
      <w:pPr>
        <w:jc w:val="center"/>
        <w:rPr>
          <w:noProof/>
        </w:rPr>
      </w:pPr>
      <w:r w:rsidRPr="00F01C88">
        <w:rPr>
          <w:noProof/>
        </w:rPr>
        <w:drawing>
          <wp:inline distT="0" distB="0" distL="0" distR="0" wp14:anchorId="1760FF2B" wp14:editId="7F29CE8A">
            <wp:extent cx="2137410" cy="2730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40" w:rsidRDefault="008D1D40" w:rsidP="008D1D40">
      <w:pPr>
        <w:jc w:val="center"/>
      </w:pPr>
      <w:r w:rsidRPr="009F38F5">
        <w:rPr>
          <w:noProof/>
        </w:rPr>
        <w:lastRenderedPageBreak/>
        <w:drawing>
          <wp:inline distT="0" distB="0" distL="0" distR="0" wp14:anchorId="01E56DA3" wp14:editId="59ABB019">
            <wp:extent cx="3733800" cy="3698924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378" cy="37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40" w:rsidRDefault="008D1D40" w:rsidP="008D1D40"/>
    <w:p w:rsidR="00503EFD" w:rsidRPr="009A0284" w:rsidRDefault="00503EFD" w:rsidP="00503EFD">
      <w:pPr>
        <w:pStyle w:val="Standard"/>
        <w:tabs>
          <w:tab w:val="left" w:pos="2895"/>
        </w:tabs>
        <w:rPr>
          <w:rFonts w:ascii="Tahoma" w:hAnsi="Tahoma" w:cs="Tahoma"/>
          <w:sz w:val="24"/>
          <w:szCs w:val="24"/>
        </w:rPr>
      </w:pPr>
      <w:r w:rsidRPr="009A0284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</w:t>
      </w:r>
    </w:p>
    <w:p w:rsidR="00503EFD" w:rsidRDefault="00503EFD" w:rsidP="00503EFD">
      <w:pPr>
        <w:spacing w:line="276" w:lineRule="auto"/>
        <w:jc w:val="both"/>
        <w:rPr>
          <w:rFonts w:ascii="Tahoma" w:hAnsi="Tahoma" w:cs="Tahoma"/>
          <w:b/>
        </w:rPr>
      </w:pPr>
    </w:p>
    <w:p w:rsidR="00503EFD" w:rsidRPr="00503EFD" w:rsidRDefault="00503EFD" w:rsidP="00503EFD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503EFD" w:rsidRPr="000C33E6" w:rsidRDefault="00503EFD" w:rsidP="000C33E6">
      <w:pPr>
        <w:pStyle w:val="Standard"/>
        <w:tabs>
          <w:tab w:val="left" w:pos="2895"/>
        </w:tabs>
        <w:rPr>
          <w:rFonts w:ascii="Tahoma" w:hAnsi="Tahoma" w:cs="Tahoma"/>
          <w:sz w:val="24"/>
          <w:szCs w:val="24"/>
        </w:rPr>
      </w:pPr>
    </w:p>
    <w:p w:rsidR="00C461F3" w:rsidRPr="008D1D40" w:rsidRDefault="000C33E6" w:rsidP="008D1D40">
      <w:pPr>
        <w:pStyle w:val="Standard"/>
        <w:tabs>
          <w:tab w:val="left" w:pos="2895"/>
        </w:tabs>
        <w:rPr>
          <w:rFonts w:ascii="Tahoma" w:hAnsi="Tahoma" w:cs="Tahoma"/>
          <w:sz w:val="24"/>
          <w:szCs w:val="24"/>
        </w:rPr>
      </w:pPr>
      <w:r w:rsidRPr="000C33E6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8D1D40">
        <w:rPr>
          <w:rFonts w:ascii="Tahoma" w:hAnsi="Tahoma" w:cs="Tahoma"/>
          <w:sz w:val="24"/>
          <w:szCs w:val="24"/>
        </w:rPr>
        <w:t xml:space="preserve">                              </w:t>
      </w:r>
    </w:p>
    <w:p w:rsidR="00A80AE8" w:rsidRPr="00A80AE8" w:rsidRDefault="00A80AE8" w:rsidP="00A80AE8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 w:rsidRPr="00A80AE8">
        <w:rPr>
          <w:rFonts w:ascii="Tahoma" w:hAnsi="Tahoma" w:cs="Tahoma"/>
          <w:bCs/>
        </w:rPr>
        <w:t>Zamawiający</w:t>
      </w:r>
    </w:p>
    <w:p w:rsidR="00A80AE8" w:rsidRPr="00A80AE8" w:rsidRDefault="00A80AE8" w:rsidP="00A80AE8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 w:rsidRPr="00A80AE8">
        <w:rPr>
          <w:rFonts w:ascii="Tahoma" w:hAnsi="Tahoma" w:cs="Tahoma"/>
          <w:bCs/>
        </w:rPr>
        <w:t xml:space="preserve">(na oryginale podpis) </w:t>
      </w:r>
    </w:p>
    <w:p w:rsidR="00A80AE8" w:rsidRPr="00A80AE8" w:rsidRDefault="00A80AE8" w:rsidP="00A80AE8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 w:rsidRPr="00A80AE8">
        <w:rPr>
          <w:rFonts w:ascii="Tahoma" w:hAnsi="Tahoma" w:cs="Tahoma"/>
          <w:bCs/>
        </w:rPr>
        <w:t>Z up. BURMISTRZA</w:t>
      </w:r>
    </w:p>
    <w:p w:rsidR="00A80AE8" w:rsidRPr="00A80AE8" w:rsidRDefault="00A80AE8" w:rsidP="00A80AE8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</w:t>
      </w:r>
      <w:r w:rsidRPr="00A80AE8">
        <w:rPr>
          <w:rFonts w:ascii="Tahoma" w:hAnsi="Tahoma" w:cs="Tahoma"/>
          <w:bCs/>
        </w:rPr>
        <w:t>/-/</w:t>
      </w:r>
    </w:p>
    <w:p w:rsidR="00A80AE8" w:rsidRPr="00A80AE8" w:rsidRDefault="008D1D40" w:rsidP="00A80AE8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Iwona Dąbek</w:t>
      </w:r>
    </w:p>
    <w:p w:rsidR="00BD589E" w:rsidRPr="00A80AE8" w:rsidRDefault="008D1D40" w:rsidP="00A80AE8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Sekretarz</w:t>
      </w:r>
    </w:p>
    <w:sectPr w:rsidR="00BD589E" w:rsidRPr="00A80AE8" w:rsidSect="009135C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22200E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22200E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22200E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22200E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5519"/>
    <w:rsid w:val="00067AF4"/>
    <w:rsid w:val="000728D3"/>
    <w:rsid w:val="00073090"/>
    <w:rsid w:val="00076A1F"/>
    <w:rsid w:val="0008218E"/>
    <w:rsid w:val="00082B91"/>
    <w:rsid w:val="00085B77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72DE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3011"/>
    <w:rsid w:val="00173E58"/>
    <w:rsid w:val="00176FC5"/>
    <w:rsid w:val="00191C4C"/>
    <w:rsid w:val="001958DF"/>
    <w:rsid w:val="001A335A"/>
    <w:rsid w:val="001A3785"/>
    <w:rsid w:val="001A3B4E"/>
    <w:rsid w:val="001A6341"/>
    <w:rsid w:val="001B2767"/>
    <w:rsid w:val="001D590F"/>
    <w:rsid w:val="001D5981"/>
    <w:rsid w:val="001D5AA4"/>
    <w:rsid w:val="001D6B31"/>
    <w:rsid w:val="001E615B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B0EA3"/>
    <w:rsid w:val="004B20EC"/>
    <w:rsid w:val="004B78FE"/>
    <w:rsid w:val="004C589A"/>
    <w:rsid w:val="004C59FD"/>
    <w:rsid w:val="004D2742"/>
    <w:rsid w:val="004D325F"/>
    <w:rsid w:val="004E3A56"/>
    <w:rsid w:val="004E7813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43270"/>
    <w:rsid w:val="00643351"/>
    <w:rsid w:val="006457EC"/>
    <w:rsid w:val="00645CAF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854D2"/>
    <w:rsid w:val="00785C87"/>
    <w:rsid w:val="00787847"/>
    <w:rsid w:val="00794282"/>
    <w:rsid w:val="007948F6"/>
    <w:rsid w:val="00797C77"/>
    <w:rsid w:val="007A601D"/>
    <w:rsid w:val="007B0D6B"/>
    <w:rsid w:val="007B5117"/>
    <w:rsid w:val="007C086E"/>
    <w:rsid w:val="007C5DF4"/>
    <w:rsid w:val="007D1626"/>
    <w:rsid w:val="007D6CEC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D0332"/>
    <w:rsid w:val="008D0D20"/>
    <w:rsid w:val="008D0F6B"/>
    <w:rsid w:val="008D1D40"/>
    <w:rsid w:val="008D3028"/>
    <w:rsid w:val="008D55B3"/>
    <w:rsid w:val="008E43C0"/>
    <w:rsid w:val="008E58F7"/>
    <w:rsid w:val="008F07EF"/>
    <w:rsid w:val="008F3AE4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7B4"/>
    <w:rsid w:val="00E21961"/>
    <w:rsid w:val="00E23A83"/>
    <w:rsid w:val="00E24DB7"/>
    <w:rsid w:val="00E26C6B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2FB3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6AACFDCD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1492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Artur Golinia</cp:lastModifiedBy>
  <cp:revision>6</cp:revision>
  <cp:lastPrinted>2020-10-05T07:00:00Z</cp:lastPrinted>
  <dcterms:created xsi:type="dcterms:W3CDTF">2021-03-31T13:22:00Z</dcterms:created>
  <dcterms:modified xsi:type="dcterms:W3CDTF">2021-04-02T07:43:00Z</dcterms:modified>
</cp:coreProperties>
</file>