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11F9B715" w:rsidR="00376C56" w:rsidRPr="00225C01" w:rsidRDefault="009364C7" w:rsidP="00225C0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   </w:t>
      </w:r>
      <w:r w:rsidR="00BE37B3" w:rsidRPr="00225C01">
        <w:rPr>
          <w:rFonts w:ascii="Arial" w:hAnsi="Arial" w:cs="Arial"/>
          <w:sz w:val="20"/>
          <w:szCs w:val="20"/>
        </w:rPr>
        <w:t xml:space="preserve">Słubice, dnia </w:t>
      </w:r>
      <w:r w:rsidR="00DC4107">
        <w:rPr>
          <w:rFonts w:ascii="Arial" w:hAnsi="Arial" w:cs="Arial"/>
          <w:sz w:val="20"/>
          <w:szCs w:val="20"/>
        </w:rPr>
        <w:t>3</w:t>
      </w:r>
      <w:r w:rsidR="00131768">
        <w:rPr>
          <w:rFonts w:ascii="Arial" w:hAnsi="Arial" w:cs="Arial"/>
          <w:sz w:val="20"/>
          <w:szCs w:val="20"/>
        </w:rPr>
        <w:t>1</w:t>
      </w:r>
      <w:r w:rsidR="00DC4107">
        <w:rPr>
          <w:rFonts w:ascii="Arial" w:hAnsi="Arial" w:cs="Arial"/>
          <w:sz w:val="20"/>
          <w:szCs w:val="20"/>
        </w:rPr>
        <w:t xml:space="preserve"> maja</w:t>
      </w:r>
      <w:r w:rsidR="00BE37B3" w:rsidRPr="00225C01">
        <w:rPr>
          <w:rFonts w:ascii="Arial" w:hAnsi="Arial" w:cs="Arial"/>
          <w:sz w:val="20"/>
          <w:szCs w:val="20"/>
        </w:rPr>
        <w:t xml:space="preserve"> 2022</w:t>
      </w:r>
      <w:r w:rsidR="00376C56" w:rsidRPr="00225C01">
        <w:rPr>
          <w:rFonts w:ascii="Arial" w:hAnsi="Arial" w:cs="Arial"/>
          <w:sz w:val="20"/>
          <w:szCs w:val="20"/>
        </w:rPr>
        <w:t xml:space="preserve"> r.</w:t>
      </w:r>
    </w:p>
    <w:p w14:paraId="488B63F8" w14:textId="7B8158E4" w:rsidR="00147D1B" w:rsidRPr="00225C01" w:rsidRDefault="00DC4107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ZP/TP/08/22</w:t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77777777" w:rsidR="00BE37B3" w:rsidRPr="00225C01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225C01" w:rsidRDefault="00147D1B" w:rsidP="00225C01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225C01" w:rsidRDefault="00147D1B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77777777" w:rsidR="00147D1B" w:rsidRPr="00225C01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BE3AC2" w14:textId="5EC3A1F3" w:rsidR="00BE37B3" w:rsidRPr="00225C01" w:rsidRDefault="00376C56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BE37B3" w:rsidRPr="00225C01">
        <w:rPr>
          <w:rFonts w:ascii="Arial" w:hAnsi="Arial" w:cs="Arial"/>
          <w:sz w:val="20"/>
          <w:szCs w:val="20"/>
        </w:rPr>
        <w:t>„Termomodernizacja obiektów i sieci Niepublicznego Zakładu Opieki</w:t>
      </w:r>
      <w:r w:rsidR="00225C01">
        <w:rPr>
          <w:rFonts w:ascii="Arial" w:hAnsi="Arial" w:cs="Arial"/>
          <w:sz w:val="20"/>
          <w:szCs w:val="20"/>
        </w:rPr>
        <w:t xml:space="preserve"> </w:t>
      </w:r>
      <w:r w:rsidR="00BE37B3" w:rsidRPr="00225C01">
        <w:rPr>
          <w:rFonts w:ascii="Arial" w:hAnsi="Arial" w:cs="Arial"/>
          <w:sz w:val="20"/>
          <w:szCs w:val="20"/>
        </w:rPr>
        <w:t>Zdrowotnej Szpital im. Prof. Z. Religi w Słubicach sp. z o. o.”</w:t>
      </w:r>
    </w:p>
    <w:p w14:paraId="47F652E4" w14:textId="4FD6D184" w:rsidR="00147D1B" w:rsidRPr="00225C01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3B0ECC" w14:textId="77777777" w:rsidR="00E2743F" w:rsidRDefault="00E2743F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3082E0" w14:textId="3739B755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 xml:space="preserve">Odpowiedzi na pytania Wykonawcy z dnia </w:t>
      </w:r>
      <w:r w:rsidR="00DC4107">
        <w:rPr>
          <w:rFonts w:ascii="Arial" w:hAnsi="Arial" w:cs="Arial"/>
          <w:b/>
          <w:bCs/>
          <w:sz w:val="20"/>
          <w:szCs w:val="20"/>
        </w:rPr>
        <w:t>19 maja 2022</w:t>
      </w:r>
      <w:r w:rsidRPr="00225C0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63DC4C9" w14:textId="5D9A3702" w:rsidR="000140ED" w:rsidRPr="00225C01" w:rsidRDefault="000140ED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508A21EB" w14:textId="17B340BF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23CFFC42" w14:textId="77777777" w:rsidR="00BE37B3" w:rsidRPr="00225C01" w:rsidRDefault="00BE37B3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779C2DC" w14:textId="5F79D035" w:rsidR="000B2EBB" w:rsidRDefault="000B2EBB" w:rsidP="00195CB5">
      <w:pPr>
        <w:spacing w:after="0" w:line="276" w:lineRule="auto"/>
        <w:rPr>
          <w:rFonts w:ascii="Arial" w:hAnsi="Arial" w:cs="Arial"/>
          <w:b/>
          <w:bCs/>
          <w:i/>
          <w:sz w:val="20"/>
          <w:szCs w:val="20"/>
        </w:rPr>
      </w:pPr>
      <w:bookmarkStart w:id="0" w:name="_Hlk76997101"/>
    </w:p>
    <w:p w14:paraId="28EB33AA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1</w:t>
      </w:r>
    </w:p>
    <w:p w14:paraId="6229BC53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EF5852">
        <w:rPr>
          <w:rFonts w:ascii="Arial Narrow" w:hAnsi="Arial Narrow" w:cs="Arial"/>
          <w:sz w:val="24"/>
          <w:szCs w:val="24"/>
        </w:rPr>
        <w:t>Ad 1. (Str. 6)Cel i zakres opracowania</w:t>
      </w:r>
    </w:p>
    <w:p w14:paraId="762AA580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EF5852">
        <w:rPr>
          <w:rFonts w:ascii="Arial Narrow" w:hAnsi="Arial Narrow" w:cs="Arial"/>
          <w:sz w:val="24"/>
          <w:szCs w:val="24"/>
        </w:rPr>
        <w:t>Zastosowanie pojęcie „</w:t>
      </w:r>
      <w:r w:rsidRPr="00EF5852">
        <w:rPr>
          <w:rFonts w:ascii="Arial Narrow" w:hAnsi="Arial Narrow" w:cs="Arial"/>
          <w:i/>
          <w:iCs/>
          <w:sz w:val="24"/>
          <w:szCs w:val="24"/>
        </w:rPr>
        <w:t>modernizacja systemu…………”</w:t>
      </w:r>
      <w:r w:rsidRPr="00EF5852">
        <w:rPr>
          <w:rFonts w:ascii="Arial Narrow" w:hAnsi="Arial Narrow" w:cs="Arial"/>
          <w:sz w:val="24"/>
          <w:szCs w:val="24"/>
        </w:rPr>
        <w:t xml:space="preserve"> nie spełnia obowiązujących uregulowań Prawa </w:t>
      </w:r>
      <w:proofErr w:type="spellStart"/>
      <w:r w:rsidRPr="00EF5852">
        <w:rPr>
          <w:rFonts w:ascii="Arial Narrow" w:hAnsi="Arial Narrow" w:cs="Arial"/>
          <w:sz w:val="24"/>
          <w:szCs w:val="24"/>
        </w:rPr>
        <w:t>Budowlanegow</w:t>
      </w:r>
      <w:proofErr w:type="spellEnd"/>
      <w:r w:rsidRPr="00EF5852">
        <w:rPr>
          <w:rFonts w:ascii="Arial Narrow" w:hAnsi="Arial Narrow" w:cs="Arial"/>
          <w:sz w:val="24"/>
          <w:szCs w:val="24"/>
        </w:rPr>
        <w:t xml:space="preserve"> zakresie opisu przedmiotu zamówienia, zwłaszcza w kontekście zapisów (ad 6. Str. 42) „dostosowanie do obowiązujących standardów technicznych, funkcjonalnych, użytkowych i eksploatacyjnych…..”</w:t>
      </w:r>
    </w:p>
    <w:p w14:paraId="5D1C082C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hAnsi="Arial Narrow" w:cs="Arial"/>
          <w:sz w:val="24"/>
          <w:szCs w:val="24"/>
        </w:rPr>
        <w:t>W świetle założeń do projektowania powinno być użyte słowo „Przebudowa”. U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stawa z dnia 7 lipca 1994 r. Prawo budowlane wymienia i reguluje następujące </w:t>
      </w:r>
      <w:proofErr w:type="spellStart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pojęcia:roboty</w:t>
      </w:r>
      <w:proofErr w:type="spellEnd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 </w:t>
      </w:r>
      <w:proofErr w:type="spellStart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budowlane;budowę;przebudowę</w:t>
      </w:r>
      <w:proofErr w:type="spellEnd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, remont, brak jest pojęcia modernizacja.</w:t>
      </w:r>
    </w:p>
    <w:p w14:paraId="177276C0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bookmarkStart w:id="1" w:name="_Hlk104792802"/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bookmarkEnd w:id="1"/>
    <w:p w14:paraId="1D425368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Zamawiający wyjaśnia, że w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skazany zapis odnosi się do zakresu i celu w jakim został sporządzony Program funkcjonalno-użytkowy, a nie prac projektowych w tych należy użyć sformułowania: remont z przebudową. Zagadnienia termomodernizacji i modernizacji systemu c.o. są powszechnie stosowane w nazewnictwie konkursów na podwyższenie efektywności energetycznej, a PFU stanowi załącznik do wniosku dotacyjnego właśnie na ten cel. </w:t>
      </w:r>
    </w:p>
    <w:p w14:paraId="14868457" w14:textId="77777777" w:rsidR="00DC4107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78FC2FE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2</w:t>
      </w:r>
    </w:p>
    <w:p w14:paraId="31384565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Ad 3.2. str. 14 </w:t>
      </w:r>
    </w:p>
    <w:p w14:paraId="56CAF33B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Czy Zamawiający przewiduje możliwość udostępnienia pomieszczeń własnych do urządzenia zaplecza placu budowy na terenie obiektu szpitala?</w:t>
      </w:r>
    </w:p>
    <w:p w14:paraId="42E1F979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722C6508" w14:textId="77777777" w:rsidR="00DC4107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Zamawiający nie przewiduje udostępnienia pomieszczeń własnych na urządzenie zaplecza placu budowy.</w:t>
      </w:r>
    </w:p>
    <w:p w14:paraId="2C2CC816" w14:textId="77777777" w:rsidR="00DC4107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D04C849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3</w:t>
      </w:r>
    </w:p>
    <w:p w14:paraId="4B847F9F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Ad 3.4.</w:t>
      </w:r>
    </w:p>
    <w:p w14:paraId="3520CE34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Co Zamawiający rozumie pod zapisem „</w:t>
      </w:r>
      <w:r w:rsidRPr="00EF5852">
        <w:rPr>
          <w:rFonts w:ascii="Arial Narrow" w:eastAsia="Times New Roman" w:hAnsi="Arial Narrow" w:cs="Arial"/>
          <w:i/>
          <w:iCs/>
          <w:color w:val="2D3748"/>
          <w:sz w:val="24"/>
          <w:szCs w:val="24"/>
          <w:lang w:eastAsia="pl-PL"/>
        </w:rPr>
        <w:t>potwierdzony stosownymi obliczeniami……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”. Czy nie są wystarczające aprobaty i atesty techniczne?</w:t>
      </w:r>
    </w:p>
    <w:p w14:paraId="469379C1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22B2CB4A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lastRenderedPageBreak/>
        <w:t xml:space="preserve">Zamawiający wyjaśnia, że 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dla stolarki okiennej i drzwiowej należy przedstawić specyfikację techniczną sporządzoną dla każdego okna ( lub danego typu okien)  i drzwi z obliczonym dla wskazanej stolarki współczynnikiem </w:t>
      </w:r>
      <w:proofErr w:type="spellStart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U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vertAlign w:val="subscript"/>
          <w:lang w:eastAsia="pl-PL"/>
        </w:rPr>
        <w:t>całkowitym</w:t>
      </w:r>
      <w:proofErr w:type="spellEnd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. </w:t>
      </w:r>
    </w:p>
    <w:p w14:paraId="402D981F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</w:p>
    <w:p w14:paraId="3031A69E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4</w:t>
      </w:r>
    </w:p>
    <w:p w14:paraId="7BD1CE91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Ad 3.4.4.</w:t>
      </w:r>
    </w:p>
    <w:p w14:paraId="3AEE8258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Co Zamawiający rozumie pod pojęciem „</w:t>
      </w:r>
      <w:r w:rsidRPr="00EF5852">
        <w:rPr>
          <w:rFonts w:ascii="Arial Narrow" w:eastAsia="Times New Roman" w:hAnsi="Arial Narrow" w:cs="Arial"/>
          <w:i/>
          <w:iCs/>
          <w:color w:val="2D3748"/>
          <w:sz w:val="24"/>
          <w:szCs w:val="24"/>
          <w:lang w:eastAsia="pl-PL"/>
        </w:rPr>
        <w:t>Generalną zasadą uszczelnienia połączenia stolarki ze ścianą jest…………….”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. Czy oznacza to, że Wykonawca ma przedstawić dla wszystkich wykonanych połączeń stolarki - dowody na poprawność w/g tej zasady, a jeżeli tak to jakie?</w:t>
      </w:r>
    </w:p>
    <w:p w14:paraId="6B0B3292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27A00B9E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Zamawiający </w:t>
      </w:r>
      <w:proofErr w:type="spellStart"/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wyjasnia</w:t>
      </w:r>
      <w:proofErr w:type="spellEnd"/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, że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 stolarkę należy montować i uszczelniać w sposób dopuszczony przez producenta </w:t>
      </w:r>
    </w:p>
    <w:p w14:paraId="41EA7A8D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</w:p>
    <w:p w14:paraId="5B6C3801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5</w:t>
      </w:r>
    </w:p>
    <w:p w14:paraId="61AD74D3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Ad 4.1. str. 33 </w:t>
      </w:r>
    </w:p>
    <w:p w14:paraId="5667A329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Jaki „</w:t>
      </w:r>
      <w:r w:rsidRPr="00EF5852">
        <w:rPr>
          <w:rFonts w:ascii="Arial Narrow" w:eastAsia="Times New Roman" w:hAnsi="Arial Narrow" w:cs="Arial"/>
          <w:i/>
          <w:iCs/>
          <w:color w:val="2D3748"/>
          <w:sz w:val="24"/>
          <w:szCs w:val="24"/>
          <w:lang w:eastAsia="pl-PL"/>
        </w:rPr>
        <w:t>automatyczny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” sposób otwierania drzwi zewnętrznych zakłada Zamawiający, ze sterowaniem ręcznym, czy na czujnik ruchu?</w:t>
      </w:r>
    </w:p>
    <w:p w14:paraId="60EB33EF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3A344213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Zamawiający wyjaśnia, że należy przewidzieć automatyczny sposób otwierania drzwi zewnętrznych za pomocą czujnika ruchu.</w:t>
      </w:r>
    </w:p>
    <w:p w14:paraId="01D79C1D" w14:textId="77777777" w:rsidR="00DC4107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78CA368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6</w:t>
      </w:r>
    </w:p>
    <w:p w14:paraId="7965A053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Ad 4.1. str. 33-34</w:t>
      </w:r>
    </w:p>
    <w:p w14:paraId="4AC4954D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Czy Zamawiający przewiduje w ramach kosztów niekwalifikowanych wykonanie elementów małej architektury (nawierzchnie chodników, opasek, zieleń inne) w ramach uporządkowania zagospodarowania terenu wokół budynku?</w:t>
      </w:r>
    </w:p>
    <w:p w14:paraId="72A07C44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11CC3FFB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Zamawiający wyjaśnia, że o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paska wokół budynku jest koszem kwalifikowanym</w:t>
      </w: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 i należy ją wykonać w ramach zadania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. Innego </w:t>
      </w: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z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akresu małej architektury nie przewiduje się</w:t>
      </w: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 do wykonania w ramach przedmiotowego zadania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. </w:t>
      </w:r>
    </w:p>
    <w:p w14:paraId="63BF3CA6" w14:textId="77777777" w:rsidR="00DC4107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A869C8C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7</w:t>
      </w:r>
    </w:p>
    <w:p w14:paraId="59308472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Ad 4.2. str. 34 Część sanitarna </w:t>
      </w:r>
    </w:p>
    <w:p w14:paraId="3555DE3C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Mając na uwadze podanie przez Zamawiającego w PFU ilości grzejników do wymiany oraz podane rozwiązania </w:t>
      </w:r>
      <w:proofErr w:type="spellStart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techniczno</w:t>
      </w:r>
      <w:proofErr w:type="spellEnd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 - materiałowe, które docelowo będą znane po wykonaniu projektu. Czy Zamawiający dopuszcza zastosowanie innych rozwiązań, które będą efektem wykonanych analiz projektowych?. </w:t>
      </w:r>
    </w:p>
    <w:p w14:paraId="3A3B6EF3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151C413D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Zamawiający dopuszcza </w:t>
      </w:r>
      <w:r w:rsidRPr="00601261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zastosowanie innych rozwiązań, które będą efektem wykonanych analiz projektowych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,  pod warunkiem ich aprobaty przez zamawiającego. Zmiany nie mogą mieć negatywnego wpływu na zakładane audytem energetycznym oszczędności energii</w:t>
      </w:r>
      <w:r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 ani na efektywność kosztową zastosowanego rozwiązania</w:t>
      </w: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. </w:t>
      </w:r>
    </w:p>
    <w:p w14:paraId="77FF7648" w14:textId="77777777" w:rsidR="00DC4107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E69A00B" w14:textId="77777777" w:rsidR="00DC4107" w:rsidRPr="00EF5852" w:rsidRDefault="00DC4107" w:rsidP="00DC4107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EF5852">
        <w:rPr>
          <w:rFonts w:ascii="Arial Narrow" w:hAnsi="Arial Narrow" w:cs="Arial"/>
          <w:b/>
          <w:bCs/>
          <w:sz w:val="24"/>
          <w:szCs w:val="24"/>
        </w:rPr>
        <w:t>Pytanie 8</w:t>
      </w:r>
    </w:p>
    <w:p w14:paraId="552D9173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lastRenderedPageBreak/>
        <w:t>Ad 3.7. Modernizacja źródła ciepła</w:t>
      </w:r>
    </w:p>
    <w:p w14:paraId="5031BF3E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 xml:space="preserve">Obiekt posiada istniejący kocioł olejowy służący jako alternatywne źródło ciepła dla szpitala na wypadek awarii głównego źródła ogrzewania. Czy Zamawiający przewiduje możliwość modernizacji </w:t>
      </w:r>
      <w:proofErr w:type="spellStart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w.wym</w:t>
      </w:r>
      <w:proofErr w:type="spellEnd"/>
      <w:r w:rsidRPr="00EF5852">
        <w:rPr>
          <w:rFonts w:ascii="Arial Narrow" w:eastAsia="Times New Roman" w:hAnsi="Arial Narrow" w:cs="Arial"/>
          <w:color w:val="2D3748"/>
          <w:sz w:val="24"/>
          <w:szCs w:val="24"/>
          <w:lang w:eastAsia="pl-PL"/>
        </w:rPr>
        <w:t>. kotła (np. poprzez wymianę palnika z przejściem na gaz) lub wymiany na inny o wyższej sprawności i bezobsługowy np. elektryczny? Umożliwi to likwidację magazynu oleju opałowego. Co jest uzasadnione w świetle wymogu Zamawiającego w zakresie osiągnięcia trwałości uzyskanych efektów w okresie min. 10 lat.</w:t>
      </w:r>
    </w:p>
    <w:p w14:paraId="1F829EE4" w14:textId="77777777" w:rsidR="00DC4107" w:rsidRPr="00EF5852" w:rsidRDefault="00DC4107" w:rsidP="00DC4107">
      <w:pPr>
        <w:spacing w:after="0" w:line="276" w:lineRule="auto"/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</w:pPr>
      <w:r w:rsidRPr="00EF5852">
        <w:rPr>
          <w:rFonts w:ascii="Arial Narrow" w:eastAsia="Times New Roman" w:hAnsi="Arial Narrow" w:cs="Arial"/>
          <w:b/>
          <w:bCs/>
          <w:color w:val="2D3748"/>
          <w:sz w:val="24"/>
          <w:szCs w:val="24"/>
          <w:lang w:eastAsia="pl-PL"/>
        </w:rPr>
        <w:t>Odpowiedź Zamawiającego:</w:t>
      </w:r>
    </w:p>
    <w:p w14:paraId="711663D9" w14:textId="77777777" w:rsidR="00DC4107" w:rsidRPr="00EF5852" w:rsidRDefault="00DC4107" w:rsidP="00DC4107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2D3748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D3748"/>
          <w:sz w:val="24"/>
          <w:szCs w:val="24"/>
          <w:lang w:eastAsia="pl-PL"/>
        </w:rPr>
        <w:t xml:space="preserve">Zamawiający wyjaśnia, że dla uzyskania ww. celu przewidziane jest </w:t>
      </w:r>
      <w:r w:rsidRPr="00EF5852">
        <w:rPr>
          <w:rFonts w:ascii="Arial Narrow" w:eastAsia="Times New Roman" w:hAnsi="Arial Narrow" w:cs="Times New Roman"/>
          <w:color w:val="2D3748"/>
          <w:sz w:val="24"/>
          <w:szCs w:val="24"/>
          <w:lang w:eastAsia="pl-PL"/>
        </w:rPr>
        <w:t xml:space="preserve">właśnie wykonane zasilanie budynku z pomp ciepła, które będą stanowiły drugie, alternatywne źródło ciepła. </w:t>
      </w:r>
      <w:r>
        <w:rPr>
          <w:rFonts w:ascii="Arial Narrow" w:eastAsia="Times New Roman" w:hAnsi="Arial Narrow" w:cs="Times New Roman"/>
          <w:color w:val="2D3748"/>
          <w:sz w:val="24"/>
          <w:szCs w:val="24"/>
          <w:lang w:eastAsia="pl-PL"/>
        </w:rPr>
        <w:t xml:space="preserve">Tym samym nie przewiduje się  modernizacji kotła olejowego w ramach przedmiotowego zadania. </w:t>
      </w:r>
    </w:p>
    <w:p w14:paraId="5F357C22" w14:textId="44A0EC7D" w:rsidR="00DC4107" w:rsidRDefault="00DC4107" w:rsidP="00195CB5">
      <w:pPr>
        <w:spacing w:after="0"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6C9D5704" w14:textId="77777777" w:rsidR="00DC4107" w:rsidRPr="00225C01" w:rsidRDefault="00DC4107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C739841" w14:textId="77777777" w:rsidR="000B2EBB" w:rsidRPr="00225C01" w:rsidRDefault="000B2EBB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8A3865" w14:textId="37D90A79" w:rsidR="000140ED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225C01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0"/>
    <w:p w14:paraId="2B35B733" w14:textId="56B4C584" w:rsidR="0075537E" w:rsidRPr="00225C01" w:rsidRDefault="0075537E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Niniejsze odpowiedzi na zapytanie Wykonawcy stają się integralną częścią SWZ. W związku z faktem, że odpowiedzi mogą wpływać na opis przedmiotu zamówienia, Zamawiający stosownie do dyspozycji art. 271 ust. 2 Ustawy Prawo Zamówień Publicznych przedłuża termin składania ofert, termin otwarcia ofert, termin związania ofertą</w:t>
      </w:r>
      <w:r w:rsidR="000140ED" w:rsidRPr="00225C01">
        <w:rPr>
          <w:rFonts w:ascii="Arial" w:hAnsi="Arial" w:cs="Arial"/>
          <w:sz w:val="20"/>
          <w:szCs w:val="20"/>
        </w:rPr>
        <w:t xml:space="preserve"> </w:t>
      </w:r>
      <w:r w:rsidR="00195CB5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225C01">
        <w:rPr>
          <w:rFonts w:ascii="Arial" w:hAnsi="Arial" w:cs="Arial"/>
          <w:sz w:val="20"/>
          <w:szCs w:val="20"/>
        </w:rPr>
        <w:t>wg poniższego:</w:t>
      </w:r>
    </w:p>
    <w:p w14:paraId="50BA8C95" w14:textId="77777777" w:rsidR="00BE37B3" w:rsidRPr="00225C01" w:rsidRDefault="00BE37B3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141F41" w14:textId="7FA75025" w:rsidR="00BB62C5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Było:</w:t>
      </w:r>
    </w:p>
    <w:p w14:paraId="237D6151" w14:textId="08DACE23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8.1.) Termin składania ofert: </w:t>
      </w:r>
      <w:r w:rsidR="00BE37B3" w:rsidRPr="00225C01">
        <w:rPr>
          <w:rFonts w:ascii="Arial" w:hAnsi="Arial" w:cs="Arial"/>
          <w:sz w:val="20"/>
          <w:szCs w:val="20"/>
        </w:rPr>
        <w:t>2022-0</w:t>
      </w:r>
      <w:r w:rsidR="00DC4107">
        <w:rPr>
          <w:rFonts w:ascii="Arial" w:hAnsi="Arial" w:cs="Arial"/>
          <w:sz w:val="20"/>
          <w:szCs w:val="20"/>
        </w:rPr>
        <w:t>6</w:t>
      </w:r>
      <w:r w:rsidR="00BE37B3" w:rsidRPr="00225C01">
        <w:rPr>
          <w:rFonts w:ascii="Arial" w:hAnsi="Arial" w:cs="Arial"/>
          <w:sz w:val="20"/>
          <w:szCs w:val="20"/>
        </w:rPr>
        <w:t>-</w:t>
      </w:r>
      <w:r w:rsidR="00DC4107">
        <w:rPr>
          <w:rFonts w:ascii="Arial" w:hAnsi="Arial" w:cs="Arial"/>
          <w:sz w:val="20"/>
          <w:szCs w:val="20"/>
        </w:rPr>
        <w:t>02</w:t>
      </w:r>
      <w:r w:rsidR="00BE37B3" w:rsidRPr="00225C01">
        <w:rPr>
          <w:rFonts w:ascii="Arial" w:hAnsi="Arial" w:cs="Arial"/>
          <w:sz w:val="20"/>
          <w:szCs w:val="20"/>
        </w:rPr>
        <w:t xml:space="preserve"> 10:00</w:t>
      </w:r>
    </w:p>
    <w:p w14:paraId="642AC39D" w14:textId="6035831C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8.3.) Termin otwarcia ofert: </w:t>
      </w:r>
      <w:r w:rsidR="00BE37B3" w:rsidRPr="00225C01">
        <w:rPr>
          <w:rFonts w:ascii="Arial" w:hAnsi="Arial" w:cs="Arial"/>
          <w:sz w:val="20"/>
          <w:szCs w:val="20"/>
        </w:rPr>
        <w:t>2022-0</w:t>
      </w:r>
      <w:r w:rsidR="00DC4107">
        <w:rPr>
          <w:rFonts w:ascii="Arial" w:hAnsi="Arial" w:cs="Arial"/>
          <w:sz w:val="20"/>
          <w:szCs w:val="20"/>
        </w:rPr>
        <w:t>6</w:t>
      </w:r>
      <w:r w:rsidR="00BE37B3" w:rsidRPr="00225C01">
        <w:rPr>
          <w:rFonts w:ascii="Arial" w:hAnsi="Arial" w:cs="Arial"/>
          <w:sz w:val="20"/>
          <w:szCs w:val="20"/>
        </w:rPr>
        <w:t>-</w:t>
      </w:r>
      <w:r w:rsidR="00DC4107">
        <w:rPr>
          <w:rFonts w:ascii="Arial" w:hAnsi="Arial" w:cs="Arial"/>
          <w:sz w:val="20"/>
          <w:szCs w:val="20"/>
        </w:rPr>
        <w:t xml:space="preserve">02 </w:t>
      </w:r>
      <w:r w:rsidR="00BE37B3" w:rsidRPr="00225C01">
        <w:rPr>
          <w:rFonts w:ascii="Arial" w:hAnsi="Arial" w:cs="Arial"/>
          <w:sz w:val="20"/>
          <w:szCs w:val="20"/>
        </w:rPr>
        <w:t>10:30</w:t>
      </w:r>
    </w:p>
    <w:p w14:paraId="10428FCD" w14:textId="3398DF9B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8.4.) Termin związania ofertą: </w:t>
      </w:r>
      <w:r w:rsidR="00BE37B3" w:rsidRPr="00225C01">
        <w:rPr>
          <w:rFonts w:ascii="Arial" w:hAnsi="Arial" w:cs="Arial"/>
          <w:sz w:val="20"/>
          <w:szCs w:val="20"/>
        </w:rPr>
        <w:t>202</w:t>
      </w:r>
      <w:r w:rsidR="005E18DE">
        <w:rPr>
          <w:rFonts w:ascii="Arial" w:hAnsi="Arial" w:cs="Arial"/>
          <w:sz w:val="20"/>
          <w:szCs w:val="20"/>
        </w:rPr>
        <w:t>2</w:t>
      </w:r>
      <w:r w:rsidR="00BE37B3" w:rsidRPr="00225C01">
        <w:rPr>
          <w:rFonts w:ascii="Arial" w:hAnsi="Arial" w:cs="Arial"/>
          <w:sz w:val="20"/>
          <w:szCs w:val="20"/>
        </w:rPr>
        <w:t>-</w:t>
      </w:r>
      <w:r w:rsidR="00DC4107">
        <w:rPr>
          <w:rFonts w:ascii="Arial" w:hAnsi="Arial" w:cs="Arial"/>
          <w:sz w:val="20"/>
          <w:szCs w:val="20"/>
        </w:rPr>
        <w:t>07</w:t>
      </w:r>
      <w:r w:rsidR="00BE37B3" w:rsidRPr="00225C01">
        <w:rPr>
          <w:rFonts w:ascii="Arial" w:hAnsi="Arial" w:cs="Arial"/>
          <w:sz w:val="20"/>
          <w:szCs w:val="20"/>
        </w:rPr>
        <w:t>-</w:t>
      </w:r>
      <w:r w:rsidR="00DC4107">
        <w:rPr>
          <w:rFonts w:ascii="Arial" w:hAnsi="Arial" w:cs="Arial"/>
          <w:sz w:val="20"/>
          <w:szCs w:val="20"/>
        </w:rPr>
        <w:t>01</w:t>
      </w:r>
    </w:p>
    <w:p w14:paraId="088A2CF4" w14:textId="37EB4F07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FE5AAC" w14:textId="645B621D" w:rsidR="0075537E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Jest:</w:t>
      </w:r>
    </w:p>
    <w:p w14:paraId="54CA586D" w14:textId="268D4820" w:rsidR="00DC4107" w:rsidRPr="00DC4107" w:rsidRDefault="00DC4107" w:rsidP="00DC410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8.1.) Termin składania ofert: 2022-06-0</w:t>
      </w:r>
      <w:r>
        <w:rPr>
          <w:rFonts w:ascii="Arial" w:hAnsi="Arial" w:cs="Arial"/>
          <w:sz w:val="20"/>
          <w:szCs w:val="20"/>
        </w:rPr>
        <w:t>6</w:t>
      </w:r>
      <w:r w:rsidRPr="00DC4107">
        <w:rPr>
          <w:rFonts w:ascii="Arial" w:hAnsi="Arial" w:cs="Arial"/>
          <w:sz w:val="20"/>
          <w:szCs w:val="20"/>
        </w:rPr>
        <w:t xml:space="preserve"> 10:00</w:t>
      </w:r>
    </w:p>
    <w:p w14:paraId="71AF35F8" w14:textId="445B04AD" w:rsidR="00DC4107" w:rsidRPr="00DC4107" w:rsidRDefault="00DC4107" w:rsidP="00DC410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8.3.) Termin otwarcia ofert: 2022-06-0</w:t>
      </w:r>
      <w:r>
        <w:rPr>
          <w:rFonts w:ascii="Arial" w:hAnsi="Arial" w:cs="Arial"/>
          <w:sz w:val="20"/>
          <w:szCs w:val="20"/>
        </w:rPr>
        <w:t>6</w:t>
      </w:r>
      <w:r w:rsidRPr="00DC4107">
        <w:rPr>
          <w:rFonts w:ascii="Arial" w:hAnsi="Arial" w:cs="Arial"/>
          <w:sz w:val="20"/>
          <w:szCs w:val="20"/>
        </w:rPr>
        <w:t xml:space="preserve"> 10:30</w:t>
      </w:r>
    </w:p>
    <w:p w14:paraId="06C1035F" w14:textId="0EDEEBE0" w:rsidR="00195CB5" w:rsidRDefault="00DC4107" w:rsidP="00DC410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8.4.) Termin związania ofertą: 202</w:t>
      </w:r>
      <w:r w:rsidR="005E18DE">
        <w:rPr>
          <w:rFonts w:ascii="Arial" w:hAnsi="Arial" w:cs="Arial"/>
          <w:sz w:val="20"/>
          <w:szCs w:val="20"/>
        </w:rPr>
        <w:t>2</w:t>
      </w:r>
      <w:r w:rsidRPr="00DC4107">
        <w:rPr>
          <w:rFonts w:ascii="Arial" w:hAnsi="Arial" w:cs="Arial"/>
          <w:sz w:val="20"/>
          <w:szCs w:val="20"/>
        </w:rPr>
        <w:t>-07-0</w:t>
      </w:r>
      <w:r>
        <w:rPr>
          <w:rFonts w:ascii="Arial" w:hAnsi="Arial" w:cs="Arial"/>
          <w:sz w:val="20"/>
          <w:szCs w:val="20"/>
        </w:rPr>
        <w:t>5</w:t>
      </w:r>
    </w:p>
    <w:p w14:paraId="7BF8D7EF" w14:textId="304729E0" w:rsidR="00195CB5" w:rsidRDefault="00195CB5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45CBC1" w14:textId="6DA94717" w:rsidR="000B2EBB" w:rsidRPr="00DC4107" w:rsidRDefault="000B2EBB" w:rsidP="00DC41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0B2EBB" w:rsidRPr="00DC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442">
    <w:abstractNumId w:val="1"/>
  </w:num>
  <w:num w:numId="2" w16cid:durableId="362487599">
    <w:abstractNumId w:val="0"/>
  </w:num>
  <w:num w:numId="3" w16cid:durableId="727149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7273"/>
    <w:rsid w:val="000B2EBB"/>
    <w:rsid w:val="000B3B3C"/>
    <w:rsid w:val="000C19D3"/>
    <w:rsid w:val="00103698"/>
    <w:rsid w:val="00131768"/>
    <w:rsid w:val="00147D1B"/>
    <w:rsid w:val="0017225A"/>
    <w:rsid w:val="00195CB5"/>
    <w:rsid w:val="0020627D"/>
    <w:rsid w:val="00214F2D"/>
    <w:rsid w:val="00225C01"/>
    <w:rsid w:val="00246B07"/>
    <w:rsid w:val="002D15DA"/>
    <w:rsid w:val="00353AC0"/>
    <w:rsid w:val="00376C56"/>
    <w:rsid w:val="003F200C"/>
    <w:rsid w:val="00477481"/>
    <w:rsid w:val="004C3327"/>
    <w:rsid w:val="00527F9E"/>
    <w:rsid w:val="005B39F0"/>
    <w:rsid w:val="005E18DE"/>
    <w:rsid w:val="00642325"/>
    <w:rsid w:val="00693A76"/>
    <w:rsid w:val="006A243F"/>
    <w:rsid w:val="0075537E"/>
    <w:rsid w:val="007C4385"/>
    <w:rsid w:val="007F3B0F"/>
    <w:rsid w:val="009364C7"/>
    <w:rsid w:val="00954EF0"/>
    <w:rsid w:val="009A0A81"/>
    <w:rsid w:val="00A062D2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DC4107"/>
    <w:rsid w:val="00E2743F"/>
    <w:rsid w:val="00E42851"/>
    <w:rsid w:val="00F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2022-01-14T10:47:00Z</dcterms:created>
  <dcterms:modified xsi:type="dcterms:W3CDTF">2022-05-31T07:55:00Z</dcterms:modified>
</cp:coreProperties>
</file>