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09"/>
        <w:gridCol w:w="7796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23FE">
        <w:trPr>
          <w:trHeight w:val="389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4C7D65DD" w:rsidR="00A71656" w:rsidRPr="00415BF5" w:rsidRDefault="00787B2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BEZPIECZNY SPRZĘT MEDYCZNY DO PRZYGOTOWANIA I PODAWANIA CYTOSTATYKÓW</w:t>
            </w:r>
          </w:p>
        </w:tc>
      </w:tr>
      <w:tr w:rsidR="00A71656" w:rsidRPr="00920317" w14:paraId="3407E224" w14:textId="77777777" w:rsidTr="004823FE">
        <w:tc>
          <w:tcPr>
            <w:tcW w:w="155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823FE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823FE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823FE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823FE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48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</w:tblGrid>
            <w:tr w:rsidR="006E2FA5" w14:paraId="230701C3" w14:textId="77777777" w:rsidTr="00787B2A">
              <w:tc>
                <w:tcPr>
                  <w:tcW w:w="1560" w:type="dxa"/>
                  <w:shd w:val="clear" w:color="auto" w:fill="FFFFFF" w:themeFill="background1"/>
                </w:tcPr>
                <w:p w14:paraId="46CF8AA7" w14:textId="7C9548E9" w:rsidR="006E2FA5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87B2A" w:rsidRPr="00920317" w14:paraId="052F1B86" w14:textId="77777777" w:rsidTr="00787B2A">
        <w:trPr>
          <w:trHeight w:val="572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92A2A12" w14:textId="77777777" w:rsid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20390346" w14:textId="54DE6124" w:rsidR="00787B2A" w:rsidRP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463F4B0D" w14:textId="77777777" w:rsidR="00787B2A" w:rsidRPr="006E2FA5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787B2A" w:rsidRPr="00920317" w14:paraId="77806A67" w14:textId="77777777" w:rsidTr="00787B2A">
        <w:trPr>
          <w:trHeight w:val="665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55EDF006" w14:textId="77777777" w:rsid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p w14:paraId="6252FFDA" w14:textId="1F45A3A4" w:rsidR="00787B2A" w:rsidRP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252E2CFB" w14:textId="77777777" w:rsidR="00787B2A" w:rsidRPr="006E2FA5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4823FE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4823FE">
        <w:trPr>
          <w:trHeight w:val="317"/>
        </w:trPr>
        <w:tc>
          <w:tcPr>
            <w:tcW w:w="1980" w:type="dxa"/>
            <w:gridSpan w:val="2"/>
            <w:shd w:val="clear" w:color="auto" w:fill="D9E2F3" w:themeFill="accent1" w:themeFillTint="33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D9E2F3" w:themeFill="accent1" w:themeFillTint="33"/>
            <w:vAlign w:val="center"/>
          </w:tcPr>
          <w:p w14:paraId="2245EF63" w14:textId="3246452E" w:rsidR="001C49DF" w:rsidRPr="00920317" w:rsidRDefault="00787B2A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6EAC310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r w:rsidR="004823FE"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 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5A10DC2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4823FE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2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bookmarkStart w:id="4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4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3FC3DC33" w14:textId="77777777" w:rsidR="00787B2A" w:rsidRDefault="00787B2A" w:rsidP="00787B2A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787B2A">
        <w:rPr>
          <w:rFonts w:asciiTheme="minorHAnsi" w:eastAsia="Calibri" w:hAnsiTheme="minorHAnsi" w:cs="Arial"/>
          <w:b/>
          <w:color w:val="000000"/>
          <w:sz w:val="22"/>
          <w:szCs w:val="22"/>
        </w:rPr>
        <w:t>BEZPIECZNY SPRZĘT MEDYCZNY DO PRZYGOTOWANIA I PODAWANIA CYTOSTATYKÓW</w:t>
      </w:r>
    </w:p>
    <w:p w14:paraId="332F1516" w14:textId="623FAC5A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666312A8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A4D30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73D4F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66E5CC01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787B2A" w:rsidRPr="00787B2A">
        <w:rPr>
          <w:rFonts w:eastAsia="Times New Roman" w:cs="Times New Roman"/>
          <w:b/>
          <w:sz w:val="24"/>
          <w:szCs w:val="24"/>
          <w:lang w:eastAsia="pl-PL"/>
        </w:rPr>
        <w:t>BEZPIECZNY SPRZĘT MEDYCZNY DO PRZYGOTOWANIA I PODAWANIA CYTOSTATYKÓW</w:t>
      </w:r>
      <w:r w:rsidR="004823FE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787B2A" w:rsidRPr="00787B2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="00787B2A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2E641BD7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787B2A" w:rsidRPr="00787B2A">
        <w:rPr>
          <w:rFonts w:eastAsia="Times New Roman" w:cs="Times New Roman"/>
          <w:b/>
          <w:bCs/>
          <w:sz w:val="24"/>
          <w:szCs w:val="24"/>
          <w:lang w:eastAsia="pl-PL"/>
        </w:rPr>
        <w:t>bezpieczny sprzęt medyczny do przygotowywania i podawania cytostatyków</w:t>
      </w:r>
      <w:r w:rsidR="00787B2A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787B2A" w:rsidRPr="00787B2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Formularz asortymentowo – cenowy przedmiotu umowy stanowi załącznik nr 1 do umowy (załącznik nr 2 do SWZ).</w:t>
      </w:r>
    </w:p>
    <w:p w14:paraId="0B570476" w14:textId="3F6D5B2F" w:rsidR="00B10F9B" w:rsidRPr="00AB1953" w:rsidRDefault="00B10F9B" w:rsidP="00FF6608">
      <w:pPr>
        <w:numPr>
          <w:ilvl w:val="0"/>
          <w:numId w:val="14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21123E89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19BD9388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6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6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3710A4A9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>Wykonawca zobowiązuje się do dostarczenia przedmiotu umowy w ciągu</w:t>
      </w:r>
      <w:r w:rsidR="00787B2A">
        <w:rPr>
          <w:rFonts w:cs="Calibri"/>
          <w:sz w:val="24"/>
          <w:szCs w:val="24"/>
        </w:rPr>
        <w:t>……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od momentu złożenia zamówienia</w:t>
      </w:r>
      <w:r w:rsidR="00787B2A">
        <w:rPr>
          <w:rFonts w:cs="Calibri"/>
          <w:sz w:val="24"/>
          <w:szCs w:val="24"/>
        </w:rPr>
        <w:t xml:space="preserve"> </w:t>
      </w:r>
      <w:r w:rsidR="00787B2A" w:rsidRPr="00787B2A">
        <w:rPr>
          <w:rFonts w:cs="Calibri"/>
          <w:sz w:val="24"/>
          <w:szCs w:val="24"/>
        </w:rPr>
        <w:t>(podlega ocenie) (max 5 dni</w:t>
      </w:r>
      <w:r w:rsidR="00787B2A">
        <w:rPr>
          <w:rFonts w:cs="Calibri"/>
          <w:sz w:val="24"/>
          <w:szCs w:val="24"/>
        </w:rPr>
        <w:t>)</w:t>
      </w:r>
      <w:r w:rsidR="00B73D4F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7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3310508E" w14:textId="5CB57202" w:rsidR="00787B2A" w:rsidRDefault="00787B2A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787B2A">
        <w:rPr>
          <w:rFonts w:cs="Calibr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>
        <w:rPr>
          <w:rFonts w:cs="Calibri"/>
          <w:sz w:val="24"/>
          <w:szCs w:val="24"/>
        </w:rPr>
        <w:t>………</w:t>
      </w:r>
      <w:r w:rsidRPr="00787B2A">
        <w:rPr>
          <w:rFonts w:cs="Calibri"/>
          <w:sz w:val="24"/>
          <w:szCs w:val="24"/>
        </w:rPr>
        <w:t xml:space="preserve"> dni roboczych od daty zawiadomienia, nie obciążając Zamawiającego kosztami wymiany</w:t>
      </w:r>
      <w:r>
        <w:rPr>
          <w:rFonts w:cs="Calibri"/>
          <w:sz w:val="24"/>
          <w:szCs w:val="24"/>
        </w:rPr>
        <w:t xml:space="preserve"> </w:t>
      </w:r>
      <w:r w:rsidRPr="00787B2A">
        <w:rPr>
          <w:rFonts w:cs="Calibri"/>
          <w:sz w:val="24"/>
          <w:szCs w:val="24"/>
        </w:rPr>
        <w:t>(podlega ocenie) (max 5 dni).</w:t>
      </w:r>
    </w:p>
    <w:p w14:paraId="1DB7708A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16516B5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3E24D68D" w14:textId="5F6D786B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Pr="00783A69">
        <w:rPr>
          <w:rFonts w:eastAsia="Times New Roman" w:cs="Times New Roman"/>
          <w:sz w:val="24"/>
          <w:szCs w:val="24"/>
          <w:lang w:eastAsia="pl-PL"/>
        </w:rPr>
        <w:t>umowy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jako ilości szacunkowe/średnie ilości, przy zachowaniu ogólnej wartości zamówienia zastrzeżonej dla Wykonawcy w umowie.</w:t>
      </w:r>
    </w:p>
    <w:p w14:paraId="2647ACED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26C1C17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226A825" w14:textId="7951A2B8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500D981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348F8B22" w14:textId="77777777" w:rsidR="00214566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lastRenderedPageBreak/>
        <w:t xml:space="preserve"> W przypadku zakupu interwencyjnego Wykonawca zobowiązany jest do zwrotu Zamawiającemu różnicy pomiędzy ceną zakupu interwencyjnego i ceną dostawy oraz</w:t>
      </w:r>
      <w:r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7F082EDD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1E176FB" w14:textId="4AFE7A8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19283B5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</w:t>
      </w:r>
      <w:r w:rsidR="002955C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3A161EF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01423CE7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9048B7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214566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5DEEF067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kolejne</w:t>
      </w:r>
      <w:r w:rsidR="00214566">
        <w:rPr>
          <w:rFonts w:eastAsia="Times New Roman" w:cs="Times New Roman"/>
          <w:sz w:val="24"/>
          <w:szCs w:val="24"/>
          <w:lang w:eastAsia="pl-PL"/>
        </w:rPr>
        <w:t xml:space="preserve"> 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B1953">
        <w:rPr>
          <w:rFonts w:eastAsia="Times New Roman" w:cs="Times New Roman"/>
          <w:sz w:val="24"/>
          <w:szCs w:val="24"/>
          <w:lang w:eastAsia="pl-PL"/>
        </w:rPr>
        <w:t>miesi</w:t>
      </w:r>
      <w:r w:rsidR="002C2149">
        <w:rPr>
          <w:rFonts w:eastAsia="Times New Roman" w:cs="Times New Roman"/>
          <w:sz w:val="24"/>
          <w:szCs w:val="24"/>
          <w:lang w:eastAsia="pl-PL"/>
        </w:rPr>
        <w:t>ąc</w:t>
      </w:r>
      <w:r w:rsidR="00214566">
        <w:rPr>
          <w:rFonts w:eastAsia="Times New Roman" w:cs="Times New Roman"/>
          <w:sz w:val="24"/>
          <w:szCs w:val="24"/>
          <w:lang w:eastAsia="pl-PL"/>
        </w:rPr>
        <w:t>y</w:t>
      </w:r>
      <w:proofErr w:type="spellEnd"/>
      <w:r w:rsidR="00B73D4F">
        <w:rPr>
          <w:rFonts w:eastAsia="Times New Roman" w:cs="Times New Roman"/>
          <w:sz w:val="24"/>
          <w:szCs w:val="24"/>
          <w:lang w:eastAsia="pl-PL"/>
        </w:rPr>
        <w:t>,</w:t>
      </w:r>
      <w:r w:rsidR="00091BF6" w:rsidRPr="00091BF6">
        <w:t xml:space="preserve"> </w:t>
      </w:r>
      <w:r w:rsidR="00091BF6" w:rsidRPr="00B73D4F">
        <w:rPr>
          <w:rFonts w:eastAsia="Times New Roman" w:cs="Times New Roman"/>
          <w:sz w:val="24"/>
          <w:szCs w:val="24"/>
          <w:lang w:eastAsia="pl-PL"/>
        </w:rPr>
        <w:t>przy czym zgodę na przedłużenie terminu obowiązywania umowy muszą wyrazić obie strony umowy.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</w:t>
      </w: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0BA04726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 xml:space="preserve">Umowy – poprzez wydłużenie terminu obowiązywania Umowy maksymalnie o </w:t>
      </w:r>
      <w:r w:rsidR="002C2149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Pr="00AB1953">
        <w:rPr>
          <w:sz w:val="24"/>
          <w:szCs w:val="24"/>
        </w:rPr>
        <w:t>, ale nie dłużej niż do czasu wyczerpania kwoty maksymalnego zobowiązania Zamawiającego</w:t>
      </w:r>
      <w:r w:rsidR="00091BF6" w:rsidRPr="00B73D4F">
        <w:rPr>
          <w:sz w:val="24"/>
          <w:szCs w:val="24"/>
        </w:rPr>
        <w:t>, przy czym zgodę na przedłużenie terminu obowiązywania umowy muszą wyrazić obie strony umowy.</w:t>
      </w:r>
      <w:r w:rsidR="00B73D4F" w:rsidRPr="00B73D4F">
        <w:rPr>
          <w:sz w:val="24"/>
          <w:szCs w:val="24"/>
        </w:rPr>
        <w:t xml:space="preserve"> </w:t>
      </w:r>
    </w:p>
    <w:p w14:paraId="18B34BD7" w14:textId="4E6C98E9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0C2D786F" w14:textId="7B63DDA5" w:rsidR="00214566" w:rsidRPr="00B948A9" w:rsidRDefault="00214566" w:rsidP="002145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948A9">
        <w:rPr>
          <w:rFonts w:cs="Calibri"/>
          <w:bCs/>
          <w:sz w:val="24"/>
          <w:szCs w:val="24"/>
        </w:rPr>
        <w:t xml:space="preserve">Po upływie </w:t>
      </w:r>
      <w:r>
        <w:rPr>
          <w:rFonts w:cs="Calibri"/>
          <w:bCs/>
          <w:sz w:val="24"/>
          <w:szCs w:val="24"/>
        </w:rPr>
        <w:t>12 miesięcy</w:t>
      </w:r>
      <w:r w:rsidRPr="00B948A9">
        <w:rPr>
          <w:rFonts w:cs="Calibri"/>
          <w:bCs/>
          <w:sz w:val="24"/>
          <w:szCs w:val="24"/>
        </w:rPr>
        <w:t xml:space="preserve"> dopuszcza się wprowadzenie odpowiednich zmian wysokości wynagrodzenia należnego wykonawcy, w przypadku zmiany: </w:t>
      </w:r>
    </w:p>
    <w:p w14:paraId="4771F165" w14:textId="77777777" w:rsidR="00214566" w:rsidRPr="00B948A9" w:rsidRDefault="00214566" w:rsidP="00214566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79469CEF" w14:textId="77777777" w:rsidR="00214566" w:rsidRPr="00B948A9" w:rsidRDefault="00214566" w:rsidP="00214566">
      <w:pPr>
        <w:numPr>
          <w:ilvl w:val="0"/>
          <w:numId w:val="19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24FF7696" w14:textId="77777777" w:rsidR="00214566" w:rsidRPr="00B948A9" w:rsidRDefault="00214566" w:rsidP="00214566">
      <w:pPr>
        <w:numPr>
          <w:ilvl w:val="0"/>
          <w:numId w:val="19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77751269" w14:textId="31CEB63E" w:rsidR="00214566" w:rsidRDefault="00214566" w:rsidP="00214566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gromadzenia i wysokości wpłat do pracowniczych planów kapitałowych, o których mowa w</w:t>
      </w:r>
      <w:r w:rsidR="004823FE">
        <w:rPr>
          <w:rFonts w:cs="Calibri"/>
          <w:bCs/>
          <w:sz w:val="24"/>
          <w:szCs w:val="24"/>
        </w:rPr>
        <w:t> </w:t>
      </w:r>
      <w:r w:rsidRPr="00B948A9">
        <w:rPr>
          <w:rFonts w:cs="Calibri"/>
          <w:bCs/>
          <w:sz w:val="24"/>
          <w:szCs w:val="24"/>
        </w:rPr>
        <w:t xml:space="preserve">ustawie z dnia 4 października 2018 r. o pracowniczych planach kapitałowych (Dz. U. poz. 2215 oraz z 2019 r. poz. 1074 i 1572) </w:t>
      </w:r>
    </w:p>
    <w:p w14:paraId="61502FA4" w14:textId="77777777" w:rsidR="00214566" w:rsidRPr="00B948A9" w:rsidRDefault="00214566" w:rsidP="00214566">
      <w:pPr>
        <w:numPr>
          <w:ilvl w:val="0"/>
          <w:numId w:val="19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5C409D30" w14:textId="77777777" w:rsidR="00214566" w:rsidRPr="00B948A9" w:rsidRDefault="00214566" w:rsidP="00214566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35DB28E2" w14:textId="2026CA5F" w:rsidR="00214566" w:rsidRPr="00B948A9" w:rsidRDefault="00214566" w:rsidP="002145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powyżej, ze skutkiem od dnia wprowadzenia zmian.</w:t>
      </w:r>
    </w:p>
    <w:p w14:paraId="33BC35E7" w14:textId="0AA78D1D" w:rsidR="00214566" w:rsidRPr="00B948A9" w:rsidRDefault="00214566" w:rsidP="002145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 przypadku niewykazania przez Wykonawcę wpływu zmian, o których mowa w ust. </w:t>
      </w:r>
      <w:r>
        <w:rPr>
          <w:rFonts w:cs="Calibri"/>
          <w:bCs/>
          <w:sz w:val="24"/>
          <w:szCs w:val="24"/>
        </w:rPr>
        <w:t>6</w:t>
      </w:r>
      <w:r w:rsidRPr="00B948A9">
        <w:rPr>
          <w:rFonts w:cs="Calibri"/>
          <w:bCs/>
          <w:sz w:val="24"/>
          <w:szCs w:val="24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566CA38D" w14:textId="3A3A8672" w:rsidR="00214566" w:rsidRPr="00725200" w:rsidRDefault="00214566" w:rsidP="0021456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Zmiana wynagrodzenia Wykonawcy, o której mowa w ust. </w:t>
      </w:r>
      <w:r>
        <w:rPr>
          <w:rFonts w:cs="Calibri"/>
          <w:bCs/>
          <w:sz w:val="24"/>
          <w:szCs w:val="24"/>
        </w:rPr>
        <w:t>7</w:t>
      </w:r>
      <w:r w:rsidRPr="00B948A9">
        <w:rPr>
          <w:rFonts w:cs="Calibri"/>
          <w:bCs/>
          <w:sz w:val="24"/>
          <w:szCs w:val="24"/>
        </w:rPr>
        <w:t xml:space="preserve"> dotyczy jedynie niewykonanej części zamówienia.</w:t>
      </w:r>
    </w:p>
    <w:p w14:paraId="496C6D0A" w14:textId="77777777" w:rsidR="00214566" w:rsidRDefault="00214566" w:rsidP="00214566">
      <w:p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6B5ED25C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8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9" w:name="_Hlk62804029"/>
    </w:p>
    <w:bookmarkEnd w:id="9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proofErr w:type="gramStart"/>
      <w:r w:rsidRPr="00B932E9">
        <w:rPr>
          <w:rFonts w:eastAsia="Calibri" w:cs="Times New Roman"/>
          <w:sz w:val="20"/>
          <w:szCs w:val="20"/>
        </w:rPr>
        <w:t>wszpila@pi.onet.pl ,</w:t>
      </w:r>
      <w:proofErr w:type="gramEnd"/>
      <w:r w:rsidRPr="00B932E9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iod@szpitalpila.pl ,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6077B7F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</w:t>
      </w:r>
      <w:r w:rsidR="004823FE" w:rsidRPr="00B932E9">
        <w:rPr>
          <w:rFonts w:eastAsia="Calibri" w:cs="Times New Roman"/>
          <w:sz w:val="20"/>
          <w:szCs w:val="20"/>
        </w:rPr>
        <w:t>Prokurator</w:t>
      </w:r>
      <w:r w:rsidRPr="00B932E9">
        <w:rPr>
          <w:rFonts w:eastAsia="Calibri" w:cs="Times New Roman"/>
          <w:sz w:val="20"/>
          <w:szCs w:val="20"/>
        </w:rPr>
        <w:t xml:space="preserve"> </w:t>
      </w:r>
      <w:r w:rsidR="004823FE" w:rsidRPr="00B932E9">
        <w:rPr>
          <w:rFonts w:eastAsia="Calibri" w:cs="Times New Roman"/>
          <w:sz w:val="20"/>
          <w:szCs w:val="20"/>
        </w:rPr>
        <w:t>i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proofErr w:type="gramStart"/>
                              <w:r>
                                <w:t>TWOJE  PRAWA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proofErr w:type="gramStart"/>
                        <w:r>
                          <w:t>TWOJE  PRAWA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1E7E9023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4823FE" w:rsidRPr="00B932E9">
        <w:rPr>
          <w:rFonts w:eastAsia="Times New Roman" w:cs="Times New Roman"/>
          <w:sz w:val="20"/>
          <w:szCs w:val="20"/>
          <w:lang w:eastAsia="pl-PL"/>
        </w:rPr>
        <w:t>Osobowych,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88DE64D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4823FE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30E3586E" w:rsidR="00F41CC2" w:rsidRDefault="00214566" w:rsidP="00214566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214566">
        <w:rPr>
          <w:rFonts w:eastAsia="Calibri" w:cs="Arial"/>
          <w:b/>
          <w:color w:val="000000"/>
          <w:sz w:val="24"/>
          <w:szCs w:val="24"/>
        </w:rPr>
        <w:t>BEZPIECZNY SPRZĘT MEDYCZNY DO PRZYGOTOWANIA I PODAWANIA CYTOSTATYKÓW</w:t>
      </w:r>
    </w:p>
    <w:p w14:paraId="3128EBD0" w14:textId="77777777" w:rsidR="00214566" w:rsidRPr="00F41CC2" w:rsidRDefault="00214566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4414EA9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w ochronie zdrowia na terytorium Rzeczypospolitej Polskiej, zgodnie z polskim prawem oraz prawem Unii Europejskiej.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6BB5CA3" w14:textId="0B47E6EC" w:rsidR="00B33C56" w:rsidRPr="00214566" w:rsidRDefault="00FB4A38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B33C56" w:rsidRPr="0021456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6B03C7E1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="00787B2A">
      <w:rPr>
        <w:rFonts w:ascii="Calibri" w:eastAsia="Times New Roman" w:hAnsi="Calibri" w:cs="Times New Roman"/>
        <w:i/>
        <w:iCs/>
        <w:sz w:val="16"/>
        <w:szCs w:val="16"/>
        <w:lang w:eastAsia="pl-PL"/>
      </w:rPr>
      <w:t>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1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2"/>
  </w:num>
  <w:num w:numId="14" w16cid:durableId="1769541932">
    <w:abstractNumId w:val="13"/>
  </w:num>
  <w:num w:numId="15" w16cid:durableId="1142886816">
    <w:abstractNumId w:val="17"/>
  </w:num>
  <w:num w:numId="16" w16cid:durableId="1288656745">
    <w:abstractNumId w:val="7"/>
  </w:num>
  <w:num w:numId="17" w16cid:durableId="1870559606">
    <w:abstractNumId w:val="16"/>
  </w:num>
  <w:num w:numId="18" w16cid:durableId="1625193401">
    <w:abstractNumId w:val="3"/>
  </w:num>
  <w:num w:numId="19" w16cid:durableId="239945333">
    <w:abstractNumId w:val="5"/>
  </w:num>
  <w:num w:numId="20" w16cid:durableId="79017298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31F8A"/>
    <w:rsid w:val="00157571"/>
    <w:rsid w:val="00190851"/>
    <w:rsid w:val="001A32A9"/>
    <w:rsid w:val="001A3F67"/>
    <w:rsid w:val="001C3659"/>
    <w:rsid w:val="001C49DF"/>
    <w:rsid w:val="001E0AD7"/>
    <w:rsid w:val="00214566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23FE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87B2A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31890"/>
    <w:rsid w:val="00966682"/>
    <w:rsid w:val="009A0A4D"/>
    <w:rsid w:val="009A1E2A"/>
    <w:rsid w:val="009D6D9B"/>
    <w:rsid w:val="00A4468D"/>
    <w:rsid w:val="00A71656"/>
    <w:rsid w:val="00A96D65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4023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41</cp:revision>
  <cp:lastPrinted>2023-06-19T08:56:00Z</cp:lastPrinted>
  <dcterms:created xsi:type="dcterms:W3CDTF">2021-02-24T12:48:00Z</dcterms:created>
  <dcterms:modified xsi:type="dcterms:W3CDTF">2023-06-19T08:56:00Z</dcterms:modified>
</cp:coreProperties>
</file>