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53607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2023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53607">
        <w:rPr>
          <w:rFonts w:ascii="Arial" w:eastAsia="Arial" w:hAnsi="Arial" w:cs="Arial"/>
          <w:b/>
          <w:sz w:val="20"/>
          <w:szCs w:val="20"/>
          <w:shd w:val="clear" w:color="auto" w:fill="BFBFBF"/>
        </w:rPr>
        <w:t>208-655851</w:t>
      </w:r>
      <w:bookmarkStart w:id="0" w:name="_GoBack"/>
      <w:bookmarkEnd w:id="0"/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:rsidR="00CD5D6F" w:rsidRPr="00D469EE" w:rsidRDefault="00A64524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Nadleśnictwo Chmielnik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75FB6" w:rsidRPr="00CD5D6F" w:rsidRDefault="007074BC" w:rsidP="007074BC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4BC">
              <w:rPr>
                <w:rFonts w:ascii="Arial" w:hAnsi="Arial" w:cs="Arial"/>
                <w:b/>
                <w:sz w:val="20"/>
                <w:szCs w:val="20"/>
              </w:rPr>
              <w:t>„Wykonywanie usług z zakres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u gospodarki leśnej na terenie </w:t>
            </w:r>
            <w:r w:rsidRPr="007074BC">
              <w:rPr>
                <w:rFonts w:ascii="Arial" w:hAnsi="Arial" w:cs="Arial"/>
                <w:b/>
                <w:sz w:val="20"/>
                <w:szCs w:val="20"/>
              </w:rPr>
              <w:t>Nadleśnictwa Chmielnik w roku 2024”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A64524" w:rsidRPr="00A64524">
              <w:rPr>
                <w:rFonts w:ascii="Cambria" w:hAnsi="Cambria" w:cs="Arial"/>
                <w:b/>
                <w:spacing w:val="-8"/>
                <w:sz w:val="20"/>
                <w:szCs w:val="20"/>
              </w:rPr>
              <w:t>SA.270.2.9.2023</w:t>
            </w:r>
          </w:p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Płatność podatków lub składek na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B01163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5FB6"/>
    <w:rsid w:val="00020EEE"/>
    <w:rsid w:val="00036678"/>
    <w:rsid w:val="00036995"/>
    <w:rsid w:val="00053607"/>
    <w:rsid w:val="00075FB6"/>
    <w:rsid w:val="000F4235"/>
    <w:rsid w:val="001B06A2"/>
    <w:rsid w:val="002D1075"/>
    <w:rsid w:val="00301A77"/>
    <w:rsid w:val="00310CEB"/>
    <w:rsid w:val="00316F46"/>
    <w:rsid w:val="00371ABB"/>
    <w:rsid w:val="003C5D19"/>
    <w:rsid w:val="003C7A6F"/>
    <w:rsid w:val="003D1598"/>
    <w:rsid w:val="003D38E0"/>
    <w:rsid w:val="003F4B07"/>
    <w:rsid w:val="00452CDE"/>
    <w:rsid w:val="004B67A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074BC"/>
    <w:rsid w:val="0071709A"/>
    <w:rsid w:val="007272A0"/>
    <w:rsid w:val="007621B7"/>
    <w:rsid w:val="008108D4"/>
    <w:rsid w:val="00823383"/>
    <w:rsid w:val="008517D5"/>
    <w:rsid w:val="008A5D4B"/>
    <w:rsid w:val="008C2FFA"/>
    <w:rsid w:val="009B0BFD"/>
    <w:rsid w:val="009F1F5C"/>
    <w:rsid w:val="00A50987"/>
    <w:rsid w:val="00A64524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E159E"/>
    <w:rsid w:val="00DE3C42"/>
    <w:rsid w:val="00DE7DC9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3001</Words>
  <Characters>18008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Sylwester Lipiński - Nadleśnictwo Chmielnik</cp:lastModifiedBy>
  <cp:revision>42</cp:revision>
  <dcterms:created xsi:type="dcterms:W3CDTF">2017-03-29T07:24:00Z</dcterms:created>
  <dcterms:modified xsi:type="dcterms:W3CDTF">2023-10-27T13:00:00Z</dcterms:modified>
</cp:coreProperties>
</file>