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26453B46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3A34AB">
        <w:rPr>
          <w:rFonts w:cstheme="minorHAnsi"/>
          <w:b/>
          <w:bCs/>
          <w:sz w:val="24"/>
          <w:szCs w:val="24"/>
        </w:rPr>
        <w:t xml:space="preserve">Termomodernizacja </w:t>
      </w:r>
      <w:r w:rsidR="000B5042">
        <w:rPr>
          <w:rFonts w:cstheme="minorHAnsi"/>
          <w:b/>
          <w:bCs/>
          <w:sz w:val="24"/>
          <w:szCs w:val="24"/>
        </w:rPr>
        <w:t xml:space="preserve">budynku </w:t>
      </w:r>
      <w:r w:rsidR="003A34AB">
        <w:rPr>
          <w:rFonts w:cstheme="minorHAnsi"/>
          <w:b/>
          <w:bCs/>
          <w:sz w:val="24"/>
          <w:szCs w:val="24"/>
        </w:rPr>
        <w:t xml:space="preserve">LO w Trzebnicy – </w:t>
      </w:r>
      <w:r w:rsidR="001A63EC">
        <w:rPr>
          <w:rFonts w:cstheme="minorHAnsi"/>
          <w:b/>
          <w:bCs/>
          <w:sz w:val="24"/>
          <w:szCs w:val="24"/>
        </w:rPr>
        <w:t>zadanie</w:t>
      </w:r>
      <w:r w:rsidR="003A34AB">
        <w:rPr>
          <w:rFonts w:cstheme="minorHAnsi"/>
          <w:b/>
          <w:bCs/>
          <w:sz w:val="24"/>
          <w:szCs w:val="24"/>
        </w:rPr>
        <w:t xml:space="preserve"> </w:t>
      </w:r>
      <w:r w:rsidR="000B5042">
        <w:rPr>
          <w:rFonts w:cstheme="minorHAnsi"/>
          <w:b/>
          <w:bCs/>
          <w:sz w:val="24"/>
          <w:szCs w:val="24"/>
        </w:rPr>
        <w:t>3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.272</w:t>
      </w:r>
      <w:r w:rsidR="00E255F8">
        <w:rPr>
          <w:rFonts w:eastAsia="Calibri" w:cstheme="minorHAnsi"/>
          <w:b/>
          <w:sz w:val="24"/>
          <w:szCs w:val="24"/>
          <w:lang w:eastAsia="en-US"/>
        </w:rPr>
        <w:t>.</w:t>
      </w:r>
      <w:r w:rsidR="000B5042">
        <w:rPr>
          <w:rFonts w:eastAsia="Calibri" w:cstheme="minorHAnsi"/>
          <w:b/>
          <w:sz w:val="24"/>
          <w:szCs w:val="24"/>
          <w:lang w:eastAsia="en-US"/>
        </w:rPr>
        <w:t>10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.2023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 xml:space="preserve">Rozdziale XI 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359E" w14:textId="7146024B" w:rsidR="003A34AB" w:rsidRDefault="003A34AB" w:rsidP="003A34AB">
    <w:pPr>
      <w:pStyle w:val="Nagwek"/>
      <w:jc w:val="center"/>
    </w:pPr>
    <w:r>
      <w:rPr>
        <w:noProof/>
      </w:rPr>
      <w:drawing>
        <wp:inline distT="0" distB="0" distL="0" distR="0" wp14:anchorId="19530784" wp14:editId="40F77B67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B5042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63EC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D7B1C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34AB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967AA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55F8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2D54-D3E7-40D5-89AB-B10D7D90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37</cp:revision>
  <cp:lastPrinted>2021-02-19T12:46:00Z</cp:lastPrinted>
  <dcterms:created xsi:type="dcterms:W3CDTF">2021-02-19T13:30:00Z</dcterms:created>
  <dcterms:modified xsi:type="dcterms:W3CDTF">2023-08-02T07:54:00Z</dcterms:modified>
</cp:coreProperties>
</file>