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63" w:rsidRDefault="00544763" w:rsidP="00544763">
      <w:pPr>
        <w:tabs>
          <w:tab w:val="left" w:pos="709"/>
        </w:tabs>
        <w:spacing w:after="120" w:line="252" w:lineRule="auto"/>
        <w:ind w:left="709" w:firstLine="0"/>
        <w:rPr>
          <w:rFonts w:ascii="Verdana" w:hAnsi="Verdana"/>
          <w:b/>
          <w:color w:val="000000"/>
          <w:sz w:val="17"/>
          <w:szCs w:val="17"/>
        </w:rPr>
      </w:pPr>
    </w:p>
    <w:p w:rsidR="00544763" w:rsidRDefault="00FA649A" w:rsidP="00544763">
      <w:pPr>
        <w:tabs>
          <w:tab w:val="left" w:pos="709"/>
        </w:tabs>
        <w:spacing w:after="120" w:line="252" w:lineRule="auto"/>
        <w:ind w:left="709" w:firstLine="0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  <w:t>Załącznik nr 10</w:t>
      </w:r>
    </w:p>
    <w:p w:rsidR="00FA649A" w:rsidRDefault="00FA649A" w:rsidP="00544763">
      <w:pPr>
        <w:tabs>
          <w:tab w:val="left" w:pos="709"/>
        </w:tabs>
        <w:spacing w:after="120" w:line="252" w:lineRule="auto"/>
        <w:ind w:left="709" w:firstLine="0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  <w:t>Nr wew. postęp.31/24</w:t>
      </w:r>
    </w:p>
    <w:p w:rsidR="00FA649A" w:rsidRDefault="00FA649A" w:rsidP="00544763">
      <w:pPr>
        <w:tabs>
          <w:tab w:val="left" w:pos="709"/>
        </w:tabs>
        <w:spacing w:after="120" w:line="252" w:lineRule="auto"/>
        <w:ind w:left="709" w:firstLine="0"/>
        <w:rPr>
          <w:rFonts w:ascii="Verdana" w:hAnsi="Verdana"/>
          <w:b/>
          <w:color w:val="000000"/>
          <w:sz w:val="17"/>
          <w:szCs w:val="17"/>
        </w:rPr>
      </w:pPr>
      <w:bookmarkStart w:id="0" w:name="_GoBack"/>
      <w:bookmarkEnd w:id="0"/>
    </w:p>
    <w:p w:rsidR="00544763" w:rsidRDefault="00544763" w:rsidP="00544763">
      <w:pPr>
        <w:tabs>
          <w:tab w:val="left" w:pos="709"/>
        </w:tabs>
        <w:spacing w:after="120" w:line="252" w:lineRule="auto"/>
        <w:ind w:left="709" w:firstLine="0"/>
        <w:jc w:val="center"/>
        <w:rPr>
          <w:rFonts w:ascii="Verdana" w:hAnsi="Verdana"/>
          <w:b/>
          <w:color w:val="000000"/>
          <w:sz w:val="17"/>
          <w:szCs w:val="17"/>
        </w:rPr>
      </w:pPr>
      <w:r w:rsidRPr="00254A08">
        <w:rPr>
          <w:rFonts w:ascii="Verdana" w:hAnsi="Verdana"/>
          <w:b/>
          <w:color w:val="000000"/>
          <w:sz w:val="17"/>
          <w:szCs w:val="17"/>
        </w:rPr>
        <w:t>OPIS PRZEDMIOTU ZAMÓWIENIA</w:t>
      </w:r>
    </w:p>
    <w:p w:rsidR="00544763" w:rsidRPr="00254A08" w:rsidRDefault="00544763" w:rsidP="00544763">
      <w:pPr>
        <w:tabs>
          <w:tab w:val="left" w:pos="709"/>
        </w:tabs>
        <w:spacing w:after="120" w:line="252" w:lineRule="auto"/>
        <w:ind w:left="709" w:firstLine="0"/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544763" w:rsidRPr="00105EEE" w:rsidRDefault="00544763" w:rsidP="00544763">
      <w:pPr>
        <w:numPr>
          <w:ilvl w:val="1"/>
          <w:numId w:val="1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color w:val="000000"/>
          <w:sz w:val="17"/>
          <w:szCs w:val="17"/>
        </w:rPr>
      </w:pPr>
      <w:bookmarkStart w:id="1" w:name="OLE_LINK1"/>
      <w:bookmarkStart w:id="2" w:name="OLE_LINK4"/>
      <w:r w:rsidRPr="00254A08">
        <w:rPr>
          <w:rFonts w:ascii="Verdana" w:hAnsi="Verdana" w:cs="Tahoma"/>
          <w:color w:val="000000"/>
          <w:sz w:val="17"/>
          <w:szCs w:val="17"/>
        </w:rPr>
        <w:t>Przedmiotem zamówienia jest</w:t>
      </w:r>
      <w:r w:rsidRPr="00254A08">
        <w:rPr>
          <w:rFonts w:ascii="Verdana" w:hAnsi="Verdana"/>
          <w:color w:val="000000"/>
          <w:sz w:val="17"/>
          <w:szCs w:val="17"/>
        </w:rPr>
        <w:t xml:space="preserve"> dzierżawa łączy telekomunikacyjnych </w:t>
      </w:r>
      <w:r>
        <w:rPr>
          <w:rFonts w:ascii="Verdana" w:hAnsi="Verdana"/>
          <w:color w:val="000000"/>
          <w:sz w:val="17"/>
          <w:szCs w:val="17"/>
        </w:rPr>
        <w:t>Ethernet L2 typu A-wielopunkt i B-punkt zakończonych routerem brzegowym i przełącznikiem sieciowym o</w:t>
      </w:r>
      <w:r w:rsidRPr="00254A08">
        <w:rPr>
          <w:rFonts w:ascii="Verdana" w:hAnsi="Verdana"/>
          <w:color w:val="000000"/>
          <w:sz w:val="17"/>
          <w:szCs w:val="17"/>
        </w:rPr>
        <w:t xml:space="preserve">d </w:t>
      </w:r>
      <w:r>
        <w:rPr>
          <w:rFonts w:ascii="Verdana" w:hAnsi="Verdana"/>
          <w:color w:val="000000"/>
          <w:sz w:val="17"/>
          <w:szCs w:val="17"/>
        </w:rPr>
        <w:t>O</w:t>
      </w:r>
      <w:r w:rsidRPr="00254A08">
        <w:rPr>
          <w:rFonts w:ascii="Verdana" w:hAnsi="Verdana"/>
          <w:color w:val="000000"/>
          <w:sz w:val="17"/>
          <w:szCs w:val="17"/>
        </w:rPr>
        <w:t>peratora</w:t>
      </w:r>
      <w:r w:rsidRPr="00F2054D">
        <w:rPr>
          <w:rFonts w:ascii="Verdana" w:hAnsi="Verdana"/>
          <w:color w:val="000000"/>
          <w:sz w:val="17"/>
          <w:szCs w:val="17"/>
        </w:rPr>
        <w:t xml:space="preserve"> </w:t>
      </w:r>
      <w:r w:rsidRPr="00254A08">
        <w:rPr>
          <w:rFonts w:ascii="Verdana" w:hAnsi="Verdana"/>
          <w:color w:val="000000"/>
          <w:sz w:val="17"/>
          <w:szCs w:val="17"/>
        </w:rPr>
        <w:t>przez Komendę Wojewódzką Policji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r w:rsidRPr="00254A08">
        <w:rPr>
          <w:rFonts w:ascii="Verdana" w:hAnsi="Verdana"/>
          <w:color w:val="000000"/>
          <w:sz w:val="17"/>
          <w:szCs w:val="17"/>
        </w:rPr>
        <w:t xml:space="preserve">w </w:t>
      </w:r>
      <w:r>
        <w:rPr>
          <w:rFonts w:ascii="Verdana" w:hAnsi="Verdana"/>
          <w:color w:val="000000"/>
          <w:sz w:val="17"/>
          <w:szCs w:val="17"/>
        </w:rPr>
        <w:t>Radomiu</w:t>
      </w:r>
      <w:r w:rsidRPr="00254A08"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 xml:space="preserve"> Łącza mogą być wykonane w technologii optycznej, miedzianej i radiowej. </w:t>
      </w:r>
      <w:r>
        <w:rPr>
          <w:rFonts w:ascii="Verdana" w:hAnsi="Verdana"/>
          <w:color w:val="000000"/>
          <w:sz w:val="17"/>
          <w:szCs w:val="17"/>
        </w:rPr>
        <w:br/>
        <w:t>W przypadku realizacji połączenia w technologii radiowej Wykonawca sporządzi i przedstawi do zatwierdzenia Zamawiającemu projekt instalacyjny każdego łącza odrębnie.</w:t>
      </w:r>
      <w:r w:rsidRPr="00254A08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Łącza będą wchodzić w skład systemu OST112 opartego wyłącznie na urządzeniach firmy CISCO i staną się jego integralną częścią.</w:t>
      </w:r>
    </w:p>
    <w:p w:rsidR="00544763" w:rsidRPr="00716DDE" w:rsidRDefault="00544763" w:rsidP="00544763">
      <w:pPr>
        <w:numPr>
          <w:ilvl w:val="1"/>
          <w:numId w:val="1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716DDE">
        <w:rPr>
          <w:rFonts w:ascii="Verdana" w:hAnsi="Verdana"/>
          <w:sz w:val="17"/>
          <w:szCs w:val="17"/>
        </w:rPr>
        <w:t xml:space="preserve">Wykonawca w terminie </w:t>
      </w:r>
      <w:r w:rsidRPr="001123F8">
        <w:rPr>
          <w:rFonts w:ascii="Verdana" w:hAnsi="Verdana"/>
          <w:sz w:val="17"/>
          <w:szCs w:val="17"/>
        </w:rPr>
        <w:t>0</w:t>
      </w:r>
      <w:r w:rsidR="003E3EC0" w:rsidRPr="001123F8">
        <w:rPr>
          <w:rFonts w:ascii="Verdana" w:hAnsi="Verdana"/>
          <w:sz w:val="17"/>
          <w:szCs w:val="17"/>
        </w:rPr>
        <w:t>2</w:t>
      </w:r>
      <w:r w:rsidRPr="001123F8">
        <w:rPr>
          <w:rFonts w:ascii="Verdana" w:hAnsi="Verdana"/>
          <w:sz w:val="17"/>
          <w:szCs w:val="17"/>
        </w:rPr>
        <w:t>.10.202</w:t>
      </w:r>
      <w:r w:rsidR="00D24544" w:rsidRPr="001123F8">
        <w:rPr>
          <w:rFonts w:ascii="Verdana" w:hAnsi="Verdana"/>
          <w:sz w:val="17"/>
          <w:szCs w:val="17"/>
        </w:rPr>
        <w:t>4</w:t>
      </w:r>
      <w:r w:rsidRPr="00D24544">
        <w:rPr>
          <w:rFonts w:ascii="Verdana" w:hAnsi="Verdana"/>
          <w:color w:val="FF0000"/>
          <w:sz w:val="17"/>
          <w:szCs w:val="17"/>
        </w:rPr>
        <w:t xml:space="preserve"> </w:t>
      </w:r>
      <w:r w:rsidRPr="00716DDE">
        <w:rPr>
          <w:rFonts w:ascii="Verdana" w:hAnsi="Verdana"/>
          <w:sz w:val="17"/>
          <w:szCs w:val="17"/>
        </w:rPr>
        <w:t>uruchomi łącza L2 Ethernet w relacjach podanych w tabeli 1 w załączniku 1a-1d o przepły</w:t>
      </w:r>
      <w:r w:rsidR="00D20CD0">
        <w:rPr>
          <w:rFonts w:ascii="Verdana" w:hAnsi="Verdana"/>
          <w:sz w:val="17"/>
          <w:szCs w:val="17"/>
        </w:rPr>
        <w:t>wności określonej w kolumnie 4 oraz łącza analogowe określone w załączniku 1e.</w:t>
      </w:r>
    </w:p>
    <w:p w:rsidR="00544763" w:rsidRPr="00406C2C" w:rsidRDefault="00544763" w:rsidP="00544763">
      <w:pPr>
        <w:numPr>
          <w:ilvl w:val="1"/>
          <w:numId w:val="1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color w:val="000000"/>
          <w:sz w:val="17"/>
          <w:szCs w:val="17"/>
        </w:rPr>
      </w:pPr>
      <w:r w:rsidRPr="00406C2C">
        <w:rPr>
          <w:rFonts w:ascii="Verdana" w:hAnsi="Verdana"/>
          <w:color w:val="000000"/>
          <w:sz w:val="17"/>
          <w:szCs w:val="17"/>
        </w:rPr>
        <w:t>Wymagania techniczne i jakościowe łączy L2 Ethernet:</w:t>
      </w:r>
    </w:p>
    <w:p w:rsidR="00544763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a) Łącza symetryczne typu wielopunkt (agregujące) zlokalizowane w KWP Radom, KMP Płock, KMP Ostrołęka </w:t>
      </w:r>
      <w:r w:rsidR="009776D5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 xml:space="preserve">i KMP Siedlce z gwarancją przepływności CIR o przepustowości nie mniejszej niż suma przepustowości agregowanych łączy, zakończone w technologii optycznej (1310nm SM Duplex) </w:t>
      </w:r>
      <w:proofErr w:type="spellStart"/>
      <w:r>
        <w:rPr>
          <w:rFonts w:ascii="Verdana" w:hAnsi="Verdana"/>
          <w:color w:val="000000"/>
          <w:sz w:val="17"/>
          <w:szCs w:val="17"/>
        </w:rPr>
        <w:t>Trunk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802.1Q</w:t>
      </w:r>
    </w:p>
    <w:p w:rsidR="00544763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b) Łącza symetryczne typu wielopunkt, muszą być redundantne, czyli posiadać zapasowe pary światłowodowe oraz zapasowe urządzenia końcowe, które automatyczne będą się przełączać w razie awarii jednego z nich.</w:t>
      </w:r>
      <w:r w:rsidR="009755D7">
        <w:rPr>
          <w:rFonts w:ascii="Verdana" w:hAnsi="Verdana"/>
          <w:color w:val="000000"/>
          <w:sz w:val="17"/>
          <w:szCs w:val="17"/>
        </w:rPr>
        <w:t xml:space="preserve"> </w:t>
      </w:r>
      <w:r w:rsidR="009755D7" w:rsidRPr="009755D7">
        <w:rPr>
          <w:rFonts w:ascii="Verdana" w:hAnsi="Verdana"/>
          <w:color w:val="000000"/>
          <w:sz w:val="17"/>
          <w:szCs w:val="17"/>
        </w:rPr>
        <w:t>Muszą być cały czas aktywne i mogą równolegle przenosić ruch sieciowy, a w razie awarii jednego z nich to działające urządzenie ma przejąć cały ruch sieciowy bez większej odczuwalnej przerwy dla użytkownika końcowego.</w:t>
      </w:r>
    </w:p>
    <w:p w:rsidR="00544763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c) Łącza symetryczne typu punkt z gwarancją przepływności CIR 30Mbit/s i 50Mbit/s, zakończone routerem ISR oraz przełącznikiem sieciowym 24 portowym z </w:t>
      </w:r>
      <w:proofErr w:type="spellStart"/>
      <w:r>
        <w:rPr>
          <w:rFonts w:ascii="Verdana" w:hAnsi="Verdana"/>
          <w:color w:val="000000"/>
          <w:sz w:val="17"/>
          <w:szCs w:val="17"/>
        </w:rPr>
        <w:t>PoE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+ min. 370W lub 48 portowym z </w:t>
      </w:r>
      <w:proofErr w:type="spellStart"/>
      <w:r>
        <w:rPr>
          <w:rFonts w:ascii="Verdana" w:hAnsi="Verdana"/>
          <w:color w:val="000000"/>
          <w:sz w:val="17"/>
          <w:szCs w:val="17"/>
        </w:rPr>
        <w:t>PoE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+ min. 740W (zgodnie z </w:t>
      </w:r>
      <w:r w:rsidRPr="00A25D87">
        <w:rPr>
          <w:rFonts w:ascii="Verdana" w:hAnsi="Verdana"/>
          <w:color w:val="000000"/>
          <w:sz w:val="17"/>
          <w:szCs w:val="17"/>
        </w:rPr>
        <w:t xml:space="preserve">tabelami w załącznikach </w:t>
      </w:r>
      <w:r w:rsidRPr="00406C2C">
        <w:rPr>
          <w:rFonts w:ascii="Verdana" w:hAnsi="Verdana"/>
          <w:sz w:val="17"/>
          <w:szCs w:val="17"/>
        </w:rPr>
        <w:t xml:space="preserve">1a-1d). </w:t>
      </w:r>
    </w:p>
    <w:p w:rsidR="00544763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d) Łącze ma spełniać standardy opisane w normie IEEE 802.3</w:t>
      </w:r>
    </w:p>
    <w:p w:rsidR="00544763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e) Łącza mają być zrealizowane w warstwie 2 modelu ISO/OSI i być przeźroczyste dla warstwy 2 i warstw wyższych  </w:t>
      </w:r>
    </w:p>
    <w:p w:rsidR="00544763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f) Łącza muszą obsługiwać technologię </w:t>
      </w:r>
      <w:proofErr w:type="spellStart"/>
      <w:r>
        <w:rPr>
          <w:rFonts w:ascii="Verdana" w:hAnsi="Verdana"/>
          <w:color w:val="000000"/>
          <w:sz w:val="17"/>
          <w:szCs w:val="17"/>
        </w:rPr>
        <w:t>QinQ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(IEEE 802.1ad), ustalanie numeracji VLAN w porozumieniu</w:t>
      </w:r>
    </w:p>
    <w:p w:rsidR="00544763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 Zamawiającym</w:t>
      </w:r>
    </w:p>
    <w:p w:rsidR="00544763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g) minimalne MTU: 1534 Bajtów</w:t>
      </w:r>
    </w:p>
    <w:p w:rsidR="00544763" w:rsidRPr="007B2D32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color w:val="000000"/>
          <w:sz w:val="17"/>
          <w:szCs w:val="17"/>
          <w:lang w:val="en-US"/>
        </w:rPr>
        <w:t>h</w:t>
      </w:r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)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Parametr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RTD (round-trip delay time) &lt; 60ms,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utrata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pakietów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&lt; 0.1%</w:t>
      </w:r>
    </w:p>
    <w:p w:rsidR="00544763" w:rsidRDefault="00544763" w:rsidP="00544763">
      <w:pPr>
        <w:tabs>
          <w:tab w:val="left" w:pos="709"/>
        </w:tabs>
        <w:spacing w:after="100"/>
        <w:ind w:left="720" w:firstLine="0"/>
        <w:contextualSpacing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i) urządzenia wykonawcy w celu zarządzania nie mogą korzystać z pasma dzierżawionego łącza</w:t>
      </w:r>
    </w:p>
    <w:p w:rsidR="00544763" w:rsidRDefault="00544763" w:rsidP="00544763">
      <w:pPr>
        <w:tabs>
          <w:tab w:val="left" w:pos="709"/>
        </w:tabs>
        <w:spacing w:after="100"/>
        <w:contextualSpacing/>
        <w:rPr>
          <w:rFonts w:ascii="Verdana" w:hAnsi="Verdana"/>
          <w:color w:val="000000"/>
          <w:sz w:val="17"/>
          <w:szCs w:val="17"/>
        </w:rPr>
      </w:pPr>
    </w:p>
    <w:p w:rsidR="00544763" w:rsidRDefault="00544763" w:rsidP="00544763">
      <w:pPr>
        <w:numPr>
          <w:ilvl w:val="1"/>
          <w:numId w:val="1"/>
        </w:numPr>
        <w:tabs>
          <w:tab w:val="left" w:pos="709"/>
        </w:tabs>
        <w:spacing w:after="100" w:line="252" w:lineRule="auto"/>
        <w:rPr>
          <w:rFonts w:ascii="Verdana" w:hAnsi="Verdana"/>
          <w:color w:val="000000"/>
          <w:sz w:val="17"/>
          <w:szCs w:val="17"/>
        </w:rPr>
      </w:pPr>
      <w:r w:rsidRPr="00AD748A">
        <w:rPr>
          <w:rFonts w:ascii="Verdana" w:hAnsi="Verdana"/>
          <w:color w:val="000000"/>
          <w:sz w:val="17"/>
          <w:szCs w:val="17"/>
        </w:rPr>
        <w:t>Wymaganie techniczne i funk</w:t>
      </w:r>
      <w:r>
        <w:rPr>
          <w:rFonts w:ascii="Verdana" w:hAnsi="Verdana"/>
          <w:color w:val="000000"/>
          <w:sz w:val="17"/>
          <w:szCs w:val="17"/>
        </w:rPr>
        <w:t>cjonalne dla routera brzegowego.</w:t>
      </w:r>
    </w:p>
    <w:p w:rsidR="00544763" w:rsidRDefault="00544763" w:rsidP="00544763">
      <w:pPr>
        <w:tabs>
          <w:tab w:val="left" w:pos="709"/>
        </w:tabs>
        <w:spacing w:after="100" w:line="252" w:lineRule="auto"/>
        <w:ind w:left="786" w:firstLine="0"/>
        <w:rPr>
          <w:rFonts w:ascii="Verdana" w:hAnsi="Verdana"/>
          <w:color w:val="000000"/>
          <w:sz w:val="17"/>
          <w:szCs w:val="17"/>
        </w:rPr>
      </w:pPr>
      <w:r w:rsidRPr="00AD748A">
        <w:rPr>
          <w:rFonts w:ascii="Verdana" w:hAnsi="Verdana"/>
          <w:color w:val="000000"/>
          <w:sz w:val="17"/>
          <w:szCs w:val="17"/>
        </w:rPr>
        <w:t>Urządzenie teletransmisyjne ma stanowić zakończenie łącza telekomunikacyjnego i być jego integralną częścią. Wykonawca zakończy łącz</w:t>
      </w:r>
      <w:r>
        <w:rPr>
          <w:rFonts w:ascii="Verdana" w:hAnsi="Verdana"/>
          <w:color w:val="000000"/>
          <w:sz w:val="17"/>
          <w:szCs w:val="17"/>
        </w:rPr>
        <w:t xml:space="preserve">a typu „punkt” (przepustowości 30 i 50 </w:t>
      </w:r>
      <w:proofErr w:type="spellStart"/>
      <w:r>
        <w:rPr>
          <w:rFonts w:ascii="Verdana" w:hAnsi="Verdana"/>
          <w:color w:val="000000"/>
          <w:sz w:val="17"/>
          <w:szCs w:val="17"/>
        </w:rPr>
        <w:t>Mbit</w:t>
      </w:r>
      <w:proofErr w:type="spellEnd"/>
      <w:r>
        <w:rPr>
          <w:rFonts w:ascii="Verdana" w:hAnsi="Verdana"/>
          <w:color w:val="000000"/>
          <w:sz w:val="17"/>
          <w:szCs w:val="17"/>
        </w:rPr>
        <w:t>/s)</w:t>
      </w:r>
      <w:r w:rsidRPr="00AD748A">
        <w:rPr>
          <w:rFonts w:ascii="Verdana" w:hAnsi="Verdana"/>
          <w:color w:val="000000"/>
          <w:sz w:val="17"/>
          <w:szCs w:val="17"/>
        </w:rPr>
        <w:t xml:space="preserve"> urządzeniem teletransmisyjnym Cisco ISR (np. z serii</w:t>
      </w:r>
      <w:r>
        <w:rPr>
          <w:rFonts w:ascii="Verdana" w:hAnsi="Verdana"/>
          <w:color w:val="000000"/>
          <w:sz w:val="17"/>
          <w:szCs w:val="17"/>
        </w:rPr>
        <w:t xml:space="preserve"> 44xx,</w:t>
      </w:r>
      <w:r w:rsidRPr="00AD748A">
        <w:rPr>
          <w:rFonts w:ascii="Verdana" w:hAnsi="Verdana"/>
          <w:color w:val="000000"/>
          <w:sz w:val="17"/>
          <w:szCs w:val="17"/>
        </w:rPr>
        <w:t xml:space="preserve"> 43xx) VSEC/K9</w:t>
      </w:r>
      <w:r w:rsidR="0072645D"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 xml:space="preserve"> U</w:t>
      </w:r>
      <w:r w:rsidRPr="00AD748A">
        <w:rPr>
          <w:rFonts w:ascii="Verdana" w:hAnsi="Verdana"/>
          <w:color w:val="000000"/>
          <w:sz w:val="17"/>
          <w:szCs w:val="17"/>
        </w:rPr>
        <w:t xml:space="preserve">rządzenie teletransmisyjne będące zakończeniem łącza ma działać jako zintegrowany element </w:t>
      </w:r>
      <w:r w:rsidR="005B0BC3">
        <w:rPr>
          <w:rFonts w:ascii="Verdana" w:hAnsi="Verdana"/>
          <w:color w:val="000000"/>
          <w:sz w:val="17"/>
          <w:szCs w:val="17"/>
        </w:rPr>
        <w:t>wdrażanej w Policji sieci OST112</w:t>
      </w:r>
      <w:r w:rsidR="005B0BC3">
        <w:rPr>
          <w:rFonts w:ascii="Verdana" w:hAnsi="Verdana"/>
          <w:color w:val="000000"/>
          <w:sz w:val="17"/>
          <w:szCs w:val="17"/>
        </w:rPr>
        <w:br/>
        <w:t>i</w:t>
      </w:r>
      <w:r w:rsidRPr="00AD748A">
        <w:rPr>
          <w:rFonts w:ascii="Verdana" w:hAnsi="Verdana"/>
          <w:color w:val="000000"/>
          <w:sz w:val="17"/>
          <w:szCs w:val="17"/>
        </w:rPr>
        <w:t xml:space="preserve"> systemu telefonii IP w ramach Sy</w:t>
      </w:r>
      <w:r w:rsidR="00A70784">
        <w:rPr>
          <w:rFonts w:ascii="Verdana" w:hAnsi="Verdana"/>
          <w:color w:val="000000"/>
          <w:sz w:val="17"/>
          <w:szCs w:val="17"/>
        </w:rPr>
        <w:t>stemu Zintegrowanej Komunikacji oraz musi posiadać aktualne oprogramowanie publikowane przez producenta.</w:t>
      </w:r>
    </w:p>
    <w:p w:rsidR="00544763" w:rsidRDefault="00544763" w:rsidP="00544763">
      <w:pPr>
        <w:tabs>
          <w:tab w:val="left" w:pos="709"/>
        </w:tabs>
        <w:spacing w:after="100" w:line="252" w:lineRule="auto"/>
        <w:ind w:left="786" w:firstLine="0"/>
        <w:rPr>
          <w:rFonts w:ascii="Verdana" w:hAnsi="Verdana"/>
          <w:color w:val="000000"/>
          <w:sz w:val="17"/>
          <w:szCs w:val="17"/>
        </w:rPr>
      </w:pPr>
    </w:p>
    <w:p w:rsidR="00544763" w:rsidRPr="00DE2E31" w:rsidRDefault="00544763" w:rsidP="00544763">
      <w:pPr>
        <w:tabs>
          <w:tab w:val="left" w:pos="709"/>
        </w:tabs>
        <w:spacing w:after="100" w:line="252" w:lineRule="auto"/>
        <w:ind w:left="993" w:firstLine="0"/>
        <w:rPr>
          <w:rFonts w:ascii="Verdana" w:hAnsi="Verdana" w:cs="Tahom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4.1 </w:t>
      </w:r>
      <w:r w:rsidRPr="00DE2E31">
        <w:rPr>
          <w:rFonts w:ascii="Verdana" w:hAnsi="Verdana"/>
          <w:sz w:val="17"/>
          <w:szCs w:val="17"/>
        </w:rPr>
        <w:t>Szczegółowe wymagania techniczne urządzenia teletransmisyjnego: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eastAsia="TimesNewRomanPSMT" w:hAnsi="Verdana"/>
          <w:sz w:val="17"/>
          <w:szCs w:val="17"/>
        </w:rPr>
        <w:t xml:space="preserve">urządzenie teletransmisyjne ma być wyposażone w co najmniej 2 interfejsy WAN/LAN RJ-45 10/100/1000 </w:t>
      </w:r>
      <w:proofErr w:type="spellStart"/>
      <w:r w:rsidRPr="00DE2E31">
        <w:rPr>
          <w:rFonts w:ascii="Verdana" w:eastAsia="TimesNewRomanPSMT" w:hAnsi="Verdana"/>
          <w:sz w:val="17"/>
          <w:szCs w:val="17"/>
        </w:rPr>
        <w:t>Mbit</w:t>
      </w:r>
      <w:proofErr w:type="spellEnd"/>
      <w:r w:rsidRPr="00DE2E31">
        <w:rPr>
          <w:rFonts w:ascii="Verdana" w:eastAsia="TimesNewRomanPSMT" w:hAnsi="Verdana"/>
          <w:sz w:val="17"/>
          <w:szCs w:val="17"/>
        </w:rPr>
        <w:t>/s;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 xml:space="preserve">urządzenie teletransmisyjne ma zapewniać obsługę protokołów : Routingu statycznego, OSPF, EIGRP, BGP, BGP Router </w:t>
      </w:r>
      <w:proofErr w:type="spellStart"/>
      <w:r w:rsidRPr="00DE2E31">
        <w:rPr>
          <w:rFonts w:ascii="Verdana" w:hAnsi="Verdana"/>
          <w:sz w:val="17"/>
          <w:szCs w:val="17"/>
        </w:rPr>
        <w:t>Reflector</w:t>
      </w:r>
      <w:proofErr w:type="spellEnd"/>
      <w:r w:rsidRPr="00DE2E31">
        <w:rPr>
          <w:rFonts w:ascii="Verdana" w:hAnsi="Verdana"/>
          <w:sz w:val="17"/>
          <w:szCs w:val="17"/>
        </w:rPr>
        <w:t xml:space="preserve">, IS-IS, IGMPv3, </w:t>
      </w:r>
      <w:proofErr w:type="spellStart"/>
      <w:r w:rsidRPr="00DE2E31">
        <w:rPr>
          <w:rFonts w:ascii="Verdana" w:hAnsi="Verdana"/>
          <w:sz w:val="17"/>
          <w:szCs w:val="17"/>
        </w:rPr>
        <w:t>IPSec</w:t>
      </w:r>
      <w:proofErr w:type="spellEnd"/>
      <w:r w:rsidRPr="00DE2E31">
        <w:rPr>
          <w:rFonts w:ascii="Verdana" w:hAnsi="Verdana"/>
          <w:sz w:val="17"/>
          <w:szCs w:val="17"/>
        </w:rPr>
        <w:t xml:space="preserve">, GRE, 802.1ag, 802.3ah, L3 VPN, SIP, H.323, ETSI, </w:t>
      </w:r>
      <w:proofErr w:type="spellStart"/>
      <w:r w:rsidRPr="00DE2E31">
        <w:rPr>
          <w:rFonts w:ascii="Verdana" w:hAnsi="Verdana"/>
          <w:sz w:val="17"/>
          <w:szCs w:val="17"/>
        </w:rPr>
        <w:t>Q.sig,</w:t>
      </w:r>
      <w:r w:rsidRPr="00DE2E31">
        <w:rPr>
          <w:rFonts w:ascii="Verdana" w:eastAsia="TimesNewRomanPSMT" w:hAnsi="Verdana"/>
          <w:sz w:val="17"/>
          <w:szCs w:val="17"/>
        </w:rPr>
        <w:t>ssh</w:t>
      </w:r>
      <w:proofErr w:type="spellEnd"/>
      <w:r w:rsidRPr="00DE2E31">
        <w:rPr>
          <w:rFonts w:ascii="Verdana" w:eastAsia="TimesNewRomanPSMT" w:hAnsi="Verdana"/>
          <w:sz w:val="17"/>
          <w:szCs w:val="17"/>
        </w:rPr>
        <w:t xml:space="preserve">, http, </w:t>
      </w:r>
      <w:proofErr w:type="spellStart"/>
      <w:r w:rsidRPr="00DE2E31">
        <w:rPr>
          <w:rFonts w:ascii="Verdana" w:eastAsia="TimesNewRomanPSMT" w:hAnsi="Verdana"/>
          <w:sz w:val="17"/>
          <w:szCs w:val="17"/>
        </w:rPr>
        <w:t>snmp</w:t>
      </w:r>
      <w:proofErr w:type="spellEnd"/>
      <w:r w:rsidRPr="00DE2E31">
        <w:rPr>
          <w:rFonts w:ascii="Verdana" w:eastAsia="TimesNewRomanPSMT" w:hAnsi="Verdana"/>
          <w:sz w:val="17"/>
          <w:szCs w:val="17"/>
        </w:rPr>
        <w:t xml:space="preserve">, ACL, NAT, DHCP, Radius, </w:t>
      </w:r>
      <w:proofErr w:type="spellStart"/>
      <w:r w:rsidRPr="00DE2E31">
        <w:rPr>
          <w:rFonts w:ascii="Verdana" w:eastAsia="TimesNewRomanPSMT" w:hAnsi="Verdana"/>
          <w:sz w:val="17"/>
          <w:szCs w:val="17"/>
        </w:rPr>
        <w:t>Tacacs</w:t>
      </w:r>
      <w:proofErr w:type="spellEnd"/>
      <w:r w:rsidRPr="00DE2E31">
        <w:rPr>
          <w:rFonts w:ascii="Verdana" w:eastAsia="TimesNewRomanPSMT" w:hAnsi="Verdana"/>
          <w:sz w:val="17"/>
          <w:szCs w:val="17"/>
        </w:rPr>
        <w:t>+,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eastAsia="TimesNewRomanPSMT" w:hAnsi="Verdana"/>
          <w:sz w:val="17"/>
          <w:szCs w:val="17"/>
        </w:rPr>
        <w:t xml:space="preserve">urządzenie ma umożliwiać zestawianie tuneli </w:t>
      </w:r>
      <w:proofErr w:type="spellStart"/>
      <w:r w:rsidRPr="00DE2E31">
        <w:rPr>
          <w:rFonts w:ascii="Verdana" w:eastAsia="TimesNewRomanPSMT" w:hAnsi="Verdana"/>
          <w:sz w:val="17"/>
          <w:szCs w:val="17"/>
        </w:rPr>
        <w:t>IPSec</w:t>
      </w:r>
      <w:proofErr w:type="spellEnd"/>
      <w:r w:rsidRPr="00DE2E31">
        <w:rPr>
          <w:rFonts w:ascii="Verdana" w:eastAsia="TimesNewRomanPSMT" w:hAnsi="Verdana"/>
          <w:sz w:val="17"/>
          <w:szCs w:val="17"/>
        </w:rPr>
        <w:t xml:space="preserve"> i obsługę szyfrowania ruchu IP, IKE, GET VPN,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eastAsia="TimesNewRomanPSMT" w:hAnsi="Verdana"/>
          <w:sz w:val="17"/>
          <w:szCs w:val="17"/>
        </w:rPr>
        <w:t xml:space="preserve">urządzenie teletransmisyjne musi umożliwiać realizację funkcji bramy głosowej VoIP ze wsparciem protokołów sygnalizacyjnych MGCP, H.323, SIP, realizację funkcji mostka do realizacji wielopunktowych połączeń telefonicznych VoIP oraz </w:t>
      </w:r>
      <w:proofErr w:type="spellStart"/>
      <w:r w:rsidRPr="00DE2E31">
        <w:rPr>
          <w:rFonts w:ascii="Verdana" w:eastAsia="TimesNewRomanPSMT" w:hAnsi="Verdana"/>
          <w:sz w:val="17"/>
          <w:szCs w:val="17"/>
        </w:rPr>
        <w:t>transkodera</w:t>
      </w:r>
      <w:proofErr w:type="spellEnd"/>
      <w:r w:rsidRPr="00DE2E31">
        <w:rPr>
          <w:rFonts w:ascii="Verdana" w:eastAsia="TimesNewRomanPSMT" w:hAnsi="Verdana"/>
          <w:sz w:val="17"/>
          <w:szCs w:val="17"/>
        </w:rPr>
        <w:t xml:space="preserve"> strumieni VoIP; 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eastAsia="TimesNewRomanPSMT" w:hAnsi="Verdana"/>
          <w:sz w:val="17"/>
          <w:szCs w:val="17"/>
        </w:rPr>
        <w:t>urządzenie teletransmisyjne ma zapewniać współpracę z serwerem zestawiającym połączenia głosowe z wykorzystaniem standardów kodowania: G.711, G.729A lub G.723.1 (automatyczny wybór standardu kompresji głosu) oraz wideo z wykorzystaniem standardów kodowania H.261/263/264,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eastAsia="TimesNewRomanPSMT" w:hAnsi="Verdana"/>
          <w:sz w:val="17"/>
          <w:szCs w:val="17"/>
        </w:rPr>
        <w:t>urządzenie teletransmisyjne ma być zasilane ze źródła zmiennoprądowego 230V,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eastAsia="TimesNewRomanPSMT" w:hAnsi="Verdana"/>
          <w:sz w:val="17"/>
          <w:szCs w:val="17"/>
        </w:rPr>
        <w:t>urządzenie teletransmisyjne ma zapewniać poprawną współpracę z urządzeniami  pracującymi w</w:t>
      </w:r>
      <w:r>
        <w:rPr>
          <w:rFonts w:ascii="Verdana" w:eastAsia="TimesNewRomanPSMT" w:hAnsi="Verdana"/>
          <w:sz w:val="17"/>
          <w:szCs w:val="17"/>
        </w:rPr>
        <w:t> </w:t>
      </w:r>
      <w:r w:rsidRPr="00DE2E31">
        <w:rPr>
          <w:rFonts w:ascii="Verdana" w:eastAsia="TimesNewRomanPSMT" w:hAnsi="Verdana"/>
          <w:sz w:val="17"/>
          <w:szCs w:val="17"/>
        </w:rPr>
        <w:t xml:space="preserve">sieci OST112, w tym  współpracować z protokołami komunikacyjnymi </w:t>
      </w:r>
      <w:r>
        <w:rPr>
          <w:rFonts w:ascii="Verdana" w:eastAsia="TimesNewRomanPSMT" w:hAnsi="Verdana"/>
          <w:sz w:val="17"/>
          <w:szCs w:val="17"/>
        </w:rPr>
        <w:br/>
      </w:r>
      <w:r w:rsidRPr="00DE2E31">
        <w:rPr>
          <w:rFonts w:ascii="Verdana" w:eastAsia="TimesNewRomanPSMT" w:hAnsi="Verdana"/>
          <w:sz w:val="17"/>
          <w:szCs w:val="17"/>
        </w:rPr>
        <w:t>i kryptograficznymi (w szczególności EIGRP</w:t>
      </w:r>
      <w:r>
        <w:rPr>
          <w:rFonts w:ascii="Verdana" w:eastAsia="TimesNewRomanPSMT" w:hAnsi="Verdana"/>
          <w:sz w:val="17"/>
          <w:szCs w:val="17"/>
        </w:rPr>
        <w:t>,</w:t>
      </w:r>
      <w:r w:rsidRPr="00DE2E31">
        <w:rPr>
          <w:rFonts w:ascii="Verdana" w:eastAsia="TimesNewRomanPSMT" w:hAnsi="Verdana"/>
          <w:sz w:val="17"/>
          <w:szCs w:val="17"/>
        </w:rPr>
        <w:t xml:space="preserve">  GET VPN</w:t>
      </w:r>
      <w:r>
        <w:rPr>
          <w:rFonts w:ascii="Verdana" w:eastAsia="TimesNewRomanPSMT" w:hAnsi="Verdana"/>
          <w:sz w:val="17"/>
          <w:szCs w:val="17"/>
        </w:rPr>
        <w:t xml:space="preserve"> i VRF</w:t>
      </w:r>
      <w:r w:rsidRPr="00DE2E31">
        <w:rPr>
          <w:rFonts w:ascii="Verdana" w:eastAsia="TimesNewRomanPSMT" w:hAnsi="Verdana"/>
          <w:sz w:val="17"/>
          <w:szCs w:val="17"/>
        </w:rPr>
        <w:t>),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eastAsia="TimesNewRomanPSMT" w:hAnsi="Verdana"/>
          <w:sz w:val="17"/>
          <w:szCs w:val="17"/>
        </w:rPr>
        <w:t>urządzenie teletransmisyjne ma zapewniać poprawną współpracę z systemem nadzoru urządzeń sieci OST112,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 xml:space="preserve">urządzenie teletransmisyjne ma zapewniać poprawną współpracę z wykorzystywaną w KWP </w:t>
      </w:r>
      <w:r>
        <w:rPr>
          <w:rFonts w:ascii="Verdana" w:hAnsi="Verdana"/>
          <w:sz w:val="17"/>
          <w:szCs w:val="17"/>
        </w:rPr>
        <w:t>Radom</w:t>
      </w:r>
      <w:r w:rsidRPr="00DE2E31">
        <w:rPr>
          <w:rFonts w:ascii="Verdana" w:hAnsi="Verdana"/>
          <w:sz w:val="17"/>
          <w:szCs w:val="17"/>
        </w:rPr>
        <w:t xml:space="preserve"> platformą CUCM w wersji 8.6 </w:t>
      </w:r>
      <w:r>
        <w:rPr>
          <w:rFonts w:ascii="Verdana" w:hAnsi="Verdana"/>
          <w:sz w:val="17"/>
          <w:szCs w:val="17"/>
        </w:rPr>
        <w:t xml:space="preserve">oraz wersjami wyższymi </w:t>
      </w:r>
      <w:r w:rsidRPr="00DE2E31">
        <w:rPr>
          <w:rFonts w:ascii="Verdana" w:hAnsi="Verdana"/>
          <w:sz w:val="17"/>
          <w:szCs w:val="17"/>
        </w:rPr>
        <w:t>pod kątem realizacji połączeń głosowych i połączeń wideo za pomocą protokołu H.323,</w:t>
      </w:r>
    </w:p>
    <w:p w:rsidR="00544763" w:rsidRPr="00DE2E31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lastRenderedPageBreak/>
        <w:t xml:space="preserve">urządzenie teletransmisyjne ma być wyposażone w interfejs 4xFXS do obsługi 4 abonentów </w:t>
      </w:r>
      <w:r>
        <w:rPr>
          <w:rFonts w:ascii="Verdana" w:hAnsi="Verdana"/>
          <w:sz w:val="17"/>
          <w:szCs w:val="17"/>
        </w:rPr>
        <w:t>analogowych</w:t>
      </w:r>
    </w:p>
    <w:p w:rsidR="00544763" w:rsidRDefault="00544763" w:rsidP="00544763">
      <w:pPr>
        <w:pStyle w:val="Tekstpodstawowy"/>
        <w:widowControl w:val="0"/>
        <w:numPr>
          <w:ilvl w:val="3"/>
          <w:numId w:val="1"/>
        </w:numPr>
        <w:suppressAutoHyphens/>
        <w:autoSpaceDE w:val="0"/>
        <w:ind w:left="1702" w:hanging="284"/>
        <w:contextualSpacing/>
        <w:rPr>
          <w:rFonts w:ascii="Verdana" w:hAnsi="Verdana"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 xml:space="preserve">urządzenie teletransmisyjne ma zapewniać wydajność Fast/CEF </w:t>
      </w:r>
      <w:proofErr w:type="spellStart"/>
      <w:r w:rsidRPr="00DE2E31">
        <w:rPr>
          <w:rFonts w:ascii="Verdana" w:hAnsi="Verdana"/>
          <w:sz w:val="17"/>
          <w:szCs w:val="17"/>
        </w:rPr>
        <w:t>switching</w:t>
      </w:r>
      <w:proofErr w:type="spellEnd"/>
      <w:r w:rsidRPr="00DE2E31">
        <w:rPr>
          <w:rFonts w:ascii="Verdana" w:hAnsi="Verdana"/>
          <w:sz w:val="17"/>
          <w:szCs w:val="17"/>
        </w:rPr>
        <w:t xml:space="preserve"> na poziomie </w:t>
      </w:r>
      <w:r w:rsidR="005B0BC3">
        <w:rPr>
          <w:rFonts w:ascii="Verdana" w:hAnsi="Verdana"/>
          <w:sz w:val="17"/>
          <w:szCs w:val="17"/>
        </w:rPr>
        <w:t xml:space="preserve">≥50 </w:t>
      </w:r>
      <w:proofErr w:type="spellStart"/>
      <w:r w:rsidR="005B0BC3">
        <w:rPr>
          <w:rFonts w:ascii="Verdana" w:hAnsi="Verdana"/>
          <w:sz w:val="17"/>
          <w:szCs w:val="17"/>
        </w:rPr>
        <w:t>Mb</w:t>
      </w:r>
      <w:proofErr w:type="spellEnd"/>
      <w:r w:rsidR="005B0BC3">
        <w:rPr>
          <w:rFonts w:ascii="Verdana" w:hAnsi="Verdana"/>
          <w:sz w:val="17"/>
          <w:szCs w:val="17"/>
        </w:rPr>
        <w:t>/s</w:t>
      </w:r>
    </w:p>
    <w:p w:rsidR="00544763" w:rsidRDefault="00544763" w:rsidP="00544763">
      <w:pPr>
        <w:pStyle w:val="Tekstpodstawowy"/>
        <w:widowControl w:val="0"/>
        <w:suppressAutoHyphens/>
        <w:autoSpaceDE w:val="0"/>
        <w:rPr>
          <w:rFonts w:ascii="Verdana" w:hAnsi="Verdana"/>
          <w:sz w:val="17"/>
          <w:szCs w:val="17"/>
        </w:rPr>
      </w:pPr>
    </w:p>
    <w:p w:rsidR="00544763" w:rsidRDefault="00544763" w:rsidP="005B0BC3">
      <w:pPr>
        <w:pStyle w:val="Tekstpodstawowy"/>
        <w:widowControl w:val="0"/>
        <w:suppressAutoHyphens/>
        <w:autoSpaceDE w:val="0"/>
        <w:ind w:left="1140" w:firstLine="0"/>
        <w:rPr>
          <w:rFonts w:ascii="Verdana" w:hAnsi="Verdana"/>
          <w:sz w:val="17"/>
          <w:szCs w:val="17"/>
        </w:rPr>
      </w:pPr>
    </w:p>
    <w:p w:rsidR="00544763" w:rsidRDefault="00544763" w:rsidP="00544763">
      <w:pPr>
        <w:ind w:left="1500" w:firstLine="0"/>
        <w:rPr>
          <w:rFonts w:ascii="Verdana" w:hAnsi="Verdana"/>
          <w:sz w:val="17"/>
          <w:szCs w:val="17"/>
        </w:rPr>
      </w:pPr>
    </w:p>
    <w:p w:rsidR="00544763" w:rsidRPr="00922519" w:rsidRDefault="00544763" w:rsidP="00544763">
      <w:pPr>
        <w:numPr>
          <w:ilvl w:val="1"/>
          <w:numId w:val="1"/>
        </w:numPr>
        <w:rPr>
          <w:rFonts w:ascii="Verdana" w:hAnsi="Verdana"/>
          <w:sz w:val="17"/>
          <w:szCs w:val="17"/>
        </w:rPr>
      </w:pPr>
      <w:r w:rsidRPr="00922519">
        <w:rPr>
          <w:rFonts w:ascii="Verdana" w:hAnsi="Verdana"/>
          <w:color w:val="000000"/>
          <w:sz w:val="17"/>
          <w:szCs w:val="17"/>
        </w:rPr>
        <w:t xml:space="preserve">Wymaganie techniczne i funkcjonalne dla </w:t>
      </w:r>
      <w:r>
        <w:rPr>
          <w:rFonts w:ascii="Verdana" w:hAnsi="Verdana"/>
          <w:color w:val="000000"/>
          <w:sz w:val="17"/>
          <w:szCs w:val="17"/>
        </w:rPr>
        <w:t>przełącznika sieciowego</w:t>
      </w:r>
      <w:r w:rsidRPr="00922519">
        <w:rPr>
          <w:rFonts w:ascii="Verdana" w:hAnsi="Verdana"/>
          <w:color w:val="000000"/>
          <w:sz w:val="17"/>
          <w:szCs w:val="17"/>
        </w:rPr>
        <w:t>.</w:t>
      </w:r>
    </w:p>
    <w:p w:rsidR="00544763" w:rsidRDefault="00544763" w:rsidP="00544763">
      <w:pPr>
        <w:rPr>
          <w:rFonts w:ascii="Verdana" w:hAnsi="Verdana"/>
          <w:color w:val="000000"/>
          <w:sz w:val="17"/>
          <w:szCs w:val="17"/>
        </w:rPr>
      </w:pP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5.1 Przełącznik sieciowy </w:t>
      </w:r>
      <w:r>
        <w:rPr>
          <w:rFonts w:ascii="Verdana" w:hAnsi="Verdana"/>
          <w:b/>
          <w:color w:val="000000"/>
          <w:sz w:val="17"/>
          <w:szCs w:val="17"/>
        </w:rPr>
        <w:t>TYP</w:t>
      </w:r>
      <w:r w:rsidRPr="00C32333">
        <w:rPr>
          <w:rFonts w:ascii="Verdana" w:hAnsi="Verdana"/>
          <w:b/>
          <w:color w:val="000000"/>
          <w:sz w:val="17"/>
          <w:szCs w:val="17"/>
        </w:rPr>
        <w:t xml:space="preserve"> 1</w:t>
      </w:r>
      <w:r>
        <w:rPr>
          <w:rFonts w:ascii="Verdana" w:hAnsi="Verdana"/>
          <w:color w:val="000000"/>
          <w:sz w:val="17"/>
          <w:szCs w:val="17"/>
        </w:rPr>
        <w:t>: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a) przełączanie w warstwie L2 </w:t>
      </w:r>
    </w:p>
    <w:p w:rsidR="00544763" w:rsidRPr="007B2D32" w:rsidRDefault="00544763" w:rsidP="00544763">
      <w:pPr>
        <w:ind w:left="1561"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color w:val="000000"/>
          <w:sz w:val="17"/>
          <w:szCs w:val="17"/>
        </w:rPr>
        <w:tab/>
      </w:r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b) minimum 24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interfejsy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10/100/1000Base-T</w:t>
      </w:r>
    </w:p>
    <w:p w:rsidR="00544763" w:rsidRPr="007B2D32" w:rsidRDefault="00544763" w:rsidP="00544763">
      <w:pPr>
        <w:ind w:left="1561"/>
        <w:rPr>
          <w:rFonts w:ascii="Verdana" w:hAnsi="Verdana"/>
          <w:color w:val="000000"/>
          <w:sz w:val="17"/>
          <w:szCs w:val="17"/>
          <w:lang w:val="en-US"/>
        </w:rPr>
      </w:pPr>
      <w:r w:rsidRPr="007B2D32">
        <w:rPr>
          <w:rFonts w:ascii="Verdana" w:hAnsi="Verdana"/>
          <w:color w:val="000000"/>
          <w:sz w:val="17"/>
          <w:szCs w:val="17"/>
          <w:lang w:val="en-US"/>
        </w:rPr>
        <w:tab/>
        <w:t xml:space="preserve">c) minimum 2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interfejsy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10/100/1000Base-T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lub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COMBO 10/100/1000Base-T/SFP</w:t>
      </w:r>
      <w:r w:rsidR="005B0BC3">
        <w:rPr>
          <w:rFonts w:ascii="Verdana" w:hAnsi="Verdana"/>
          <w:color w:val="000000"/>
          <w:sz w:val="17"/>
          <w:szCs w:val="17"/>
          <w:lang w:val="en-US"/>
        </w:rPr>
        <w:t>/SFP+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 w:rsidRPr="007B2D32">
        <w:rPr>
          <w:rFonts w:ascii="Verdana" w:hAnsi="Verdana"/>
          <w:color w:val="000000"/>
          <w:sz w:val="17"/>
          <w:szCs w:val="17"/>
          <w:lang w:val="en-US"/>
        </w:rPr>
        <w:tab/>
      </w:r>
      <w:r>
        <w:rPr>
          <w:rFonts w:ascii="Verdana" w:hAnsi="Verdana"/>
          <w:color w:val="000000"/>
          <w:sz w:val="17"/>
          <w:szCs w:val="17"/>
        </w:rPr>
        <w:t>d) fizyczny interfejs konsoli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e) zasilanie </w:t>
      </w:r>
      <w:proofErr w:type="spellStart"/>
      <w:r>
        <w:rPr>
          <w:rFonts w:ascii="Verdana" w:hAnsi="Verdana"/>
          <w:color w:val="000000"/>
          <w:sz w:val="17"/>
          <w:szCs w:val="17"/>
        </w:rPr>
        <w:t>PoE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+, budżet mocy min. 370W 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>f) rozmiar tablicy MAC-adresów minimum 8000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g) zgodny z obsługą Jumbo </w:t>
      </w:r>
      <w:proofErr w:type="spellStart"/>
      <w:r>
        <w:rPr>
          <w:rFonts w:ascii="Verdana" w:hAnsi="Verdana"/>
          <w:color w:val="000000"/>
          <w:sz w:val="17"/>
          <w:szCs w:val="17"/>
        </w:rPr>
        <w:t>Frames</w:t>
      </w:r>
      <w:proofErr w:type="spellEnd"/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h) obsługa VLAN, ilość aktywnych </w:t>
      </w:r>
      <w:proofErr w:type="spellStart"/>
      <w:r>
        <w:rPr>
          <w:rFonts w:ascii="Verdana" w:hAnsi="Verdana"/>
          <w:color w:val="000000"/>
          <w:sz w:val="17"/>
          <w:szCs w:val="17"/>
        </w:rPr>
        <w:t>VLan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-ów </w:t>
      </w:r>
      <w:proofErr w:type="spellStart"/>
      <w:r>
        <w:rPr>
          <w:rFonts w:ascii="Verdana" w:hAnsi="Verdana"/>
          <w:color w:val="000000"/>
          <w:sz w:val="17"/>
          <w:szCs w:val="17"/>
        </w:rPr>
        <w:t>minium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255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i) przepustowość </w:t>
      </w:r>
      <w:proofErr w:type="spellStart"/>
      <w:r>
        <w:rPr>
          <w:rFonts w:ascii="Verdana" w:hAnsi="Verdana"/>
          <w:color w:val="000000"/>
          <w:sz w:val="17"/>
          <w:szCs w:val="17"/>
        </w:rPr>
        <w:t>przełącznia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minumum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16Gbps, szybkość przełączania minimum 6.5Mpps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>j) pojemność pamięci wewnętrznej minimum 64MB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k) pojemność pamięci FLASH minimum 32MB 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l) zarządzanie przełącznikiem w trybie CLI poprzez port konsoli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m) możliwość odczytu zapisanej konfiguracji urządzenia za pomocą edytora tekstowego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n) obsługa protokołu CDP 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o) o</w:t>
      </w:r>
      <w:r w:rsidRPr="005F0444">
        <w:rPr>
          <w:rFonts w:ascii="Verdana" w:hAnsi="Verdana"/>
          <w:color w:val="000000"/>
          <w:sz w:val="17"/>
          <w:szCs w:val="17"/>
        </w:rPr>
        <w:t>bsługa</w:t>
      </w:r>
      <w:r>
        <w:rPr>
          <w:rFonts w:ascii="Verdana" w:hAnsi="Verdana"/>
          <w:color w:val="000000"/>
          <w:sz w:val="17"/>
          <w:szCs w:val="17"/>
        </w:rPr>
        <w:t xml:space="preserve"> protokołu</w:t>
      </w:r>
      <w:r w:rsidRPr="005F0444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5F0444">
        <w:rPr>
          <w:rFonts w:ascii="Verdana" w:hAnsi="Verdana"/>
          <w:color w:val="000000"/>
          <w:sz w:val="17"/>
          <w:szCs w:val="17"/>
        </w:rPr>
        <w:t>Rapid</w:t>
      </w:r>
      <w:proofErr w:type="spellEnd"/>
      <w:r w:rsidRPr="005F0444">
        <w:rPr>
          <w:rFonts w:ascii="Verdana" w:hAnsi="Verdana"/>
          <w:color w:val="000000"/>
          <w:sz w:val="17"/>
          <w:szCs w:val="17"/>
        </w:rPr>
        <w:t xml:space="preserve"> PVST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p) obsługa Voice </w:t>
      </w:r>
      <w:proofErr w:type="spellStart"/>
      <w:r>
        <w:rPr>
          <w:rFonts w:ascii="Verdana" w:hAnsi="Verdana"/>
          <w:color w:val="000000"/>
          <w:sz w:val="17"/>
          <w:szCs w:val="17"/>
        </w:rPr>
        <w:t>VLan</w:t>
      </w:r>
      <w:proofErr w:type="spellEnd"/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r) instalowany w szafach RACK 1U, zasilanie 230V AC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s) protokoły zdalnego zarządzania  </w:t>
      </w:r>
      <w:r w:rsidRPr="00230CFB">
        <w:rPr>
          <w:rFonts w:ascii="Verdana" w:hAnsi="Verdana"/>
          <w:color w:val="000000"/>
          <w:sz w:val="17"/>
          <w:szCs w:val="17"/>
        </w:rPr>
        <w:t>SNMP 1, RMON1, RMON2, Telnet, SNMP3, SNMP2c, HTTP, TFTP</w:t>
      </w:r>
    </w:p>
    <w:p w:rsidR="00544763" w:rsidRDefault="00544763" w:rsidP="00544763">
      <w:pPr>
        <w:ind w:left="1843" w:hanging="28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t) zgodność z normami: </w:t>
      </w:r>
      <w:r w:rsidRPr="00230CFB">
        <w:rPr>
          <w:rFonts w:ascii="Verdana" w:hAnsi="Verdana"/>
          <w:color w:val="000000"/>
          <w:sz w:val="17"/>
          <w:szCs w:val="17"/>
        </w:rPr>
        <w:t xml:space="preserve">IEEE 802.3, IEEE 802.3u, IEEE 802.3z, IEEE 802.1D, IEEE 802.1Q, IEEE </w:t>
      </w:r>
      <w:r>
        <w:rPr>
          <w:rFonts w:ascii="Verdana" w:hAnsi="Verdana"/>
          <w:color w:val="000000"/>
          <w:sz w:val="17"/>
          <w:szCs w:val="17"/>
        </w:rPr>
        <w:t xml:space="preserve">      </w:t>
      </w:r>
      <w:r w:rsidRPr="00230CFB">
        <w:rPr>
          <w:rFonts w:ascii="Verdana" w:hAnsi="Verdana"/>
          <w:color w:val="000000"/>
          <w:sz w:val="17"/>
          <w:szCs w:val="17"/>
        </w:rPr>
        <w:t>802.3ab, IEEE 802.1p, IEEE 802.3af, IEEE 802.3x, IEEE 802.3ad (LACP), IEEE 802.1w, IEEE 802.1x, IEEE 802.1s, IEEE 802.3ah, IEEE 802.1ab (LLDP)</w:t>
      </w:r>
    </w:p>
    <w:p w:rsidR="00544763" w:rsidRDefault="00544763" w:rsidP="00544763">
      <w:pPr>
        <w:ind w:left="1843" w:hanging="282"/>
        <w:rPr>
          <w:rFonts w:ascii="Verdana" w:hAnsi="Verdana"/>
          <w:color w:val="000000"/>
          <w:sz w:val="17"/>
          <w:szCs w:val="17"/>
        </w:rPr>
      </w:pPr>
    </w:p>
    <w:p w:rsidR="00544763" w:rsidRDefault="00544763" w:rsidP="0054476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  <w:t xml:space="preserve">5.2 Przełącznik sieciowy </w:t>
      </w:r>
      <w:r>
        <w:rPr>
          <w:rFonts w:ascii="Verdana" w:hAnsi="Verdana"/>
          <w:b/>
          <w:color w:val="000000"/>
          <w:sz w:val="17"/>
          <w:szCs w:val="17"/>
        </w:rPr>
        <w:t>TYP</w:t>
      </w:r>
      <w:r w:rsidRPr="00C32333">
        <w:rPr>
          <w:rFonts w:ascii="Verdana" w:hAnsi="Verdana"/>
          <w:b/>
          <w:color w:val="000000"/>
          <w:sz w:val="17"/>
          <w:szCs w:val="17"/>
        </w:rPr>
        <w:t xml:space="preserve"> 2</w:t>
      </w:r>
      <w:r>
        <w:rPr>
          <w:rFonts w:ascii="Verdana" w:hAnsi="Verdana"/>
          <w:color w:val="000000"/>
          <w:sz w:val="17"/>
          <w:szCs w:val="17"/>
        </w:rPr>
        <w:t>: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a) przełączanie w warstwie L2 </w:t>
      </w:r>
    </w:p>
    <w:p w:rsidR="00544763" w:rsidRPr="007B2D32" w:rsidRDefault="00544763" w:rsidP="00544763">
      <w:pPr>
        <w:ind w:left="1561"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color w:val="000000"/>
          <w:sz w:val="17"/>
          <w:szCs w:val="17"/>
        </w:rPr>
        <w:tab/>
      </w:r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b) minimum 48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interfejsów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10/100Base-T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lub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10/100/1000Base-T</w:t>
      </w:r>
    </w:p>
    <w:p w:rsidR="00544763" w:rsidRPr="007B2D32" w:rsidRDefault="00544763" w:rsidP="00544763">
      <w:pPr>
        <w:ind w:left="1561"/>
        <w:rPr>
          <w:rFonts w:ascii="Verdana" w:hAnsi="Verdana"/>
          <w:color w:val="000000"/>
          <w:sz w:val="17"/>
          <w:szCs w:val="17"/>
          <w:lang w:val="en-US"/>
        </w:rPr>
      </w:pPr>
      <w:r w:rsidRPr="007B2D32">
        <w:rPr>
          <w:rFonts w:ascii="Verdana" w:hAnsi="Verdana"/>
          <w:color w:val="000000"/>
          <w:sz w:val="17"/>
          <w:szCs w:val="17"/>
          <w:lang w:val="en-US"/>
        </w:rPr>
        <w:tab/>
        <w:t xml:space="preserve">c) minimum 2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interfejsy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10/100/1000Base-T </w:t>
      </w:r>
      <w:proofErr w:type="spellStart"/>
      <w:r w:rsidRPr="007B2D32">
        <w:rPr>
          <w:rFonts w:ascii="Verdana" w:hAnsi="Verdana"/>
          <w:color w:val="000000"/>
          <w:sz w:val="17"/>
          <w:szCs w:val="17"/>
          <w:lang w:val="en-US"/>
        </w:rPr>
        <w:t>lub</w:t>
      </w:r>
      <w:proofErr w:type="spellEnd"/>
      <w:r w:rsidRPr="007B2D32">
        <w:rPr>
          <w:rFonts w:ascii="Verdana" w:hAnsi="Verdana"/>
          <w:color w:val="000000"/>
          <w:sz w:val="17"/>
          <w:szCs w:val="17"/>
          <w:lang w:val="en-US"/>
        </w:rPr>
        <w:t xml:space="preserve"> COMBO 10/100/1000Base-T/SFP</w:t>
      </w:r>
      <w:r w:rsidR="00253A24">
        <w:rPr>
          <w:rFonts w:ascii="Verdana" w:hAnsi="Verdana"/>
          <w:color w:val="000000"/>
          <w:sz w:val="17"/>
          <w:szCs w:val="17"/>
          <w:lang w:val="en-US"/>
        </w:rPr>
        <w:t>/SFP+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 w:rsidRPr="007B2D32">
        <w:rPr>
          <w:rFonts w:ascii="Verdana" w:hAnsi="Verdana"/>
          <w:color w:val="000000"/>
          <w:sz w:val="17"/>
          <w:szCs w:val="17"/>
          <w:lang w:val="en-US"/>
        </w:rPr>
        <w:tab/>
      </w:r>
      <w:r>
        <w:rPr>
          <w:rFonts w:ascii="Verdana" w:hAnsi="Verdana"/>
          <w:color w:val="000000"/>
          <w:sz w:val="17"/>
          <w:szCs w:val="17"/>
        </w:rPr>
        <w:t>d) fizyczny interfejs konsoli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e) zasilanie </w:t>
      </w:r>
      <w:proofErr w:type="spellStart"/>
      <w:r>
        <w:rPr>
          <w:rFonts w:ascii="Verdana" w:hAnsi="Verdana"/>
          <w:color w:val="000000"/>
          <w:sz w:val="17"/>
          <w:szCs w:val="17"/>
        </w:rPr>
        <w:t>PoE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+, budżet mocy min. 740W 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>f) rozmiar tablicy MAC-adresów minimum 8000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g) zgodny z obsługą Jumbo </w:t>
      </w:r>
      <w:proofErr w:type="spellStart"/>
      <w:r>
        <w:rPr>
          <w:rFonts w:ascii="Verdana" w:hAnsi="Verdana"/>
          <w:color w:val="000000"/>
          <w:sz w:val="17"/>
          <w:szCs w:val="17"/>
        </w:rPr>
        <w:t>Frames</w:t>
      </w:r>
      <w:proofErr w:type="spellEnd"/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h) obsługa VLAN, ilość aktywnych </w:t>
      </w:r>
      <w:proofErr w:type="spellStart"/>
      <w:r>
        <w:rPr>
          <w:rFonts w:ascii="Verdana" w:hAnsi="Verdana"/>
          <w:color w:val="000000"/>
          <w:sz w:val="17"/>
          <w:szCs w:val="17"/>
        </w:rPr>
        <w:t>VLan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-ów </w:t>
      </w:r>
      <w:proofErr w:type="spellStart"/>
      <w:r>
        <w:rPr>
          <w:rFonts w:ascii="Verdana" w:hAnsi="Verdana"/>
          <w:color w:val="000000"/>
          <w:sz w:val="17"/>
          <w:szCs w:val="17"/>
        </w:rPr>
        <w:t>minium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255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 xml:space="preserve">i) przepustowość przełączania </w:t>
      </w:r>
      <w:proofErr w:type="spellStart"/>
      <w:r>
        <w:rPr>
          <w:rFonts w:ascii="Verdana" w:hAnsi="Verdana"/>
          <w:color w:val="000000"/>
          <w:sz w:val="17"/>
          <w:szCs w:val="17"/>
        </w:rPr>
        <w:t>minumum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16Gbps, szybkość przełączania minimum 10Mpps</w:t>
      </w:r>
    </w:p>
    <w:p w:rsidR="00544763" w:rsidRDefault="00544763" w:rsidP="00544763">
      <w:pPr>
        <w:ind w:left="156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ab/>
        <w:t>j) pojemność pamięci wewnętrznej minimum 64MB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k) pojemność pamięci FLASH minimum 32MB 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l) zarządzanie przełącznikiem w trybie CLI poprzez port konsoli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m) możliwość odczytu zapisanej konfiguracji urządzenia za pomocą edytora tekstowego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n) obsługa protokołu CDP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o) o</w:t>
      </w:r>
      <w:r w:rsidRPr="005F0444">
        <w:rPr>
          <w:rFonts w:ascii="Verdana" w:hAnsi="Verdana"/>
          <w:color w:val="000000"/>
          <w:sz w:val="17"/>
          <w:szCs w:val="17"/>
        </w:rPr>
        <w:t>bsługa</w:t>
      </w:r>
      <w:r>
        <w:rPr>
          <w:rFonts w:ascii="Verdana" w:hAnsi="Verdana"/>
          <w:color w:val="000000"/>
          <w:sz w:val="17"/>
          <w:szCs w:val="17"/>
        </w:rPr>
        <w:t xml:space="preserve"> protokołu</w:t>
      </w:r>
      <w:r w:rsidRPr="005F0444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5F0444">
        <w:rPr>
          <w:rFonts w:ascii="Verdana" w:hAnsi="Verdana"/>
          <w:color w:val="000000"/>
          <w:sz w:val="17"/>
          <w:szCs w:val="17"/>
        </w:rPr>
        <w:t>Rapid</w:t>
      </w:r>
      <w:proofErr w:type="spellEnd"/>
      <w:r w:rsidRPr="005F0444">
        <w:rPr>
          <w:rFonts w:ascii="Verdana" w:hAnsi="Verdana"/>
          <w:color w:val="000000"/>
          <w:sz w:val="17"/>
          <w:szCs w:val="17"/>
        </w:rPr>
        <w:t xml:space="preserve"> PVST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p) obsługa Voice </w:t>
      </w:r>
      <w:proofErr w:type="spellStart"/>
      <w:r>
        <w:rPr>
          <w:rFonts w:ascii="Verdana" w:hAnsi="Verdana"/>
          <w:color w:val="000000"/>
          <w:sz w:val="17"/>
          <w:szCs w:val="17"/>
        </w:rPr>
        <w:t>VLan</w:t>
      </w:r>
      <w:proofErr w:type="spellEnd"/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r) instalowany w szafach RACK 1U, zasilanie 230V AC</w:t>
      </w:r>
    </w:p>
    <w:p w:rsidR="00544763" w:rsidRDefault="00544763" w:rsidP="00544763">
      <w:pPr>
        <w:ind w:left="1561" w:firstLine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s) protokoły zdalnego zarządzania  </w:t>
      </w:r>
      <w:r w:rsidRPr="00230CFB">
        <w:rPr>
          <w:rFonts w:ascii="Verdana" w:hAnsi="Verdana"/>
          <w:color w:val="000000"/>
          <w:sz w:val="17"/>
          <w:szCs w:val="17"/>
        </w:rPr>
        <w:t>SNMP 1, RMON1, RMON2, Telnet, SNMP3, SNMP2c, HTTP, TFTP</w:t>
      </w:r>
    </w:p>
    <w:p w:rsidR="00544763" w:rsidRDefault="00544763" w:rsidP="00544763">
      <w:pPr>
        <w:ind w:left="1843" w:hanging="28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t) zgodność z normami: </w:t>
      </w:r>
      <w:r w:rsidRPr="00230CFB">
        <w:rPr>
          <w:rFonts w:ascii="Verdana" w:hAnsi="Verdana"/>
          <w:color w:val="000000"/>
          <w:sz w:val="17"/>
          <w:szCs w:val="17"/>
        </w:rPr>
        <w:t xml:space="preserve">IEEE 802.3, IEEE 802.3u, IEEE 802.3z, IEEE 802.1D, IEEE 802.1Q, IEEE </w:t>
      </w:r>
      <w:r>
        <w:rPr>
          <w:rFonts w:ascii="Verdana" w:hAnsi="Verdana"/>
          <w:color w:val="000000"/>
          <w:sz w:val="17"/>
          <w:szCs w:val="17"/>
        </w:rPr>
        <w:t xml:space="preserve">      </w:t>
      </w:r>
      <w:r w:rsidRPr="00230CFB">
        <w:rPr>
          <w:rFonts w:ascii="Verdana" w:hAnsi="Verdana"/>
          <w:color w:val="000000"/>
          <w:sz w:val="17"/>
          <w:szCs w:val="17"/>
        </w:rPr>
        <w:t>802.3ab, IEEE 802.1p, IEEE 802.3af, IEEE 802.3x, IEEE 802.3ad (LACP), IEEE 802.1w, IEEE 802.1x, IEEE 802.1s, IEEE 802.3ah, IEEE 802.1ab (LLDP)</w:t>
      </w:r>
    </w:p>
    <w:p w:rsidR="00544763" w:rsidRDefault="00544763" w:rsidP="00544763">
      <w:pPr>
        <w:ind w:left="1843" w:hanging="282"/>
        <w:rPr>
          <w:rFonts w:ascii="Verdana" w:hAnsi="Verdana"/>
          <w:color w:val="000000"/>
          <w:sz w:val="17"/>
          <w:szCs w:val="17"/>
        </w:rPr>
      </w:pPr>
    </w:p>
    <w:p w:rsidR="00544763" w:rsidRDefault="00544763" w:rsidP="00544763">
      <w:pPr>
        <w:ind w:left="1560" w:hanging="424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5.3 </w:t>
      </w:r>
      <w:r w:rsidRPr="00F90938">
        <w:rPr>
          <w:rFonts w:ascii="Verdana" w:hAnsi="Verdana"/>
          <w:sz w:val="17"/>
          <w:szCs w:val="17"/>
        </w:rPr>
        <w:t xml:space="preserve">Wykonawca uruchomi i skonfiguruje </w:t>
      </w:r>
      <w:r>
        <w:rPr>
          <w:rFonts w:ascii="Verdana" w:hAnsi="Verdana"/>
          <w:sz w:val="17"/>
          <w:szCs w:val="17"/>
        </w:rPr>
        <w:t>przełącznik sieciowy</w:t>
      </w:r>
      <w:r w:rsidRPr="00F90938">
        <w:rPr>
          <w:rFonts w:ascii="Verdana" w:hAnsi="Verdana"/>
          <w:sz w:val="17"/>
          <w:szCs w:val="17"/>
        </w:rPr>
        <w:t xml:space="preserve"> w stopniu podstawowym umożliwiającym Zamawiającemu sprawdzenie poprawności działania, skonfigurowanie doce</w:t>
      </w:r>
      <w:r>
        <w:rPr>
          <w:rFonts w:ascii="Verdana" w:hAnsi="Verdana"/>
          <w:sz w:val="17"/>
          <w:szCs w:val="17"/>
        </w:rPr>
        <w:t>lowe przełącznika</w:t>
      </w:r>
      <w:r w:rsidRPr="00F90938">
        <w:rPr>
          <w:rFonts w:ascii="Verdana" w:hAnsi="Verdana"/>
          <w:sz w:val="17"/>
          <w:szCs w:val="17"/>
        </w:rPr>
        <w:t xml:space="preserve"> oraz  podłączenie do niego innych urządzeń przez personel Zamawiającego, na minimum czternaście dni przed terminem rozpoczęcia dzierżawy łącza.</w:t>
      </w:r>
    </w:p>
    <w:p w:rsidR="00544763" w:rsidRDefault="00544763" w:rsidP="00544763">
      <w:pPr>
        <w:ind w:left="1560" w:hanging="424"/>
        <w:rPr>
          <w:rFonts w:ascii="Verdana" w:hAnsi="Verdana"/>
          <w:color w:val="000000"/>
          <w:sz w:val="17"/>
          <w:szCs w:val="17"/>
        </w:rPr>
      </w:pPr>
    </w:p>
    <w:p w:rsidR="00544763" w:rsidRDefault="00544763" w:rsidP="00544763">
      <w:pPr>
        <w:ind w:left="1560" w:hanging="424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5.4 </w:t>
      </w:r>
      <w:r w:rsidRPr="00DE2E31">
        <w:rPr>
          <w:rFonts w:ascii="Verdana" w:hAnsi="Verdana"/>
          <w:sz w:val="17"/>
          <w:szCs w:val="17"/>
        </w:rPr>
        <w:t xml:space="preserve">W trakcie dzierżawy łącza </w:t>
      </w:r>
      <w:r>
        <w:rPr>
          <w:rFonts w:ascii="Verdana" w:hAnsi="Verdana"/>
          <w:sz w:val="17"/>
          <w:szCs w:val="17"/>
        </w:rPr>
        <w:t>przełącznik sieciowy zostanie</w:t>
      </w:r>
      <w:r w:rsidRPr="00DE2E31">
        <w:rPr>
          <w:rFonts w:ascii="Verdana" w:hAnsi="Verdana"/>
          <w:sz w:val="17"/>
          <w:szCs w:val="17"/>
        </w:rPr>
        <w:t xml:space="preserve"> dołączon</w:t>
      </w:r>
      <w:r>
        <w:rPr>
          <w:rFonts w:ascii="Verdana" w:hAnsi="Verdana"/>
          <w:sz w:val="17"/>
          <w:szCs w:val="17"/>
        </w:rPr>
        <w:t>y</w:t>
      </w:r>
      <w:r w:rsidRPr="00DE2E31">
        <w:rPr>
          <w:rFonts w:ascii="Verdana" w:hAnsi="Verdana"/>
          <w:sz w:val="17"/>
          <w:szCs w:val="17"/>
        </w:rPr>
        <w:t xml:space="preserve"> do  centralnych systemów zarządzania i autoryzacji wdrożonych w ramach sieci OST112 oraz będzie zarządzan</w:t>
      </w:r>
      <w:r>
        <w:rPr>
          <w:rFonts w:ascii="Verdana" w:hAnsi="Verdana"/>
          <w:sz w:val="17"/>
          <w:szCs w:val="17"/>
        </w:rPr>
        <w:t>y</w:t>
      </w:r>
      <w:r w:rsidRPr="00DE2E31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br/>
      </w:r>
      <w:r w:rsidRPr="00DE2E31">
        <w:rPr>
          <w:rFonts w:ascii="Verdana" w:hAnsi="Verdana"/>
          <w:sz w:val="17"/>
          <w:szCs w:val="17"/>
        </w:rPr>
        <w:t>i administrowane  przez personel Zamawiającego.</w:t>
      </w:r>
    </w:p>
    <w:p w:rsidR="00544763" w:rsidRDefault="00544763" w:rsidP="00544763">
      <w:pPr>
        <w:ind w:left="1560" w:hanging="424"/>
        <w:rPr>
          <w:rFonts w:ascii="Verdana" w:hAnsi="Verdana"/>
          <w:color w:val="000000"/>
          <w:sz w:val="17"/>
          <w:szCs w:val="17"/>
        </w:rPr>
      </w:pPr>
    </w:p>
    <w:p w:rsidR="00544763" w:rsidRDefault="00544763" w:rsidP="00544763">
      <w:pPr>
        <w:ind w:left="1560" w:hanging="424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5.5 </w:t>
      </w:r>
      <w:r>
        <w:rPr>
          <w:rFonts w:ascii="Verdana" w:hAnsi="Verdana"/>
          <w:sz w:val="17"/>
          <w:szCs w:val="17"/>
        </w:rPr>
        <w:t>Przełącznik sieciowy</w:t>
      </w:r>
      <w:r w:rsidRPr="00422D2D">
        <w:rPr>
          <w:rFonts w:ascii="Verdana" w:hAnsi="Verdana"/>
          <w:sz w:val="17"/>
          <w:szCs w:val="17"/>
        </w:rPr>
        <w:t xml:space="preserve"> w trakcie dzierżawy łącza ma być serwisowan</w:t>
      </w:r>
      <w:r>
        <w:rPr>
          <w:rFonts w:ascii="Verdana" w:hAnsi="Verdana"/>
          <w:sz w:val="17"/>
          <w:szCs w:val="17"/>
        </w:rPr>
        <w:t>y</w:t>
      </w:r>
      <w:r w:rsidRPr="00422D2D">
        <w:rPr>
          <w:rFonts w:ascii="Verdana" w:hAnsi="Verdana"/>
          <w:sz w:val="17"/>
          <w:szCs w:val="17"/>
        </w:rPr>
        <w:t xml:space="preserve"> i naprawian</w:t>
      </w:r>
      <w:r>
        <w:rPr>
          <w:rFonts w:ascii="Verdana" w:hAnsi="Verdana"/>
          <w:sz w:val="17"/>
          <w:szCs w:val="17"/>
        </w:rPr>
        <w:t>y</w:t>
      </w:r>
      <w:r w:rsidRPr="00422D2D">
        <w:rPr>
          <w:rFonts w:ascii="Verdana" w:hAnsi="Verdana"/>
          <w:sz w:val="17"/>
          <w:szCs w:val="17"/>
        </w:rPr>
        <w:t xml:space="preserve"> przez Wykonawcę.</w:t>
      </w:r>
    </w:p>
    <w:p w:rsidR="00544763" w:rsidRDefault="00544763" w:rsidP="00544763">
      <w:pPr>
        <w:ind w:left="1560" w:hanging="424"/>
        <w:rPr>
          <w:rFonts w:ascii="Verdana" w:hAnsi="Verdana"/>
          <w:sz w:val="17"/>
          <w:szCs w:val="17"/>
        </w:rPr>
      </w:pPr>
    </w:p>
    <w:p w:rsidR="00544763" w:rsidRPr="00361A40" w:rsidRDefault="00544763" w:rsidP="00544763">
      <w:pPr>
        <w:pStyle w:val="Tekstpodstawowy"/>
        <w:widowControl w:val="0"/>
        <w:numPr>
          <w:ilvl w:val="1"/>
          <w:numId w:val="1"/>
        </w:numPr>
        <w:suppressAutoHyphens/>
        <w:autoSpaceDE w:val="0"/>
        <w:rPr>
          <w:rFonts w:ascii="Verdana" w:hAnsi="Verdana"/>
          <w:sz w:val="17"/>
          <w:szCs w:val="17"/>
        </w:rPr>
      </w:pPr>
      <w:r w:rsidRPr="00361A40">
        <w:rPr>
          <w:rFonts w:ascii="Verdana" w:hAnsi="Verdana"/>
          <w:sz w:val="17"/>
          <w:szCs w:val="17"/>
        </w:rPr>
        <w:t xml:space="preserve">Standardowe wyposażenie (kabel konsolowy, uchwyty do montażu w szafie </w:t>
      </w:r>
      <w:proofErr w:type="spellStart"/>
      <w:r w:rsidRPr="00361A40">
        <w:rPr>
          <w:rFonts w:ascii="Verdana" w:hAnsi="Verdana"/>
          <w:sz w:val="17"/>
          <w:szCs w:val="17"/>
        </w:rPr>
        <w:t>Rack</w:t>
      </w:r>
      <w:proofErr w:type="spellEnd"/>
      <w:r w:rsidRPr="00361A40">
        <w:rPr>
          <w:rFonts w:ascii="Verdana" w:hAnsi="Verdana"/>
          <w:sz w:val="17"/>
          <w:szCs w:val="17"/>
        </w:rPr>
        <w:t>, śruby, dokumentacja, itp.) dostarczone będą przez Wykonawcę</w:t>
      </w:r>
      <w:r>
        <w:rPr>
          <w:rFonts w:ascii="Verdana" w:hAnsi="Verdana"/>
          <w:sz w:val="17"/>
          <w:szCs w:val="17"/>
        </w:rPr>
        <w:t xml:space="preserve">. </w:t>
      </w:r>
      <w:r w:rsidRPr="00361A40">
        <w:rPr>
          <w:rFonts w:ascii="Verdana" w:hAnsi="Verdana"/>
          <w:sz w:val="17"/>
          <w:szCs w:val="17"/>
        </w:rPr>
        <w:t>Zamawiający wymaga, aby dostarczone oprogramowanie było oprogramowaniem w wersji aktualnej (tzn. opublikowanej przez producenta nie wcześniej niż 6 miesięcy) na dzień poprzedzający dzień składania</w:t>
      </w:r>
      <w:r>
        <w:rPr>
          <w:rFonts w:ascii="Verdana" w:hAnsi="Verdana"/>
          <w:sz w:val="17"/>
          <w:szCs w:val="17"/>
        </w:rPr>
        <w:t xml:space="preserve"> ofert</w:t>
      </w:r>
      <w:r w:rsidR="009755D7">
        <w:rPr>
          <w:rFonts w:ascii="Verdana" w:hAnsi="Verdana"/>
          <w:sz w:val="17"/>
          <w:szCs w:val="17"/>
        </w:rPr>
        <w:t xml:space="preserve"> lub Wykonawca zapewni aktualizację do najnowszego oprogramowania na żądanie Zamawiającego.</w:t>
      </w:r>
    </w:p>
    <w:p w:rsidR="00544763" w:rsidRDefault="00544763" w:rsidP="00544763">
      <w:pPr>
        <w:rPr>
          <w:rFonts w:ascii="Verdana" w:hAnsi="Verdana"/>
          <w:color w:val="000000"/>
          <w:sz w:val="17"/>
          <w:szCs w:val="17"/>
        </w:rPr>
      </w:pPr>
    </w:p>
    <w:p w:rsidR="00544763" w:rsidRPr="000B68ED" w:rsidRDefault="00544763" w:rsidP="00544763">
      <w:pPr>
        <w:numPr>
          <w:ilvl w:val="1"/>
          <w:numId w:val="1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0B68ED">
        <w:rPr>
          <w:rFonts w:ascii="Verdana" w:hAnsi="Verdana"/>
          <w:sz w:val="17"/>
          <w:szCs w:val="17"/>
        </w:rPr>
        <w:t>Wymagania techniczne i jakościowe łączy analogowych:</w:t>
      </w:r>
    </w:p>
    <w:p w:rsidR="00544763" w:rsidRPr="000B68ED" w:rsidRDefault="00544763" w:rsidP="00544763">
      <w:pPr>
        <w:tabs>
          <w:tab w:val="left" w:pos="709"/>
        </w:tabs>
        <w:spacing w:after="100" w:line="252" w:lineRule="auto"/>
        <w:ind w:left="1134" w:firstLine="0"/>
        <w:rPr>
          <w:rFonts w:ascii="Verdana" w:hAnsi="Verdana"/>
          <w:sz w:val="17"/>
          <w:szCs w:val="17"/>
        </w:rPr>
      </w:pPr>
      <w:r w:rsidRPr="000B68ED">
        <w:rPr>
          <w:rFonts w:ascii="Verdana" w:hAnsi="Verdana"/>
          <w:sz w:val="17"/>
          <w:szCs w:val="17"/>
        </w:rPr>
        <w:lastRenderedPageBreak/>
        <w:t>7.1 Łącza analogowe dwuprzewodowe standardowej jakości mają być zrealizowane z wykorzystaniem infrastruktury miedzianej i zgodne z normą PN-ETSI EN 300 448     V1.2.1:2002U</w:t>
      </w:r>
    </w:p>
    <w:p w:rsidR="00544763" w:rsidRPr="00DE2E31" w:rsidRDefault="00544763" w:rsidP="00544763">
      <w:pPr>
        <w:numPr>
          <w:ilvl w:val="1"/>
          <w:numId w:val="1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>Wymagania</w:t>
      </w:r>
      <w:r w:rsidRPr="00EB0C7C">
        <w:rPr>
          <w:rFonts w:ascii="Verdana" w:hAnsi="Verdana"/>
          <w:sz w:val="17"/>
          <w:szCs w:val="17"/>
        </w:rPr>
        <w:t xml:space="preserve"> </w:t>
      </w:r>
      <w:r w:rsidRPr="00DE2E31">
        <w:rPr>
          <w:rFonts w:ascii="Verdana" w:hAnsi="Verdana"/>
          <w:sz w:val="17"/>
          <w:szCs w:val="17"/>
        </w:rPr>
        <w:t>dla realizacji usług za pomocą łączy w technologii radiowej:</w:t>
      </w:r>
    </w:p>
    <w:p w:rsidR="00544763" w:rsidRPr="00BE5A42" w:rsidRDefault="00544763" w:rsidP="00544763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100" w:line="252" w:lineRule="auto"/>
        <w:contextualSpacing w:val="0"/>
        <w:jc w:val="both"/>
        <w:rPr>
          <w:rFonts w:ascii="Verdana" w:hAnsi="Verdana"/>
          <w:vanish/>
          <w:sz w:val="17"/>
          <w:szCs w:val="17"/>
          <w:lang w:eastAsia="pl-PL"/>
        </w:rPr>
      </w:pPr>
    </w:p>
    <w:p w:rsidR="00544763" w:rsidRPr="00BE5A42" w:rsidRDefault="00544763" w:rsidP="00544763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100" w:line="252" w:lineRule="auto"/>
        <w:contextualSpacing w:val="0"/>
        <w:jc w:val="both"/>
        <w:rPr>
          <w:rFonts w:ascii="Verdana" w:hAnsi="Verdana"/>
          <w:vanish/>
          <w:sz w:val="17"/>
          <w:szCs w:val="17"/>
          <w:lang w:eastAsia="pl-PL"/>
        </w:rPr>
      </w:pPr>
    </w:p>
    <w:p w:rsidR="00544763" w:rsidRPr="00BE5A42" w:rsidRDefault="00544763" w:rsidP="00544763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100" w:line="252" w:lineRule="auto"/>
        <w:contextualSpacing w:val="0"/>
        <w:jc w:val="both"/>
        <w:rPr>
          <w:rFonts w:ascii="Verdana" w:hAnsi="Verdana"/>
          <w:vanish/>
          <w:sz w:val="17"/>
          <w:szCs w:val="17"/>
          <w:lang w:eastAsia="pl-PL"/>
        </w:rPr>
      </w:pPr>
    </w:p>
    <w:p w:rsidR="00544763" w:rsidRPr="00BE5A42" w:rsidRDefault="00544763" w:rsidP="00544763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100" w:line="252" w:lineRule="auto"/>
        <w:contextualSpacing w:val="0"/>
        <w:jc w:val="both"/>
        <w:rPr>
          <w:rFonts w:ascii="Verdana" w:hAnsi="Verdana"/>
          <w:vanish/>
          <w:sz w:val="17"/>
          <w:szCs w:val="17"/>
          <w:lang w:eastAsia="pl-PL"/>
        </w:rPr>
      </w:pPr>
    </w:p>
    <w:p w:rsidR="00544763" w:rsidRPr="00133960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/>
          <w:b/>
          <w:sz w:val="17"/>
          <w:szCs w:val="17"/>
        </w:rPr>
      </w:pPr>
      <w:r w:rsidRPr="00133960">
        <w:rPr>
          <w:rFonts w:ascii="Verdana" w:hAnsi="Verdana"/>
          <w:sz w:val="17"/>
          <w:szCs w:val="17"/>
        </w:rPr>
        <w:t>Wykonawca musi zapewnić pracę urządzeń radiowych w paśmie licencjonowanym. Przyznane przez UKE częstotliwości radiowe lub kserokopię wniosku o przydzielenie częstotliwości z nadaną przez UKE numeracją, Wykonawca musi przedstawić Zamawiającemu wraz z projektem instalacyjnym.</w:t>
      </w:r>
    </w:p>
    <w:p w:rsidR="00544763" w:rsidRPr="00133960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 xml:space="preserve">Wykonawca musi zapewnić poziom dostępności do łącza radiowego o wartości nie mniejszej niż 99,7% </w:t>
      </w:r>
      <w:r>
        <w:rPr>
          <w:rFonts w:ascii="Verdana" w:hAnsi="Verdana"/>
          <w:sz w:val="17"/>
          <w:szCs w:val="17"/>
        </w:rPr>
        <w:t>/</w:t>
      </w:r>
      <w:r w:rsidRPr="00DE2E31">
        <w:rPr>
          <w:rFonts w:ascii="Verdana" w:hAnsi="Verdana"/>
          <w:sz w:val="17"/>
          <w:szCs w:val="17"/>
        </w:rPr>
        <w:t xml:space="preserve"> rok.</w:t>
      </w:r>
    </w:p>
    <w:p w:rsidR="00544763" w:rsidRPr="00DF3DCF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Zamawiający dopuszcza możliwości posadowienia niepenetrujących elementów konstrukcyjnych urządzeń łącza radiowego na budynkach będących w trwałym zarządzie Policji. W przypadku zastosowania przez Wykonawcę konstrukcji związanych z murem Wykonawca przekaże je na własność Zamawiającego lub po zakończeniu okresu obowiązywania umowy, zdemontuje konstrukcje na własny koszt i przywróci stan techniczny muru sprzed instalacji.</w:t>
      </w:r>
      <w:r>
        <w:rPr>
          <w:rFonts w:ascii="Verdana" w:hAnsi="Verdana"/>
          <w:sz w:val="17"/>
          <w:szCs w:val="17"/>
        </w:rPr>
        <w:t xml:space="preserve"> </w:t>
      </w:r>
    </w:p>
    <w:p w:rsidR="00544763" w:rsidRPr="00DF3DCF" w:rsidRDefault="00544763" w:rsidP="00544763">
      <w:pPr>
        <w:tabs>
          <w:tab w:val="left" w:pos="709"/>
        </w:tabs>
        <w:spacing w:after="100" w:line="252" w:lineRule="auto"/>
        <w:ind w:left="1353" w:firstLine="0"/>
        <w:rPr>
          <w:rFonts w:ascii="Verdana" w:hAnsi="Verdana" w:cs="Tahom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>Instalacja elementów konstrukcyjnych łącza radiowego na budynkach nie będących własnością Policji wymaga uzyskania zgody właściciela obiektu, które to wykonawca musi przedstawić wraz z projektem instalacyjnym.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W przypadku doprowadzenia przez Wykonawcę usługi do obiektu Zamawiającego dla więcej niż jednej relacji za pomocą łączy w technologii radiowej, Zamawiający wymaga zastosowania jednej wspólnej instalacji antenowej dla wszystkich łączy zestawianych drogą radiową przez Wykonawcę do tego obiektu.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Zamawiający wymaga prowadzenia instalacji sygnałowych i zasilających wewnątrz budynków Zamawiającego.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Zamawiający nie wyraża zgody na wykorzystanie dla potrzeb instalacji antenowej łącza radiowego masztów Zamawiającego.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 xml:space="preserve">Urządzenia łącza radiowego nie mogą zakłócać pracy urządzeń Zamawiającego oraz pogarszać zasięgów łączności radiowej Zamawiającego.  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 xml:space="preserve">Wykonawca dla poszczególnych obiektów Zamawiającego musi opracować projekty instalacyjne urządzeń łącza radiowego przewidzianych do instalacji na tych obiektach zawierające rysunki i opis konstrukcji antenowych, linii sygnałowych, zasilających i odgromowych oraz urządzeń aktywnych. 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Dla konstrukcji antenowych przewidywanych do umieszczenia na obiektach Zamawiającego, Wykonawca musi wykonać ekspertyzy wytrzymałościowe potwierdzające możliwość umieszczenia ich na konstrukcji budynku, podpisane przez uprawnionego projektanta. Ekspertyzy Wykonawca musi przedstawić wraz z projektem instalacyjnym.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Wraz z projektem instalacyjnym Wykonawca musi przedstawić obliczenia wykonane zgodnie ze zaleceniem ITU-R P.530 potwierdzające spełnienie wymaganego poziomu dostępności łącza.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Zamawiający wymaga aby Wykonawca wykonał dla urządzeń łącza radiowego strefową ochronę przeciwprzepięciową.</w:t>
      </w:r>
      <w:r w:rsidRPr="00863506">
        <w:rPr>
          <w:rFonts w:ascii="Verdana" w:hAnsi="Verdana"/>
          <w:sz w:val="17"/>
          <w:szCs w:val="17"/>
        </w:rPr>
        <w:t xml:space="preserve"> </w:t>
      </w:r>
      <w:r w:rsidRPr="00DE2E31">
        <w:rPr>
          <w:rFonts w:ascii="Verdana" w:hAnsi="Verdana"/>
          <w:sz w:val="17"/>
          <w:szCs w:val="17"/>
        </w:rPr>
        <w:t>Projekt strefowej ochrony przeciwprzepięciowej Wykonawca musi przedstawić wraz z projektem instalacyjnym</w:t>
      </w:r>
      <w:r>
        <w:rPr>
          <w:rFonts w:ascii="Verdana" w:hAnsi="Verdana"/>
          <w:sz w:val="17"/>
          <w:szCs w:val="17"/>
        </w:rPr>
        <w:t>.</w:t>
      </w:r>
      <w:r w:rsidRPr="00DE2E31">
        <w:rPr>
          <w:rFonts w:ascii="Verdana" w:hAnsi="Verdana"/>
          <w:sz w:val="17"/>
          <w:szCs w:val="17"/>
        </w:rPr>
        <w:t xml:space="preserve"> Zamawiający dopuszcza następujące wartości szczytowe w strefie dla udarów prądowych o kształcie 8μs/20μs:</w:t>
      </w:r>
    </w:p>
    <w:p w:rsidR="00544763" w:rsidRPr="00DE2E31" w:rsidRDefault="00544763" w:rsidP="00544763">
      <w:pPr>
        <w:pStyle w:val="Akapitzlist"/>
        <w:numPr>
          <w:ilvl w:val="3"/>
          <w:numId w:val="4"/>
        </w:numPr>
        <w:suppressAutoHyphens w:val="0"/>
        <w:spacing w:line="360" w:lineRule="auto"/>
        <w:ind w:left="1985" w:hanging="22"/>
        <w:jc w:val="both"/>
        <w:rPr>
          <w:rFonts w:ascii="Verdana" w:hAnsi="Verdana"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 xml:space="preserve">przepięcia w instalacji elektrycznej – 2,5 </w:t>
      </w:r>
      <w:proofErr w:type="spellStart"/>
      <w:r w:rsidRPr="00DE2E31">
        <w:rPr>
          <w:rFonts w:ascii="Verdana" w:hAnsi="Verdana"/>
          <w:sz w:val="17"/>
          <w:szCs w:val="17"/>
        </w:rPr>
        <w:t>kV</w:t>
      </w:r>
      <w:proofErr w:type="spellEnd"/>
      <w:r w:rsidRPr="00DE2E31">
        <w:rPr>
          <w:rFonts w:ascii="Verdana" w:hAnsi="Verdana"/>
          <w:sz w:val="17"/>
          <w:szCs w:val="17"/>
        </w:rPr>
        <w:t>,</w:t>
      </w:r>
    </w:p>
    <w:p w:rsidR="00544763" w:rsidRPr="00DE2E31" w:rsidRDefault="00544763" w:rsidP="00544763">
      <w:pPr>
        <w:pStyle w:val="Akapitzlist"/>
        <w:numPr>
          <w:ilvl w:val="3"/>
          <w:numId w:val="4"/>
        </w:numPr>
        <w:suppressAutoHyphens w:val="0"/>
        <w:spacing w:line="360" w:lineRule="auto"/>
        <w:ind w:left="1985" w:hanging="22"/>
        <w:jc w:val="both"/>
        <w:rPr>
          <w:rFonts w:ascii="Verdana" w:hAnsi="Verdana"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 xml:space="preserve">przepięcia w liniach </w:t>
      </w:r>
      <w:proofErr w:type="spellStart"/>
      <w:r w:rsidRPr="00DE2E31">
        <w:rPr>
          <w:rFonts w:ascii="Verdana" w:hAnsi="Verdana"/>
          <w:sz w:val="17"/>
          <w:szCs w:val="17"/>
        </w:rPr>
        <w:t>przesyłu</w:t>
      </w:r>
      <w:proofErr w:type="spellEnd"/>
      <w:r w:rsidRPr="00DE2E31">
        <w:rPr>
          <w:rFonts w:ascii="Verdana" w:hAnsi="Verdana"/>
          <w:sz w:val="17"/>
          <w:szCs w:val="17"/>
        </w:rPr>
        <w:t xml:space="preserve"> sygnału (przewód-ziemia) – 1 </w:t>
      </w:r>
      <w:proofErr w:type="spellStart"/>
      <w:r w:rsidRPr="00DE2E31">
        <w:rPr>
          <w:rFonts w:ascii="Verdana" w:hAnsi="Verdana"/>
          <w:sz w:val="17"/>
          <w:szCs w:val="17"/>
        </w:rPr>
        <w:t>kV</w:t>
      </w:r>
      <w:proofErr w:type="spellEnd"/>
      <w:r w:rsidRPr="00DE2E31">
        <w:rPr>
          <w:rFonts w:ascii="Verdana" w:hAnsi="Verdana"/>
          <w:sz w:val="17"/>
          <w:szCs w:val="17"/>
        </w:rPr>
        <w:t>,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Projekty instalacyjne dla poszczególnych obiektów wymagają akceptacji przez Zamawiającego.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Wykonawca musi zapewnić szyfrowanie transmisji na drodze radiowej łącza metodą minimum AES256CCM i zarządzaniem kluczami zgodnie z zaleceniem ITUT-X.509.</w:t>
      </w:r>
    </w:p>
    <w:p w:rsidR="00544763" w:rsidRPr="00DE2E31" w:rsidRDefault="00544763" w:rsidP="00544763">
      <w:pPr>
        <w:numPr>
          <w:ilvl w:val="1"/>
          <w:numId w:val="4"/>
        </w:numPr>
        <w:tabs>
          <w:tab w:val="left" w:pos="709"/>
        </w:tabs>
        <w:spacing w:after="100" w:line="252" w:lineRule="auto"/>
        <w:rPr>
          <w:rFonts w:ascii="Verdana" w:hAnsi="Verdana" w:cs="Tahoma"/>
          <w:b/>
          <w:sz w:val="17"/>
          <w:szCs w:val="17"/>
        </w:rPr>
      </w:pPr>
      <w:r w:rsidRPr="00DE2E31">
        <w:rPr>
          <w:rFonts w:ascii="Verdana" w:hAnsi="Verdana"/>
          <w:sz w:val="17"/>
          <w:szCs w:val="17"/>
        </w:rPr>
        <w:t>Zamawiający wymaga aby usługa dzierżawy łącza była dostępna niezależnie od przerw w dostawie energii elektrycznej do obiektów Zamawiającego przez okres minimum trzech godzin od wystąpienia przerwy w dostawie energii.</w:t>
      </w:r>
    </w:p>
    <w:p w:rsidR="00544763" w:rsidRPr="00F96CE3" w:rsidRDefault="00544763" w:rsidP="00544763">
      <w:pPr>
        <w:numPr>
          <w:ilvl w:val="1"/>
          <w:numId w:val="4"/>
        </w:numPr>
        <w:tabs>
          <w:tab w:val="left" w:pos="709"/>
          <w:tab w:val="left" w:pos="1418"/>
        </w:tabs>
        <w:spacing w:after="100" w:line="252" w:lineRule="auto"/>
        <w:ind w:left="1418" w:firstLine="0"/>
        <w:rPr>
          <w:rFonts w:ascii="Verdana" w:hAnsi="Verdana" w:cs="Tahoma"/>
          <w:b/>
          <w:sz w:val="17"/>
          <w:szCs w:val="17"/>
        </w:rPr>
      </w:pPr>
      <w:r w:rsidRPr="00B47A49">
        <w:rPr>
          <w:rFonts w:ascii="Verdana" w:hAnsi="Verdana"/>
          <w:sz w:val="17"/>
          <w:szCs w:val="17"/>
        </w:rPr>
        <w:t>Wykonawca musi zapewnić służbom technicznym Zamawiającego możliwość dostępu do danych statystycznych i utrzymaniowych łącza radiowego min. takich jak parametry transmisyjne.</w:t>
      </w:r>
      <w:bookmarkEnd w:id="1"/>
      <w:bookmarkEnd w:id="2"/>
    </w:p>
    <w:p w:rsidR="00544763" w:rsidRPr="00F96CE3" w:rsidRDefault="00544763" w:rsidP="00544763">
      <w:pPr>
        <w:numPr>
          <w:ilvl w:val="1"/>
          <w:numId w:val="1"/>
        </w:numPr>
        <w:tabs>
          <w:tab w:val="left" w:pos="709"/>
          <w:tab w:val="left" w:pos="1418"/>
        </w:tabs>
        <w:spacing w:after="100" w:line="252" w:lineRule="auto"/>
        <w:rPr>
          <w:rFonts w:ascii="Verdana" w:hAnsi="Verdana" w:cs="Tahoma"/>
          <w:sz w:val="17"/>
          <w:szCs w:val="17"/>
        </w:rPr>
      </w:pPr>
      <w:r w:rsidRPr="00F96CE3">
        <w:rPr>
          <w:rFonts w:ascii="Verdana" w:hAnsi="Verdana" w:cs="Tahoma"/>
          <w:sz w:val="17"/>
          <w:szCs w:val="17"/>
        </w:rPr>
        <w:t xml:space="preserve">Dodatkowe </w:t>
      </w:r>
      <w:r>
        <w:rPr>
          <w:rFonts w:ascii="Verdana" w:hAnsi="Verdana" w:cs="Tahoma"/>
          <w:sz w:val="17"/>
          <w:szCs w:val="17"/>
        </w:rPr>
        <w:t>wymagania związane z koniecznością</w:t>
      </w:r>
      <w:r w:rsidRPr="00F96CE3">
        <w:rPr>
          <w:rFonts w:ascii="Verdana" w:hAnsi="Verdana" w:cs="Tahoma"/>
          <w:sz w:val="17"/>
          <w:szCs w:val="17"/>
        </w:rPr>
        <w:t xml:space="preserve"> zdaln</w:t>
      </w:r>
      <w:r>
        <w:rPr>
          <w:rFonts w:ascii="Verdana" w:hAnsi="Verdana" w:cs="Tahoma"/>
          <w:sz w:val="17"/>
          <w:szCs w:val="17"/>
        </w:rPr>
        <w:t xml:space="preserve">ego dostępu i </w:t>
      </w:r>
      <w:r w:rsidRPr="00F96CE3">
        <w:rPr>
          <w:rFonts w:ascii="Verdana" w:hAnsi="Verdana" w:cs="Tahoma"/>
          <w:sz w:val="17"/>
          <w:szCs w:val="17"/>
        </w:rPr>
        <w:t>nadzor</w:t>
      </w:r>
      <w:r>
        <w:rPr>
          <w:rFonts w:ascii="Verdana" w:hAnsi="Verdana" w:cs="Tahoma"/>
          <w:sz w:val="17"/>
          <w:szCs w:val="17"/>
        </w:rPr>
        <w:t xml:space="preserve">u </w:t>
      </w:r>
      <w:r w:rsidRPr="00F96CE3">
        <w:rPr>
          <w:rFonts w:ascii="Verdana" w:hAnsi="Verdana" w:cs="Tahoma"/>
          <w:sz w:val="17"/>
          <w:szCs w:val="17"/>
        </w:rPr>
        <w:t>nad jednostkami.</w:t>
      </w:r>
    </w:p>
    <w:p w:rsidR="00544763" w:rsidRPr="00BE5A42" w:rsidRDefault="00544763" w:rsidP="00544763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suppressAutoHyphens w:val="0"/>
        <w:spacing w:after="100" w:line="252" w:lineRule="auto"/>
        <w:contextualSpacing w:val="0"/>
        <w:jc w:val="both"/>
        <w:rPr>
          <w:rFonts w:ascii="Verdana" w:hAnsi="Verdana" w:cs="Tahoma"/>
          <w:vanish/>
          <w:sz w:val="17"/>
          <w:szCs w:val="17"/>
          <w:lang w:eastAsia="pl-PL"/>
        </w:rPr>
      </w:pPr>
    </w:p>
    <w:p w:rsidR="00544763" w:rsidRPr="00BE5A42" w:rsidRDefault="00544763" w:rsidP="00544763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suppressAutoHyphens w:val="0"/>
        <w:spacing w:after="100" w:line="252" w:lineRule="auto"/>
        <w:contextualSpacing w:val="0"/>
        <w:jc w:val="both"/>
        <w:rPr>
          <w:rFonts w:ascii="Verdana" w:hAnsi="Verdana" w:cs="Tahoma"/>
          <w:vanish/>
          <w:sz w:val="17"/>
          <w:szCs w:val="17"/>
          <w:lang w:eastAsia="pl-PL"/>
        </w:rPr>
      </w:pPr>
    </w:p>
    <w:p w:rsidR="00544763" w:rsidRPr="00BE5A42" w:rsidRDefault="00544763" w:rsidP="00544763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suppressAutoHyphens w:val="0"/>
        <w:spacing w:after="100" w:line="252" w:lineRule="auto"/>
        <w:contextualSpacing w:val="0"/>
        <w:jc w:val="both"/>
        <w:rPr>
          <w:rFonts w:ascii="Verdana" w:hAnsi="Verdana" w:cs="Tahoma"/>
          <w:vanish/>
          <w:sz w:val="17"/>
          <w:szCs w:val="17"/>
          <w:lang w:eastAsia="pl-PL"/>
        </w:rPr>
      </w:pPr>
    </w:p>
    <w:p w:rsidR="00544763" w:rsidRPr="00BE5A42" w:rsidRDefault="00544763" w:rsidP="00544763">
      <w:pPr>
        <w:pStyle w:val="Akapitzlist"/>
        <w:numPr>
          <w:ilvl w:val="0"/>
          <w:numId w:val="2"/>
        </w:numPr>
        <w:tabs>
          <w:tab w:val="left" w:pos="709"/>
          <w:tab w:val="left" w:pos="1418"/>
        </w:tabs>
        <w:suppressAutoHyphens w:val="0"/>
        <w:spacing w:after="100" w:line="252" w:lineRule="auto"/>
        <w:contextualSpacing w:val="0"/>
        <w:jc w:val="both"/>
        <w:rPr>
          <w:rFonts w:ascii="Verdana" w:hAnsi="Verdana" w:cs="Tahoma"/>
          <w:vanish/>
          <w:sz w:val="17"/>
          <w:szCs w:val="17"/>
          <w:lang w:eastAsia="pl-PL"/>
        </w:rPr>
      </w:pPr>
    </w:p>
    <w:p w:rsidR="00544763" w:rsidRDefault="00544763" w:rsidP="00544763">
      <w:pPr>
        <w:numPr>
          <w:ilvl w:val="1"/>
          <w:numId w:val="2"/>
        </w:numPr>
        <w:tabs>
          <w:tab w:val="left" w:pos="709"/>
          <w:tab w:val="left" w:pos="1418"/>
        </w:tabs>
        <w:spacing w:after="100" w:line="252" w:lineRule="auto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W lokalizacji KWP Radom, wraz z łączem agregowanym Wykonawca zapewni łącze symetryczne ze stałym i nielimitowanym dostępem do sieci Internet o przepustowości CIR 600 </w:t>
      </w:r>
      <w:proofErr w:type="spellStart"/>
      <w:r>
        <w:rPr>
          <w:rFonts w:ascii="Verdana" w:hAnsi="Verdana" w:cs="Tahoma"/>
          <w:sz w:val="17"/>
          <w:szCs w:val="17"/>
        </w:rPr>
        <w:t>Mbit</w:t>
      </w:r>
      <w:proofErr w:type="spellEnd"/>
      <w:r>
        <w:rPr>
          <w:rFonts w:ascii="Verdana" w:hAnsi="Verdana" w:cs="Tahoma"/>
          <w:sz w:val="17"/>
          <w:szCs w:val="17"/>
        </w:rPr>
        <w:t>/s</w:t>
      </w:r>
    </w:p>
    <w:p w:rsidR="00544763" w:rsidRDefault="00544763" w:rsidP="00544763">
      <w:pPr>
        <w:numPr>
          <w:ilvl w:val="1"/>
          <w:numId w:val="2"/>
        </w:numPr>
        <w:tabs>
          <w:tab w:val="left" w:pos="709"/>
          <w:tab w:val="left" w:pos="1418"/>
        </w:tabs>
        <w:spacing w:after="100" w:line="252" w:lineRule="auto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Łącze zakończone w standardzie Ethernet 1000BaseT</w:t>
      </w:r>
    </w:p>
    <w:p w:rsidR="00544763" w:rsidRDefault="00544763" w:rsidP="00544763">
      <w:pPr>
        <w:numPr>
          <w:ilvl w:val="1"/>
          <w:numId w:val="2"/>
        </w:numPr>
        <w:tabs>
          <w:tab w:val="left" w:pos="709"/>
          <w:tab w:val="left" w:pos="1418"/>
        </w:tabs>
        <w:spacing w:after="100" w:line="252" w:lineRule="auto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Na potrzeby Z</w:t>
      </w:r>
      <w:r w:rsidRPr="00627516">
        <w:rPr>
          <w:rFonts w:ascii="Verdana" w:hAnsi="Verdana" w:cs="Tahoma"/>
          <w:sz w:val="17"/>
          <w:szCs w:val="17"/>
        </w:rPr>
        <w:t>amawiającego</w:t>
      </w:r>
      <w:r>
        <w:rPr>
          <w:rFonts w:ascii="Verdana" w:hAnsi="Verdana" w:cs="Tahoma"/>
          <w:sz w:val="17"/>
          <w:szCs w:val="17"/>
        </w:rPr>
        <w:t xml:space="preserve"> zostanie przydzielona pula 16 publicznych adresów IPv4</w:t>
      </w:r>
      <w:r w:rsidRPr="00627516">
        <w:rPr>
          <w:rFonts w:ascii="Verdana" w:hAnsi="Verdana" w:cs="Tahoma"/>
          <w:sz w:val="17"/>
          <w:szCs w:val="17"/>
        </w:rPr>
        <w:t xml:space="preserve"> </w:t>
      </w:r>
      <w:r>
        <w:rPr>
          <w:rFonts w:ascii="Verdana" w:hAnsi="Verdana" w:cs="Tahoma"/>
          <w:sz w:val="17"/>
          <w:szCs w:val="17"/>
        </w:rPr>
        <w:t xml:space="preserve">niepowiązanych </w:t>
      </w:r>
      <w:r w:rsidR="009776D5">
        <w:rPr>
          <w:rFonts w:ascii="Verdana" w:hAnsi="Verdana" w:cs="Tahoma"/>
          <w:sz w:val="17"/>
          <w:szCs w:val="17"/>
        </w:rPr>
        <w:br/>
      </w:r>
      <w:r>
        <w:rPr>
          <w:rFonts w:ascii="Verdana" w:hAnsi="Verdana" w:cs="Tahoma"/>
          <w:sz w:val="17"/>
          <w:szCs w:val="17"/>
        </w:rPr>
        <w:t>z adresami MAC Zamawiającego</w:t>
      </w:r>
    </w:p>
    <w:p w:rsidR="00451741" w:rsidRDefault="00544763" w:rsidP="00451741">
      <w:pPr>
        <w:numPr>
          <w:ilvl w:val="1"/>
          <w:numId w:val="2"/>
        </w:numPr>
        <w:rPr>
          <w:rFonts w:ascii="Verdana" w:hAnsi="Verdana" w:cs="Tahoma"/>
          <w:sz w:val="17"/>
          <w:szCs w:val="17"/>
        </w:rPr>
      </w:pPr>
      <w:r w:rsidRPr="00A37646">
        <w:rPr>
          <w:rFonts w:ascii="Verdana" w:hAnsi="Verdana" w:cs="Tahoma"/>
          <w:sz w:val="17"/>
          <w:szCs w:val="17"/>
        </w:rPr>
        <w:t xml:space="preserve">Dodatkowe, niezbędne urządzenia do prawidłowego działania łącza </w:t>
      </w:r>
      <w:r>
        <w:rPr>
          <w:rFonts w:ascii="Verdana" w:hAnsi="Verdana" w:cs="Tahoma"/>
          <w:sz w:val="17"/>
          <w:szCs w:val="17"/>
        </w:rPr>
        <w:t xml:space="preserve">internetowego </w:t>
      </w:r>
      <w:r w:rsidR="00451741">
        <w:rPr>
          <w:rFonts w:ascii="Verdana" w:hAnsi="Verdana" w:cs="Tahoma"/>
          <w:sz w:val="17"/>
          <w:szCs w:val="17"/>
        </w:rPr>
        <w:t>dostarcza Wykonawca.</w:t>
      </w:r>
    </w:p>
    <w:p w:rsidR="00451741" w:rsidRDefault="00451741" w:rsidP="00451741">
      <w:pPr>
        <w:rPr>
          <w:rFonts w:ascii="Verdana" w:hAnsi="Verdana" w:cs="Tahoma"/>
          <w:sz w:val="17"/>
          <w:szCs w:val="17"/>
        </w:rPr>
      </w:pPr>
    </w:p>
    <w:p w:rsidR="00451741" w:rsidRPr="00451741" w:rsidRDefault="00451741" w:rsidP="00451741">
      <w:pPr>
        <w:numPr>
          <w:ilvl w:val="1"/>
          <w:numId w:val="1"/>
        </w:numPr>
        <w:tabs>
          <w:tab w:val="left" w:pos="709"/>
          <w:tab w:val="left" w:pos="1418"/>
        </w:tabs>
        <w:spacing w:after="100" w:line="252" w:lineRule="auto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 </w:t>
      </w:r>
      <w:r w:rsidRPr="00451741">
        <w:rPr>
          <w:rFonts w:ascii="Verdana" w:hAnsi="Verdana" w:cs="Tahoma"/>
          <w:sz w:val="17"/>
          <w:szCs w:val="17"/>
        </w:rPr>
        <w:t>Wykonawca zapewnieni warunki świadczenia usługi na dzierżawione łącza będących przedmiotem  umowy, spełniającą następujące wymagania:</w:t>
      </w:r>
    </w:p>
    <w:p w:rsidR="00451741" w:rsidRPr="00451741" w:rsidRDefault="00716DDE" w:rsidP="00451741">
      <w:pPr>
        <w:tabs>
          <w:tab w:val="left" w:pos="709"/>
          <w:tab w:val="left" w:pos="1418"/>
        </w:tabs>
        <w:spacing w:after="100" w:line="252" w:lineRule="auto"/>
        <w:ind w:left="786" w:firstLine="0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lastRenderedPageBreak/>
        <w:t>a)</w:t>
      </w:r>
      <w:r w:rsidR="00451741" w:rsidRPr="00451741">
        <w:rPr>
          <w:rFonts w:ascii="Verdana" w:hAnsi="Verdana" w:cs="Tahoma"/>
          <w:sz w:val="17"/>
          <w:szCs w:val="17"/>
        </w:rPr>
        <w:t xml:space="preserve"> reakcja na zgłoszoną usterkę, awarię w ciągu  4 godz. od momentu zgłoszenia przez Zamawiającego, usuwanie awarii w ciągu  12 godz. od momentu zgłoszenia awarii;</w:t>
      </w:r>
    </w:p>
    <w:p w:rsidR="00451741" w:rsidRPr="00451741" w:rsidRDefault="00716DDE" w:rsidP="00716DDE">
      <w:pPr>
        <w:tabs>
          <w:tab w:val="left" w:pos="709"/>
          <w:tab w:val="left" w:pos="1418"/>
        </w:tabs>
        <w:spacing w:after="100"/>
        <w:ind w:left="786" w:firstLine="0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b)</w:t>
      </w:r>
      <w:r w:rsidR="00451741" w:rsidRPr="00451741">
        <w:rPr>
          <w:rFonts w:ascii="Verdana" w:hAnsi="Verdana" w:cs="Tahoma"/>
          <w:sz w:val="17"/>
          <w:szCs w:val="17"/>
        </w:rPr>
        <w:t xml:space="preserve"> dostępność służb technicznych Wykonawcy 24 godz./dobę, 7 dni w tygodniu</w:t>
      </w:r>
      <w:r>
        <w:rPr>
          <w:rFonts w:ascii="Verdana" w:hAnsi="Verdana" w:cs="Tahoma"/>
          <w:sz w:val="17"/>
          <w:szCs w:val="17"/>
        </w:rPr>
        <w:t xml:space="preserve"> </w:t>
      </w:r>
      <w:r w:rsidR="00451741" w:rsidRPr="00451741">
        <w:rPr>
          <w:rFonts w:ascii="Verdana" w:hAnsi="Verdana" w:cs="Tahoma"/>
          <w:sz w:val="17"/>
          <w:szCs w:val="17"/>
        </w:rPr>
        <w:t>przez wszystkie dni w roku;</w:t>
      </w:r>
    </w:p>
    <w:p w:rsidR="00451741" w:rsidRPr="00451741" w:rsidRDefault="00716DDE" w:rsidP="00451741">
      <w:pPr>
        <w:tabs>
          <w:tab w:val="left" w:pos="709"/>
          <w:tab w:val="left" w:pos="1418"/>
        </w:tabs>
        <w:spacing w:after="100" w:line="252" w:lineRule="auto"/>
        <w:ind w:left="786" w:firstLine="0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c)</w:t>
      </w:r>
      <w:r w:rsidR="00451741" w:rsidRPr="00451741">
        <w:rPr>
          <w:rFonts w:ascii="Verdana" w:hAnsi="Verdana" w:cs="Tahoma"/>
          <w:sz w:val="17"/>
          <w:szCs w:val="17"/>
        </w:rPr>
        <w:t xml:space="preserve"> gwarancja rocznej dostępności usługi na poziomie 99,7 %.</w:t>
      </w:r>
    </w:p>
    <w:p w:rsidR="00451741" w:rsidRDefault="00451741" w:rsidP="00451741">
      <w:pPr>
        <w:ind w:left="851"/>
        <w:rPr>
          <w:rFonts w:ascii="Verdana" w:hAnsi="Verdana" w:cs="Tahoma"/>
          <w:sz w:val="17"/>
          <w:szCs w:val="17"/>
        </w:rPr>
      </w:pPr>
    </w:p>
    <w:p w:rsidR="00451741" w:rsidRPr="00451741" w:rsidRDefault="00451741" w:rsidP="00451741">
      <w:pPr>
        <w:pStyle w:val="Akapitzlist"/>
        <w:numPr>
          <w:ilvl w:val="1"/>
          <w:numId w:val="1"/>
        </w:numPr>
        <w:rPr>
          <w:rFonts w:ascii="Verdana" w:hAnsi="Verdana" w:cs="Tahoma"/>
          <w:sz w:val="17"/>
          <w:szCs w:val="17"/>
        </w:rPr>
      </w:pPr>
      <w:r w:rsidRPr="00451741">
        <w:rPr>
          <w:rFonts w:ascii="Verdana" w:hAnsi="Verdana" w:cs="Tahoma"/>
          <w:sz w:val="17"/>
          <w:szCs w:val="17"/>
        </w:rPr>
        <w:t>Wykonawca zapewni telefoniczne centrum obsługi zgłoszeń o awariach (uszkodzeniach) łączy dzierżawionych będących Przedmiotem Umowy, przyjmującym zgłoszenia w trybie 24/7/365</w:t>
      </w:r>
    </w:p>
    <w:p w:rsidR="00451741" w:rsidRPr="00451741" w:rsidRDefault="00451741" w:rsidP="00451741">
      <w:pPr>
        <w:pStyle w:val="Akapitzlist"/>
        <w:ind w:left="786"/>
        <w:rPr>
          <w:rFonts w:ascii="Verdana" w:hAnsi="Verdana" w:cs="Tahoma"/>
          <w:sz w:val="17"/>
          <w:szCs w:val="17"/>
        </w:rPr>
      </w:pPr>
      <w:r w:rsidRPr="00451741">
        <w:rPr>
          <w:rFonts w:ascii="Verdana" w:hAnsi="Verdana" w:cs="Tahoma"/>
          <w:sz w:val="17"/>
          <w:szCs w:val="17"/>
        </w:rPr>
        <w:t>(24 godziny, 7 dni w tygodniu, przez wszystkie dni w roku) umożliwiającym obsługę zgłoszeń drogą telefoniczną.</w:t>
      </w:r>
    </w:p>
    <w:p w:rsidR="00343DBD" w:rsidRPr="00A37646" w:rsidRDefault="00343DBD" w:rsidP="00343DBD">
      <w:pPr>
        <w:ind w:left="1353" w:firstLine="0"/>
        <w:rPr>
          <w:rFonts w:ascii="Verdana" w:hAnsi="Verdana" w:cs="Tahoma"/>
          <w:sz w:val="17"/>
          <w:szCs w:val="17"/>
        </w:rPr>
      </w:pPr>
    </w:p>
    <w:p w:rsidR="00544763" w:rsidRPr="000B68ED" w:rsidRDefault="00544763" w:rsidP="00544763">
      <w:pPr>
        <w:numPr>
          <w:ilvl w:val="1"/>
          <w:numId w:val="1"/>
        </w:numPr>
        <w:tabs>
          <w:tab w:val="left" w:pos="709"/>
          <w:tab w:val="left" w:pos="1418"/>
        </w:tabs>
        <w:spacing w:after="100" w:line="252" w:lineRule="auto"/>
        <w:rPr>
          <w:rFonts w:ascii="Verdana" w:hAnsi="Verdana" w:cs="Tahoma"/>
          <w:sz w:val="17"/>
          <w:szCs w:val="17"/>
        </w:rPr>
      </w:pPr>
      <w:r w:rsidRPr="000B68ED">
        <w:rPr>
          <w:rFonts w:ascii="Verdana" w:hAnsi="Verdana" w:cs="Tahoma"/>
          <w:sz w:val="17"/>
          <w:szCs w:val="17"/>
        </w:rPr>
        <w:t xml:space="preserve">Wykonawca poda w ofercie ceny jednostkowe (brutto, opłata miesięczna, opłata za </w:t>
      </w:r>
      <w:r w:rsidR="002B640B">
        <w:rPr>
          <w:rFonts w:ascii="Verdana" w:hAnsi="Verdana" w:cs="Tahoma"/>
          <w:sz w:val="17"/>
          <w:szCs w:val="17"/>
        </w:rPr>
        <w:t>24</w:t>
      </w:r>
      <w:r w:rsidRPr="000B68ED">
        <w:rPr>
          <w:rFonts w:ascii="Verdana" w:hAnsi="Verdana" w:cs="Tahoma"/>
          <w:sz w:val="17"/>
          <w:szCs w:val="17"/>
        </w:rPr>
        <w:t xml:space="preserve"> miesi</w:t>
      </w:r>
      <w:r w:rsidR="002B640B">
        <w:rPr>
          <w:rFonts w:ascii="Verdana" w:hAnsi="Verdana" w:cs="Tahoma"/>
          <w:sz w:val="17"/>
          <w:szCs w:val="17"/>
        </w:rPr>
        <w:t>ące</w:t>
      </w:r>
      <w:r w:rsidRPr="000B68ED">
        <w:rPr>
          <w:rFonts w:ascii="Verdana" w:hAnsi="Verdana" w:cs="Tahoma"/>
          <w:sz w:val="17"/>
          <w:szCs w:val="17"/>
        </w:rPr>
        <w:t>) poszczególnych relacji oraz łączna wartość zamówienia, wyrażoną w złotych polskich. Podane ceny maja uwzględniać udzielone Zamawiającemu rabaty, opłatę instalacyjną (uruchomieniową) i wszystkie inne koszty Wykonawcy związane z realizacją zadania.</w:t>
      </w:r>
    </w:p>
    <w:p w:rsidR="00544763" w:rsidRPr="00361A40" w:rsidRDefault="00544763" w:rsidP="00544763">
      <w:pPr>
        <w:numPr>
          <w:ilvl w:val="1"/>
          <w:numId w:val="1"/>
        </w:numPr>
        <w:tabs>
          <w:tab w:val="left" w:pos="709"/>
          <w:tab w:val="left" w:pos="1418"/>
        </w:tabs>
        <w:spacing w:after="100" w:line="252" w:lineRule="auto"/>
        <w:rPr>
          <w:rFonts w:ascii="Verdana" w:hAnsi="Verdana" w:cs="Tahoma"/>
          <w:color w:val="FF0000"/>
          <w:sz w:val="17"/>
          <w:szCs w:val="17"/>
        </w:rPr>
      </w:pPr>
      <w:r w:rsidRPr="00361A40">
        <w:rPr>
          <w:rFonts w:ascii="Verdana" w:hAnsi="Verdana" w:cs="Tahoma"/>
          <w:sz w:val="17"/>
          <w:szCs w:val="17"/>
        </w:rPr>
        <w:t xml:space="preserve"> Odbiór łączy  uruchomianych w technologii Ethernet nastąpi po przeprowadzeniu testów odbiorczych. Testy zaproponowane przez Wykonawcę muszą uzyskać akceptację Zamawiającego. Wykonawca wykona pomiary i testy łączy oraz dostarczy podpisany protokół dla każdego łącz</w:t>
      </w:r>
      <w:r w:rsidRPr="00F53BB0">
        <w:rPr>
          <w:rFonts w:ascii="Verdana" w:hAnsi="Verdana" w:cs="Tahoma"/>
          <w:sz w:val="17"/>
          <w:szCs w:val="17"/>
        </w:rPr>
        <w:t>a</w:t>
      </w:r>
      <w:r w:rsidR="00343DBD" w:rsidRPr="00F53BB0">
        <w:rPr>
          <w:rFonts w:ascii="Verdana" w:hAnsi="Verdana" w:cs="Tahoma"/>
          <w:sz w:val="17"/>
          <w:szCs w:val="17"/>
        </w:rPr>
        <w:t xml:space="preserve"> lub protokół zbiorczy dla łączy w ramach danego zadania</w:t>
      </w:r>
      <w:r w:rsidRPr="00F53BB0">
        <w:rPr>
          <w:rFonts w:ascii="Verdana" w:hAnsi="Verdana" w:cs="Tahoma"/>
          <w:sz w:val="17"/>
          <w:szCs w:val="17"/>
        </w:rPr>
        <w:t xml:space="preserve">. Po wykonaniu pomiarów i testów, łącze będzie podlegać obserwacji przez 24 godziny pod kątem poprawnej </w:t>
      </w:r>
      <w:r w:rsidRPr="00361A40">
        <w:rPr>
          <w:rFonts w:ascii="Verdana" w:hAnsi="Verdana" w:cs="Tahoma"/>
          <w:sz w:val="17"/>
          <w:szCs w:val="17"/>
        </w:rPr>
        <w:t xml:space="preserve">pracy w sieci OST i ewentualnych występujących na nim błędów.  </w:t>
      </w:r>
    </w:p>
    <w:p w:rsidR="00544763" w:rsidRDefault="00544763" w:rsidP="00544763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F53BB0">
        <w:rPr>
          <w:rFonts w:ascii="Verdana" w:hAnsi="Verdana"/>
          <w:color w:val="000000" w:themeColor="text1"/>
          <w:sz w:val="17"/>
          <w:szCs w:val="17"/>
        </w:rPr>
        <w:t xml:space="preserve">Wykonawca jest zobowiązany do reprezentowania Zamawiającego na podstawie pełnomocnictwa, które zostanie udzielone Wykonawcy po wyborze oferty, w zakresie uzyskania wszelkiego rodzaju uzgodnień związanych z realizacją przedmiotu umowy, m.in. pozwoleń, uzgodnień prawnych związanych z wydaniem odrębnej dokumentacji. Powyższy obowiązek dotyczy również ewentualnej konieczności uzyskania przez Wykonawcę zgód na udostępnienie nieruchomości gruntowej/ budynku, w którym zlokalizowane są przedmiotowe łącza na czas wykonywania prac instalacyjnych, modernizacyjnych, konserwacyjnych itp. </w:t>
      </w:r>
      <w:r w:rsidRPr="00F53BB0">
        <w:rPr>
          <w:rFonts w:ascii="Verdana" w:hAnsi="Verdana"/>
          <w:color w:val="000000" w:themeColor="text1"/>
          <w:sz w:val="17"/>
          <w:szCs w:val="17"/>
        </w:rPr>
        <w:br/>
        <w:t xml:space="preserve">od zarządcy obiektu danej jednostki organizacyjnej Policji mazowieckiej na podstawie danych zawartych </w:t>
      </w:r>
      <w:r w:rsidRPr="00F53BB0">
        <w:rPr>
          <w:rFonts w:ascii="Verdana" w:hAnsi="Verdana"/>
          <w:color w:val="000000" w:themeColor="text1"/>
          <w:sz w:val="17"/>
          <w:szCs w:val="17"/>
        </w:rPr>
        <w:br/>
        <w:t xml:space="preserve">w poniższej tabeli. </w:t>
      </w:r>
    </w:p>
    <w:p w:rsidR="0025692F" w:rsidRPr="00F53BB0" w:rsidRDefault="0025692F" w:rsidP="00544763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rFonts w:ascii="Verdana" w:hAnsi="Verdana"/>
          <w:color w:val="000000" w:themeColor="text1"/>
          <w:sz w:val="17"/>
          <w:szCs w:val="17"/>
        </w:rPr>
        <w:t>Zamawiający zaleca wykonanie wizji lokalnej przez Wykonawcę dla każdej lokalizacji w której jest zakończenie łącza oraz w czterech lokalizacjach agregujących.</w:t>
      </w:r>
    </w:p>
    <w:p w:rsidR="00F53BB0" w:rsidRDefault="00F53BB0" w:rsidP="00544763">
      <w:pPr>
        <w:spacing w:after="200" w:line="276" w:lineRule="auto"/>
        <w:ind w:left="0" w:firstLine="0"/>
        <w:jc w:val="left"/>
        <w:rPr>
          <w:rFonts w:ascii="Calibri" w:eastAsia="Calibri" w:hAnsi="Calibri"/>
          <w:b/>
          <w:sz w:val="24"/>
          <w:szCs w:val="24"/>
          <w:lang w:eastAsia="en-US"/>
        </w:rPr>
      </w:pPr>
    </w:p>
    <w:p w:rsidR="00544763" w:rsidRPr="00A406CC" w:rsidRDefault="00544763" w:rsidP="00544763">
      <w:pPr>
        <w:spacing w:after="200" w:line="276" w:lineRule="auto"/>
        <w:ind w:left="0" w:firstLine="0"/>
        <w:jc w:val="left"/>
        <w:rPr>
          <w:rFonts w:ascii="Calibri" w:eastAsia="Calibri" w:hAnsi="Calibri"/>
          <w:b/>
          <w:sz w:val="24"/>
          <w:szCs w:val="24"/>
          <w:lang w:eastAsia="en-US"/>
        </w:rPr>
      </w:pPr>
      <w:r w:rsidRPr="00A406CC">
        <w:rPr>
          <w:rFonts w:ascii="Calibri" w:eastAsia="Calibri" w:hAnsi="Calibri"/>
          <w:b/>
          <w:sz w:val="24"/>
          <w:szCs w:val="24"/>
          <w:lang w:eastAsia="en-US"/>
        </w:rPr>
        <w:t>Wykaz obiektów będących własnością lub najmowanych przez jednostki organizacyjne Policji mazowieckiej.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5529"/>
      </w:tblGrid>
      <w:tr w:rsidR="002B640B" w:rsidRPr="00C73418" w:rsidTr="0058784A">
        <w:trPr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0B" w:rsidRPr="00C73418" w:rsidRDefault="002B640B" w:rsidP="0058784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3418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0B" w:rsidRPr="00C73418" w:rsidRDefault="002B640B" w:rsidP="0058784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341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40B" w:rsidRPr="00C73418" w:rsidRDefault="002B640B" w:rsidP="0058784A">
            <w:pPr>
              <w:ind w:left="-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34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Właściciel budynku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bookmarkStart w:id="3" w:name="RANGE!F4"/>
            <w:r w:rsidRPr="00C73418">
              <w:rPr>
                <w:rFonts w:ascii="Tahoma" w:hAnsi="Tahoma" w:cs="Tahoma"/>
                <w:sz w:val="18"/>
                <w:szCs w:val="18"/>
              </w:rPr>
              <w:t xml:space="preserve">KP Gąbin ul. </w:t>
            </w:r>
            <w:bookmarkEnd w:id="3"/>
            <w:r w:rsidRPr="00C73418">
              <w:rPr>
                <w:rFonts w:ascii="Tahoma" w:hAnsi="Tahoma" w:cs="Tahoma"/>
                <w:sz w:val="18"/>
                <w:szCs w:val="18"/>
              </w:rPr>
              <w:t>Tylna 6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Płock Podolszyce ul. Armii Krajowej 62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8D4B34" w:rsidP="005878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2B640B" w:rsidRPr="00C73418">
              <w:rPr>
                <w:rFonts w:ascii="Tahoma" w:hAnsi="Tahoma" w:cs="Tahoma"/>
                <w:sz w:val="18"/>
                <w:szCs w:val="18"/>
              </w:rPr>
              <w:t xml:space="preserve">PP Płock Stara Biała ul. </w:t>
            </w:r>
            <w:proofErr w:type="spellStart"/>
            <w:r w:rsidR="002B640B" w:rsidRPr="00C73418">
              <w:rPr>
                <w:rFonts w:ascii="Tahoma" w:hAnsi="Tahoma" w:cs="Tahoma"/>
                <w:sz w:val="18"/>
                <w:szCs w:val="18"/>
              </w:rPr>
              <w:t>Zglenickiego</w:t>
            </w:r>
            <w:proofErr w:type="spellEnd"/>
            <w:r w:rsidR="002B640B" w:rsidRPr="00C73418">
              <w:rPr>
                <w:rFonts w:ascii="Tahoma" w:hAnsi="Tahoma" w:cs="Tahoma"/>
                <w:sz w:val="18"/>
                <w:szCs w:val="18"/>
              </w:rPr>
              <w:t xml:space="preserve"> 42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Mszczonów ul. Warszawska 77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Raciąż ul. Błonie 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PP Stara Biała Płock ul.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Zglenickiego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 xml:space="preserve"> 42L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Staroźreby ul. Strażacka 21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Bielsk ul. Spółdzielcza 11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Bodzanów ul. Głowackiego 13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Brudzeń Duży ul. Toruńska 2A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Drobin ul. Piłsudskiego 12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PP Wyszogród ul.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Rębowska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 xml:space="preserve"> 37A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Miasta i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Łąck ul. Warszawska 17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Nowy Duninów ul. Gostynińska 8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Radzanowo   ul. Płocka 32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Płock ul.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Otolińska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 xml:space="preserve"> 29A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Iłów ul. Rynek Staromiejski 20A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Młodzieszyn ul. Wyszogrodzka 74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Teresin ul. Lipowa 15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Nowa Sucha 60C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Wiskitki ul. Kościuszki 1A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Puszcza Mariańska ul. Papczyńskiego 3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 udział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Gozdowo ul. K. Gozdawy 19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Zawidz ul. Słoneczna 7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Rościszewo ul. Armii Krajowej 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Pacyna ul. Łukasiewicza 4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Użytkowanie wieczyste Poczta Polska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Sanniki ul. Warszawska 153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Nowe Miasto ul. Główny Rynek 32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Załuski ul. Osiedlowa 11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Czerwińsk ul. Władysława Jagiełły 17B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Bieżuń Stary Rynek 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 i Starostwa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Glinojeck ul. ul. Płocka 20A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Ojrzeń ul. Ciechanowska 27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Regimin ul. Bojanowskiego 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Lubowidz ul. Jana Pawła II 17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Sońsk, Gołotczyzna ul. Ciechanowska 31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bookmarkStart w:id="4" w:name="RANGE!F5"/>
            <w:r w:rsidRPr="00C73418">
              <w:rPr>
                <w:rFonts w:ascii="Tahoma" w:hAnsi="Tahoma" w:cs="Tahoma"/>
                <w:sz w:val="18"/>
                <w:szCs w:val="18"/>
              </w:rPr>
              <w:t>KP Myszyniec ul. dr Pawłowskiego 15</w:t>
            </w:r>
            <w:bookmarkEnd w:id="4"/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Małkinia ul. Nurska 39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KP Chorzele ul.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Padlewskiego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 xml:space="preserve"> 12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Baranowo ul. Rynek 7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Czerwin Plac Tysiąclecia 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Goworowo ul. Szkolna 16A</w:t>
            </w:r>
          </w:p>
        </w:tc>
        <w:tc>
          <w:tcPr>
            <w:tcW w:w="5529" w:type="dxa"/>
          </w:tcPr>
          <w:p w:rsidR="002B640B" w:rsidRPr="00C73418" w:rsidRDefault="00B81710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B81710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Kadzidło ul. Słoneczna 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Łyse ul. Ostrołęcka 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Nur ul. Drohiczyńska 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Krasnosielc ul. Rynek 31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Różan ul. Lwowska 6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Krasne ul. Komisji Edukacji Narodowej 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Jednorożec ul. Odrodzenia 12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Długosiodło ul. Kościuszki 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Zabrodzie ul. Reymonta 45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Somianka ul. Armii Krajowej 4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Strzegowo Plac Wolności 32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Szreńsk Plac Kanoniczny 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Wieczfnia Kościelna Wieczfnia Kościelna 48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Szydłowo ul. Mazowiecka 62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Świercze ul. Kolejowa 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Pokrzywnica ul. Jana Pawła II 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KWP Radom, SOT ul. Energetyków 14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Pionki ul. Leśna 15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Iłża ul. Przy Malenie 1A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Warka ul. Polna 4A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Jedlińsk ul. Warszawska 4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Zakrzew 29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Skaryszew ul. Słowackiego 6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 udział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KP Grabów </w:t>
            </w:r>
            <w:r w:rsidRPr="00C73418">
              <w:rPr>
                <w:rFonts w:ascii="Tahoma" w:hAnsi="Tahoma" w:cs="Tahoma"/>
                <w:sz w:val="18"/>
                <w:szCs w:val="18"/>
              </w:rPr>
              <w:br/>
              <w:t>n/d Pilicą ul. Pułaskiego 30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Gniewoszów ul. Lubelska 39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Wierzbica ul. Krasickiego 20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Przytyk ul. Rynek 34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RD III Radom ul.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Sycyńska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 xml:space="preserve"> 6A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Spółdzielnia Mieszkaniowa „Południe”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RD II Radom ul. Zielińskiego 13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Porozumienie Mazowiecki Urząd Wojewódzki w Warszawie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RD I Radom ul. Reja 5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Miasta i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Jastrzębia 119A, 26-631 (bud. OSP)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Błędów ul. Nowy Rynek 13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Chynów ul. Główna 67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Nowe Miasto n/d Pilicą ul. Warszawska 16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Mogielnica ul. Mostowa 27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Stromiec ul. Białobrzeska 74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Radzanów 92A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Kazanów ul. Partyzantów 28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 udział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Ciepielów ul. Czachowskiego 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Porozumienie własność Starostwa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Sienno ul. Rynek 36/40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 udział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Odrzywół ul. Warszawska 53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Kowala-Stępocina ul. M. Walewskiej 3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C156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Wolanów ul. Radomska 20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KP Mokobody ul. Ks. Brzóski 1 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Skórzec ul. Siedlecka 5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najmu własność Banku Spółdzielczego w Siedlcach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Mordy ul. Kilińskiego 5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KP Łochów ul. 1-go Maja 20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Zbuczyn ul. Terespolska 13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Kotuń ul. Ogrodowa 10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Kosów Lacki  ul. Łąkowa 3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Repki ul. Parkowa 7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Sterdyń ul. Seroczyńska 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Korytnica ul. Małkowskiego 20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Łaskarzew ul. Szkolna 3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Wilga ul. Warszawska 38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Trojanów 57A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Żelechów ul. Traugutta 5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Miasta i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Sobolew, ul. Rynek 1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najmu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Maciejowice ul. Rynek 2</w:t>
            </w:r>
          </w:p>
        </w:tc>
        <w:tc>
          <w:tcPr>
            <w:tcW w:w="5529" w:type="dxa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Miastków Kościelny ul. Rynek 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Umowa użyczenia własność Gminy 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sz w:val="18"/>
                <w:szCs w:val="18"/>
                <w:highlight w:val="red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Pilawa ul. Letniskowa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Gózd ul. Szkolna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0B" w:rsidRPr="00C73418" w:rsidRDefault="002B640B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 xml:space="preserve">Skarb Państwa Trwały Zarząd KWP </w:t>
            </w:r>
            <w:proofErr w:type="spellStart"/>
            <w:r w:rsidRPr="00C73418">
              <w:rPr>
                <w:rFonts w:ascii="Tahoma" w:hAnsi="Tahoma" w:cs="Tahoma"/>
                <w:sz w:val="18"/>
                <w:szCs w:val="18"/>
              </w:rPr>
              <w:t>zs</w:t>
            </w:r>
            <w:proofErr w:type="spellEnd"/>
            <w:r w:rsidRPr="00C73418">
              <w:rPr>
                <w:rFonts w:ascii="Tahoma" w:hAnsi="Tahoma" w:cs="Tahoma"/>
                <w:sz w:val="18"/>
                <w:szCs w:val="18"/>
              </w:rPr>
              <w:t>. w Radomiu</w:t>
            </w:r>
          </w:p>
        </w:tc>
      </w:tr>
      <w:tr w:rsidR="002B640B" w:rsidRPr="00C73418" w:rsidTr="00587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B640B" w:rsidRPr="00C73418" w:rsidRDefault="002B640B" w:rsidP="002B640B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40B" w:rsidRPr="00C73418" w:rsidRDefault="002B640B" w:rsidP="0058784A">
            <w:pPr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PP Słupno ul. Miszewska 8B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0B" w:rsidRPr="00C73418" w:rsidRDefault="00B81710" w:rsidP="0058784A">
            <w:pPr>
              <w:ind w:right="-114"/>
              <w:rPr>
                <w:rFonts w:ascii="Tahoma" w:hAnsi="Tahoma" w:cs="Tahoma"/>
                <w:sz w:val="18"/>
                <w:szCs w:val="18"/>
              </w:rPr>
            </w:pPr>
            <w:r w:rsidRPr="00C73418">
              <w:rPr>
                <w:rFonts w:ascii="Tahoma" w:hAnsi="Tahoma" w:cs="Tahoma"/>
                <w:sz w:val="18"/>
                <w:szCs w:val="18"/>
              </w:rPr>
              <w:t>Umowa użyczenia własność Gminy</w:t>
            </w:r>
          </w:p>
        </w:tc>
      </w:tr>
    </w:tbl>
    <w:p w:rsidR="00544763" w:rsidRPr="00A406CC" w:rsidRDefault="00544763" w:rsidP="00544763">
      <w:pPr>
        <w:spacing w:after="200" w:line="276" w:lineRule="auto"/>
        <w:ind w:left="0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544763" w:rsidRPr="00832172" w:rsidRDefault="00544763" w:rsidP="00544763">
      <w:pPr>
        <w:tabs>
          <w:tab w:val="left" w:pos="709"/>
          <w:tab w:val="left" w:pos="1418"/>
        </w:tabs>
        <w:spacing w:after="100" w:line="252" w:lineRule="auto"/>
        <w:ind w:left="786" w:firstLine="0"/>
        <w:rPr>
          <w:rFonts w:ascii="Verdana" w:hAnsi="Verdana" w:cs="Tahoma"/>
          <w:color w:val="FF0000"/>
          <w:sz w:val="17"/>
          <w:szCs w:val="17"/>
        </w:rPr>
      </w:pPr>
    </w:p>
    <w:p w:rsidR="00AC37F5" w:rsidRPr="00AC37F5" w:rsidRDefault="00AC37F5" w:rsidP="00AC37F5">
      <w:pPr>
        <w:spacing w:after="160" w:line="256" w:lineRule="auto"/>
        <w:ind w:left="0" w:firstLine="0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AC37F5">
        <w:rPr>
          <w:rFonts w:ascii="Calibri" w:eastAsia="Calibri" w:hAnsi="Calibri"/>
          <w:b/>
          <w:sz w:val="22"/>
          <w:szCs w:val="22"/>
          <w:lang w:eastAsia="en-US"/>
        </w:rPr>
        <w:t xml:space="preserve">Wykaz </w:t>
      </w:r>
      <w:r w:rsidR="00807706">
        <w:rPr>
          <w:rFonts w:ascii="Calibri" w:eastAsia="Calibri" w:hAnsi="Calibri"/>
          <w:b/>
          <w:sz w:val="22"/>
          <w:szCs w:val="22"/>
          <w:lang w:eastAsia="en-US"/>
        </w:rPr>
        <w:t xml:space="preserve">adresów </w:t>
      </w:r>
      <w:r w:rsidRPr="00AC37F5">
        <w:rPr>
          <w:rFonts w:ascii="Calibri" w:eastAsia="Calibri" w:hAnsi="Calibri"/>
          <w:b/>
          <w:sz w:val="22"/>
          <w:szCs w:val="22"/>
          <w:lang w:eastAsia="en-US"/>
        </w:rPr>
        <w:t>łączy analogowych:</w:t>
      </w:r>
    </w:p>
    <w:tbl>
      <w:tblPr>
        <w:tblStyle w:val="Tabela-Siatka"/>
        <w:tblW w:w="10661" w:type="dxa"/>
        <w:tblInd w:w="-460" w:type="dxa"/>
        <w:tblLook w:val="04A0" w:firstRow="1" w:lastRow="0" w:firstColumn="1" w:lastColumn="0" w:noHBand="0" w:noVBand="1"/>
      </w:tblPr>
      <w:tblGrid>
        <w:gridCol w:w="597"/>
        <w:gridCol w:w="4536"/>
        <w:gridCol w:w="5528"/>
      </w:tblGrid>
      <w:tr w:rsidR="00AC37F5" w:rsidRPr="00AC37F5" w:rsidTr="00AC37F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KMP Płock ul. Kilińskiego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Płock ul. Gierzyńskiego 42</w:t>
            </w:r>
          </w:p>
        </w:tc>
      </w:tr>
      <w:tr w:rsidR="00AC37F5" w:rsidRPr="00AC37F5" w:rsidTr="00AC37F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KMP Płock ul. Kilińskiego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Płock ul. Gierzyńskiego 42</w:t>
            </w:r>
          </w:p>
        </w:tc>
      </w:tr>
      <w:tr w:rsidR="00AC37F5" w:rsidRPr="00AC37F5" w:rsidTr="00AC37F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KMP Płock ul. Kilińskiego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Płock ul. Gierzyńskiego 42</w:t>
            </w:r>
          </w:p>
        </w:tc>
      </w:tr>
      <w:tr w:rsidR="00AC37F5" w:rsidRPr="00AC37F5" w:rsidTr="00AC37F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KMP Płock ul. Kilińskiego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Płock ul. Gierzyńskiego 42</w:t>
            </w:r>
          </w:p>
        </w:tc>
      </w:tr>
      <w:tr w:rsidR="00AC37F5" w:rsidRPr="00AC37F5" w:rsidTr="00AC37F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KMP Płock ul. Kilińskiego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Płock ul. Gierzyńskiego 42</w:t>
            </w:r>
          </w:p>
        </w:tc>
      </w:tr>
      <w:tr w:rsidR="00AC37F5" w:rsidRPr="00AC37F5" w:rsidTr="00AC37F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Radom ul. Kilińskiego 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Radom ul. </w:t>
            </w:r>
            <w:proofErr w:type="spellStart"/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Tochtermana</w:t>
            </w:r>
            <w:proofErr w:type="spellEnd"/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AC37F5" w:rsidRPr="00AC37F5" w:rsidTr="00AC37F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Radom ul. Kilińskiego 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7F5" w:rsidRPr="00AC37F5" w:rsidRDefault="00AC37F5" w:rsidP="00AC37F5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Radom ul. </w:t>
            </w:r>
            <w:proofErr w:type="spellStart"/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>Tochtermana</w:t>
            </w:r>
            <w:proofErr w:type="spellEnd"/>
            <w:r w:rsidRPr="00AC37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</w:t>
            </w:r>
          </w:p>
        </w:tc>
      </w:tr>
    </w:tbl>
    <w:p w:rsidR="00AC37F5" w:rsidRPr="00AC37F5" w:rsidRDefault="00AC37F5" w:rsidP="00AC37F5">
      <w:pPr>
        <w:spacing w:after="160" w:line="256" w:lineRule="auto"/>
        <w:ind w:left="0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D7819" w:rsidRDefault="003D7819"/>
    <w:sectPr w:rsidR="003D7819" w:rsidSect="00575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10" w:right="851" w:bottom="851" w:left="851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053" w:rsidRDefault="00B84053">
      <w:r>
        <w:separator/>
      </w:r>
    </w:p>
  </w:endnote>
  <w:endnote w:type="continuationSeparator" w:id="0">
    <w:p w:rsidR="00B84053" w:rsidRDefault="00B8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CC" w:rsidRDefault="00A35689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6CC" w:rsidRDefault="00B84053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CC" w:rsidRPr="001F10A3" w:rsidRDefault="00A35689">
    <w:pPr>
      <w:pStyle w:val="Stopka"/>
      <w:jc w:val="center"/>
      <w:rPr>
        <w:rFonts w:ascii="Verdana" w:hAnsi="Verdana"/>
        <w:sz w:val="16"/>
        <w:szCs w:val="18"/>
      </w:rPr>
    </w:pPr>
    <w:r w:rsidRPr="001F10A3">
      <w:rPr>
        <w:rFonts w:ascii="Verdana" w:hAnsi="Verdana"/>
        <w:sz w:val="16"/>
        <w:szCs w:val="18"/>
      </w:rPr>
      <w:t xml:space="preserve">~ </w:t>
    </w:r>
    <w:r w:rsidRPr="001F10A3">
      <w:rPr>
        <w:rFonts w:ascii="Verdana" w:hAnsi="Verdana"/>
        <w:sz w:val="15"/>
        <w:szCs w:val="15"/>
      </w:rPr>
      <w:fldChar w:fldCharType="begin"/>
    </w:r>
    <w:r w:rsidRPr="001F10A3">
      <w:rPr>
        <w:rFonts w:ascii="Verdana" w:hAnsi="Verdana"/>
        <w:sz w:val="15"/>
        <w:szCs w:val="15"/>
      </w:rPr>
      <w:instrText xml:space="preserve"> PAGE    \* MERGEFORMAT </w:instrText>
    </w:r>
    <w:r w:rsidRPr="001F10A3">
      <w:rPr>
        <w:rFonts w:ascii="Verdana" w:hAnsi="Verdana"/>
        <w:sz w:val="15"/>
        <w:szCs w:val="15"/>
      </w:rPr>
      <w:fldChar w:fldCharType="separate"/>
    </w:r>
    <w:r w:rsidR="009776D5">
      <w:rPr>
        <w:rFonts w:ascii="Verdana" w:hAnsi="Verdana"/>
        <w:noProof/>
        <w:sz w:val="15"/>
        <w:szCs w:val="15"/>
      </w:rPr>
      <w:t>1</w:t>
    </w:r>
    <w:r w:rsidRPr="001F10A3">
      <w:rPr>
        <w:rFonts w:ascii="Verdana" w:hAnsi="Verdana"/>
        <w:sz w:val="15"/>
        <w:szCs w:val="15"/>
      </w:rPr>
      <w:fldChar w:fldCharType="end"/>
    </w:r>
    <w:r w:rsidRPr="001F10A3">
      <w:rPr>
        <w:rFonts w:ascii="Verdana" w:hAnsi="Verdana"/>
        <w:sz w:val="15"/>
        <w:szCs w:val="15"/>
      </w:rPr>
      <w:t xml:space="preserve"> ~</w:t>
    </w:r>
  </w:p>
  <w:p w:rsidR="00A406CC" w:rsidRPr="007319C7" w:rsidRDefault="00B84053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053" w:rsidRDefault="00B84053">
      <w:r>
        <w:separator/>
      </w:r>
    </w:p>
  </w:footnote>
  <w:footnote w:type="continuationSeparator" w:id="0">
    <w:p w:rsidR="00B84053" w:rsidRDefault="00B8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CC" w:rsidRDefault="00B840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50" type="#_x0000_t75" style="position:absolute;left:0;text-align:left;margin-left:0;margin-top:0;width:509.9pt;height:511.2pt;z-index:-25165619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CC" w:rsidRPr="001B16ED" w:rsidRDefault="00B84053" w:rsidP="00D8234E">
    <w:pPr>
      <w:pStyle w:val="Nagwek"/>
      <w:ind w:left="0" w:firstLine="0"/>
      <w:rPr>
        <w:rFonts w:ascii="Verdana" w:hAnsi="Verdana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CC" w:rsidRPr="00841DA7" w:rsidRDefault="00B84053" w:rsidP="00841D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7" o:spid="_x0000_s2049" type="#_x0000_t75" style="position:absolute;left:0;text-align:left;margin-left:0;margin-top:0;width:509.9pt;height:511.2pt;z-index:-251657216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9B4"/>
    <w:multiLevelType w:val="multilevel"/>
    <w:tmpl w:val="A48C4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 w:val="0"/>
      </w:rPr>
    </w:lvl>
  </w:abstractNum>
  <w:abstractNum w:abstractNumId="1" w15:restartNumberingAfterBreak="0">
    <w:nsid w:val="2BF2233A"/>
    <w:multiLevelType w:val="multilevel"/>
    <w:tmpl w:val="C2DADE2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Verdana" w:eastAsia="Times New Roman" w:hAnsi="Verdana" w:cs="Tahoma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353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FD02B9"/>
    <w:multiLevelType w:val="multilevel"/>
    <w:tmpl w:val="54A80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658E5159"/>
    <w:multiLevelType w:val="multilevel"/>
    <w:tmpl w:val="918AF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6F696B05"/>
    <w:multiLevelType w:val="multilevel"/>
    <w:tmpl w:val="37066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763"/>
    <w:rsid w:val="00014BC2"/>
    <w:rsid w:val="00063A95"/>
    <w:rsid w:val="001123F8"/>
    <w:rsid w:val="00206CCE"/>
    <w:rsid w:val="00253A24"/>
    <w:rsid w:val="002561CF"/>
    <w:rsid w:val="0025692F"/>
    <w:rsid w:val="0029727D"/>
    <w:rsid w:val="002B640B"/>
    <w:rsid w:val="00343DBD"/>
    <w:rsid w:val="003D7819"/>
    <w:rsid w:val="003E3EC0"/>
    <w:rsid w:val="0040265A"/>
    <w:rsid w:val="00451741"/>
    <w:rsid w:val="00453BC0"/>
    <w:rsid w:val="005117B2"/>
    <w:rsid w:val="00535B31"/>
    <w:rsid w:val="00544763"/>
    <w:rsid w:val="005471D4"/>
    <w:rsid w:val="005B0BC3"/>
    <w:rsid w:val="005D47C9"/>
    <w:rsid w:val="00682BCC"/>
    <w:rsid w:val="00716DDE"/>
    <w:rsid w:val="0072645D"/>
    <w:rsid w:val="00807706"/>
    <w:rsid w:val="008D4B34"/>
    <w:rsid w:val="009755D7"/>
    <w:rsid w:val="009776D5"/>
    <w:rsid w:val="00982590"/>
    <w:rsid w:val="00987963"/>
    <w:rsid w:val="00A11F3F"/>
    <w:rsid w:val="00A35689"/>
    <w:rsid w:val="00A70784"/>
    <w:rsid w:val="00A81B56"/>
    <w:rsid w:val="00AC37F5"/>
    <w:rsid w:val="00B30765"/>
    <w:rsid w:val="00B81710"/>
    <w:rsid w:val="00B84053"/>
    <w:rsid w:val="00C15553"/>
    <w:rsid w:val="00C15636"/>
    <w:rsid w:val="00D175EA"/>
    <w:rsid w:val="00D20CD0"/>
    <w:rsid w:val="00D24544"/>
    <w:rsid w:val="00D30B53"/>
    <w:rsid w:val="00D93292"/>
    <w:rsid w:val="00E10845"/>
    <w:rsid w:val="00E734D8"/>
    <w:rsid w:val="00F50C65"/>
    <w:rsid w:val="00F53BB0"/>
    <w:rsid w:val="00F9798F"/>
    <w:rsid w:val="00F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076BA1"/>
  <w15:docId w15:val="{36F5234C-2B52-4C05-91D1-5919C2F4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763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4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4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4763"/>
  </w:style>
  <w:style w:type="paragraph" w:styleId="Tekstpodstawowy">
    <w:name w:val="Body Text"/>
    <w:basedOn w:val="Normalny"/>
    <w:link w:val="TekstpodstawowyZnak"/>
    <w:rsid w:val="00544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763"/>
    <w:pPr>
      <w:suppressAutoHyphens/>
      <w:ind w:left="720" w:firstLine="0"/>
      <w:contextualSpacing/>
      <w:jc w:val="left"/>
    </w:pPr>
    <w:rPr>
      <w:lang w:eastAsia="ar-SA"/>
    </w:rPr>
  </w:style>
  <w:style w:type="table" w:styleId="Tabela-Siatka">
    <w:name w:val="Table Grid"/>
    <w:basedOn w:val="Standardowy"/>
    <w:uiPriority w:val="39"/>
    <w:rsid w:val="00AC37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EE40-D629-4187-94A4-EADCEFA9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3299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Zielińska</dc:creator>
  <cp:lastModifiedBy>Ewa Piasta-Grzegorczyk</cp:lastModifiedBy>
  <cp:revision>10</cp:revision>
  <dcterms:created xsi:type="dcterms:W3CDTF">2024-06-04T09:28:00Z</dcterms:created>
  <dcterms:modified xsi:type="dcterms:W3CDTF">2024-06-13T09:03:00Z</dcterms:modified>
</cp:coreProperties>
</file>