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77777777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335BA5">
        <w:rPr>
          <w:rFonts w:ascii="Calibri" w:hAnsi="Calibri" w:cs="Calibri"/>
        </w:rPr>
        <w:t>2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335BA5">
        <w:rPr>
          <w:rFonts w:ascii="Calibri" w:hAnsi="Calibri" w:cs="Calibri"/>
        </w:rPr>
        <w:t>710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5AF21D47" w14:textId="77777777" w:rsidR="00894587" w:rsidRPr="00FD7EE8" w:rsidRDefault="00894587" w:rsidP="00894587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FD7EE8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155A2608" w14:textId="77777777" w:rsidR="00894587" w:rsidRPr="00FD7EE8" w:rsidRDefault="00894587" w:rsidP="00894587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bCs/>
        </w:rPr>
        <w:t xml:space="preserve">kompetencje lub uprawnienia do prowadzenia określonej działalności zawodowej, o ile wynika to z odrębnych przepisów. </w:t>
      </w:r>
    </w:p>
    <w:p w14:paraId="15840190" w14:textId="77777777" w:rsidR="00707CF3" w:rsidRPr="00707CF3" w:rsidRDefault="00707CF3" w:rsidP="00707CF3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707CF3">
        <w:rPr>
          <w:rFonts w:ascii="Calibri" w:hAnsi="Calibri" w:cs="Calibri"/>
          <w:b/>
        </w:rPr>
        <w:t>Zamawiający wymaga posiadania przez instytucję szkolącą wpisu do rejestru instytucji szkoleniowych WUP, prowadzonego na podstawie art. 20 ust. 1 ustawy o promocji zatrudnienia i instytucjach rynku pracy (tj. Dz. U z 2022 r. poz. 690 ze zmianami)</w:t>
      </w:r>
    </w:p>
    <w:p w14:paraId="043CAA30" w14:textId="77777777" w:rsidR="00707CF3" w:rsidRPr="00707CF3" w:rsidRDefault="00707CF3" w:rsidP="00707CF3">
      <w:pPr>
        <w:pStyle w:val="Akapitzlist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35807288" w14:textId="2659A1BF" w:rsidR="00A761E8" w:rsidRDefault="00707CF3" w:rsidP="00707CF3">
      <w:pPr>
        <w:jc w:val="both"/>
      </w:pPr>
      <w:r w:rsidRPr="00707CF3">
        <w:rPr>
          <w:rFonts w:ascii="Calibri" w:hAnsi="Calibri" w:cs="Calibri"/>
          <w:b/>
        </w:rPr>
        <w:t>Warunek zostanie spełniony, jeśli wykonawca złoży Oświadczenie, że posiada aktualny wpis do rejestru instytucji szkoleniowych</w:t>
      </w:r>
    </w:p>
    <w:p w14:paraId="3631A947" w14:textId="77777777" w:rsidR="00894587" w:rsidRPr="00FD7EE8" w:rsidRDefault="00894587" w:rsidP="00894587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bCs/>
        </w:rPr>
        <w:t>sytuacja ekonomiczna lub finansowa.</w:t>
      </w:r>
    </w:p>
    <w:p w14:paraId="2A37C842" w14:textId="77777777" w:rsidR="00894587" w:rsidRPr="00FD7EE8" w:rsidRDefault="00894587" w:rsidP="00894587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Zamawiający nie stawia szczegółowych wymagań w tym zakresie</w:t>
      </w:r>
    </w:p>
    <w:p w14:paraId="390A600C" w14:textId="77777777" w:rsidR="00894587" w:rsidRPr="00FD7EE8" w:rsidRDefault="00894587" w:rsidP="00894587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5E137E8E" w14:textId="77777777" w:rsidR="00894587" w:rsidRPr="00FD7EE8" w:rsidRDefault="00894587" w:rsidP="00894587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zdolność techniczna lub zawodowa.</w:t>
      </w:r>
    </w:p>
    <w:p w14:paraId="0E8791A6" w14:textId="59D91426" w:rsidR="00975603" w:rsidRPr="00975603" w:rsidRDefault="00975603" w:rsidP="00975603">
      <w:pPr>
        <w:spacing w:after="40" w:line="240" w:lineRule="auto"/>
        <w:jc w:val="both"/>
        <w:rPr>
          <w:rFonts w:ascii="Calibri" w:hAnsi="Calibri" w:cs="Calibri"/>
        </w:rPr>
      </w:pPr>
      <w:r w:rsidRPr="00975603">
        <w:rPr>
          <w:rFonts w:ascii="Calibri" w:hAnsi="Calibri" w:cs="Calibri"/>
          <w:bCs/>
        </w:rPr>
        <w:t xml:space="preserve">Zamawiający wymaga, aby Wykonawca dysponował odpowiednim zapleczem technicznym tj. Wykonawca musi dysponować dla każdego kursu zawodowego będącego przedmiotem zamówienia przynajmniej: </w:t>
      </w:r>
    </w:p>
    <w:p w14:paraId="01EB5790" w14:textId="77777777" w:rsidR="00975603" w:rsidRPr="00975603" w:rsidRDefault="00975603" w:rsidP="00975603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975603">
        <w:rPr>
          <w:rFonts w:ascii="Calibri" w:hAnsi="Calibri" w:cs="Calibri"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</w:t>
      </w:r>
      <w:proofErr w:type="gramStart"/>
      <w:r w:rsidRPr="00975603">
        <w:rPr>
          <w:rFonts w:ascii="Calibri" w:hAnsi="Calibri" w:cs="Calibri"/>
          <w:bCs/>
        </w:rPr>
        <w:t>p.poż</w:t>
      </w:r>
      <w:proofErr w:type="gramEnd"/>
      <w:r w:rsidRPr="00975603">
        <w:rPr>
          <w:rFonts w:ascii="Calibri" w:hAnsi="Calibri" w:cs="Calibri"/>
          <w:bCs/>
        </w:rPr>
        <w:t xml:space="preserve">, oraz </w:t>
      </w:r>
    </w:p>
    <w:p w14:paraId="3C8AE303" w14:textId="77777777" w:rsidR="00975603" w:rsidRPr="00975603" w:rsidRDefault="00975603" w:rsidP="00975603">
      <w:pPr>
        <w:pStyle w:val="Bezodstpw"/>
        <w:ind w:left="938"/>
        <w:jc w:val="both"/>
        <w:rPr>
          <w:rFonts w:ascii="Calibri" w:hAnsi="Calibri" w:cs="Calibri"/>
          <w:bCs/>
        </w:rPr>
      </w:pPr>
    </w:p>
    <w:p w14:paraId="3733D0AB" w14:textId="77777777" w:rsidR="00975603" w:rsidRPr="00975603" w:rsidRDefault="00975603" w:rsidP="00975603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975603">
        <w:rPr>
          <w:rFonts w:ascii="Calibri" w:hAnsi="Calibri" w:cs="Calibri"/>
          <w:bCs/>
        </w:rPr>
        <w:t xml:space="preserve">miejscem do przeprowadzenia części praktycznej z odpowiednio </w:t>
      </w:r>
      <w:proofErr w:type="gramStart"/>
      <w:r w:rsidRPr="00975603">
        <w:rPr>
          <w:rFonts w:ascii="Calibri" w:hAnsi="Calibri" w:cs="Calibri"/>
          <w:bCs/>
        </w:rPr>
        <w:t xml:space="preserve">wyposażoną </w:t>
      </w:r>
      <w:r w:rsidRPr="00975603">
        <w:rPr>
          <w:rFonts w:ascii="Calibri" w:hAnsi="Calibri" w:cs="Calibri"/>
        </w:rPr>
        <w:t xml:space="preserve"> spawalnią</w:t>
      </w:r>
      <w:proofErr w:type="gramEnd"/>
      <w:r w:rsidRPr="00975603">
        <w:rPr>
          <w:rFonts w:ascii="Calibri" w:hAnsi="Calibri" w:cs="Calibri"/>
        </w:rPr>
        <w:t xml:space="preserve"> (sprzęt spawalniczy) spełniającą wymogi bezpieczeństwa i higieny pracy przy pracach spawalniczych zgodną z Rozporządzeniem Ministra Gospodarki z dnia 27 kwietnia 2000 r. (Dz. U. z 2000 r., nr 40, poz. 470).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0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Wykonawca w dniu składania oferty nie będzie dysponował salami do zajęć teoretycznych lub miejscami do zajęć praktycznych na zasadzie własności, wówczas zobowiązany jest do przedstawienia pisemnego zobowiązania podmiotu trzeciego do </w:t>
      </w:r>
      <w:r w:rsidRPr="00D515A8">
        <w:rPr>
          <w:rFonts w:ascii="Calibri" w:hAnsi="Calibri" w:cs="Calibri"/>
          <w:bCs/>
          <w:u w:val="single"/>
        </w:rPr>
        <w:t xml:space="preserve">nieodpłatnego </w:t>
      </w:r>
      <w:r w:rsidRPr="00D515A8">
        <w:rPr>
          <w:rFonts w:ascii="Calibri" w:hAnsi="Calibri" w:cs="Calibri"/>
        </w:rPr>
        <w:t>oddania mu do dyspozycji niezbędnych zasobów (</w:t>
      </w:r>
      <w:proofErr w:type="spellStart"/>
      <w:r w:rsidRPr="00D515A8">
        <w:rPr>
          <w:rFonts w:ascii="Calibri" w:hAnsi="Calibri" w:cs="Calibri"/>
        </w:rPr>
        <w:t>sal</w:t>
      </w:r>
      <w:proofErr w:type="spellEnd"/>
      <w:r w:rsidRPr="00D515A8">
        <w:rPr>
          <w:rFonts w:ascii="Calibri" w:hAnsi="Calibri" w:cs="Calibri"/>
        </w:rPr>
        <w:t xml:space="preserve"> do zajęć teoretycznych i miejsc do zajęć praktycznych wraz z niezbędnymi zasobami sprzętowymi) na potrzeby realizacji zamówienia, </w:t>
      </w:r>
      <w:r w:rsidRPr="00D515A8">
        <w:rPr>
          <w:rFonts w:ascii="Calibri" w:hAnsi="Calibri" w:cs="Calibri"/>
          <w:u w:val="single"/>
        </w:rPr>
        <w:t>lub odpłatnego</w:t>
      </w:r>
      <w:r w:rsidRPr="00D515A8">
        <w:rPr>
          <w:rFonts w:ascii="Calibri" w:hAnsi="Calibri" w:cs="Calibri"/>
        </w:rPr>
        <w:t xml:space="preserve"> oddania mu do dyspozycji niezbędnych zasobów </w:t>
      </w:r>
      <w:bookmarkEnd w:id="0"/>
      <w:r w:rsidRPr="00D515A8">
        <w:rPr>
          <w:rFonts w:ascii="Calibri" w:hAnsi="Calibri" w:cs="Calibri"/>
        </w:rPr>
        <w:t>– pisemne zobowiązanie podmiotu trzeciego</w:t>
      </w:r>
      <w:r w:rsidR="00937FA4">
        <w:rPr>
          <w:rFonts w:ascii="Calibri" w:hAnsi="Calibri" w:cs="Calibri"/>
        </w:rPr>
        <w:t xml:space="preserve"> </w:t>
      </w:r>
      <w:bookmarkStart w:id="1" w:name="_GoBack"/>
      <w:bookmarkEnd w:id="1"/>
      <w:r w:rsidR="00937FA4">
        <w:rPr>
          <w:rFonts w:ascii="Calibri" w:hAnsi="Calibri" w:cs="Calibri"/>
        </w:rPr>
        <w:t xml:space="preserve">wykonawca sporządza samodzielnie i w postaci skanu załącza do postępowania na platformie zakupowej.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1D07BDEB" w14:textId="77777777" w:rsidR="00745869" w:rsidRDefault="00745869">
      <w:pPr>
        <w:rPr>
          <w:rFonts w:ascii="Calibri" w:hAnsi="Calibri" w:cs="Calibri"/>
        </w:rPr>
      </w:pPr>
    </w:p>
    <w:p w14:paraId="4D0D93B2" w14:textId="77777777" w:rsidR="00894587" w:rsidRPr="00FD7EE8" w:rsidRDefault="00894587" w:rsidP="00AC07C1">
      <w:pPr>
        <w:numPr>
          <w:ilvl w:val="0"/>
          <w:numId w:val="6"/>
        </w:numPr>
        <w:spacing w:after="0" w:line="240" w:lineRule="auto"/>
        <w:ind w:left="284" w:hanging="349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lastRenderedPageBreak/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lastRenderedPageBreak/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2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2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763101AC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zakresie </w:t>
      </w:r>
      <w:r w:rsidRPr="00A761E8">
        <w:rPr>
          <w:rFonts w:ascii="Calibri" w:hAnsi="Calibri" w:cs="Calibri"/>
          <w:b/>
          <w:u w:val="single"/>
        </w:rPr>
        <w:t xml:space="preserve">kursów </w:t>
      </w:r>
      <w:r w:rsidR="00A761E8" w:rsidRPr="00A761E8">
        <w:rPr>
          <w:rFonts w:ascii="Calibri" w:hAnsi="Calibri" w:cs="Calibri"/>
          <w:b/>
          <w:color w:val="000000" w:themeColor="text1"/>
          <w:u w:val="single"/>
        </w:rPr>
        <w:t>Spawacz MAG-135</w:t>
      </w:r>
      <w:r w:rsidRPr="00A761E8">
        <w:rPr>
          <w:rFonts w:ascii="Calibri" w:hAnsi="Calibri" w:cs="Calibri"/>
          <w:b/>
          <w:u w:val="single"/>
        </w:rPr>
        <w:t>,</w:t>
      </w:r>
      <w:r w:rsidRPr="00FD7EE8">
        <w:rPr>
          <w:rFonts w:ascii="Calibri" w:hAnsi="Calibri" w:cs="Calibri"/>
          <w:u w:val="single"/>
        </w:rPr>
        <w:t xml:space="preserve"> zostanie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77777777" w:rsidR="00894587" w:rsidRDefault="00281A9F" w:rsidP="0089458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Formularz informacyjny wg wzoru </w:t>
      </w:r>
      <w:r w:rsidR="00BF3404">
        <w:rPr>
          <w:rFonts w:ascii="Calibri" w:hAnsi="Calibri" w:cs="Calibri"/>
        </w:rPr>
        <w:t xml:space="preserve">określonego w </w:t>
      </w:r>
      <w:r w:rsidR="00894587" w:rsidRPr="00FD7EE8">
        <w:rPr>
          <w:rFonts w:ascii="Calibri" w:hAnsi="Calibri" w:cs="Calibri"/>
          <w:b/>
        </w:rPr>
        <w:t>załącznik</w:t>
      </w:r>
      <w:r w:rsidR="00BF3404">
        <w:rPr>
          <w:rFonts w:ascii="Calibri" w:hAnsi="Calibri" w:cs="Calibri"/>
          <w:b/>
        </w:rPr>
        <w:t>u</w:t>
      </w:r>
      <w:r w:rsidR="00894587" w:rsidRPr="00FD7EE8">
        <w:rPr>
          <w:rFonts w:ascii="Calibri" w:hAnsi="Calibri" w:cs="Calibri"/>
          <w:b/>
        </w:rPr>
        <w:t xml:space="preserve"> nr 3</w:t>
      </w:r>
      <w:r w:rsidR="00894587" w:rsidRPr="00FD7EE8">
        <w:rPr>
          <w:rFonts w:ascii="Calibri" w:hAnsi="Calibri" w:cs="Calibri"/>
        </w:rPr>
        <w:t>,</w:t>
      </w:r>
    </w:p>
    <w:p w14:paraId="40A13106" w14:textId="77777777" w:rsidR="00894587" w:rsidRDefault="00894587" w:rsidP="0089458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436AA">
        <w:rPr>
          <w:rFonts w:ascii="Calibri" w:hAnsi="Calibri" w:cs="Calibri"/>
        </w:rPr>
        <w:t xml:space="preserve">Dokument potwierdzający, że Wykonawca jest wpisany do rejestru przedsiębiorców prowadzących ośrodek szkolenia kierowców, prowadzonego przez Starostę właściwego ze względu na miejsce prowadzenia ośrodka szkolenia kierowców, lub </w:t>
      </w:r>
      <w:r>
        <w:rPr>
          <w:rFonts w:ascii="Calibri" w:hAnsi="Calibri" w:cs="Calibri"/>
        </w:rPr>
        <w:t xml:space="preserve">należy </w:t>
      </w:r>
      <w:r w:rsidRPr="005436AA">
        <w:rPr>
          <w:rFonts w:ascii="Calibri" w:hAnsi="Calibri" w:cs="Calibri"/>
        </w:rPr>
        <w:t xml:space="preserve">wskazać dostępność rejestru przedsiębiorców prowadzących ośrodki szkolenia kierowców w formie elektronicznej pod określonymi adresami internetowymi ogólnodostępnych i bezpłatnych baz danych.  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 xml:space="preserve">jej treść nie odpowiada treści niniejszego Zapytania ofertowego a w szczególności, gdy Wykonawca złoży więcej niż jedna ofertę (pkt II.1), lub w przypadku nie wpisania </w:t>
      </w:r>
      <w:bookmarkStart w:id="3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3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proofErr w:type="gramStart"/>
      <w:r w:rsidRPr="00FD7EE8">
        <w:rPr>
          <w:rFonts w:ascii="Calibri" w:hAnsi="Calibri" w:cs="Calibri"/>
        </w:rPr>
        <w:t>Wykonawcę</w:t>
      </w:r>
      <w:proofErr w:type="gramEnd"/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4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4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61AA105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36A01AA1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372A6CDA" w14:textId="77777777" w:rsidR="00894587" w:rsidRPr="00FD7EE8" w:rsidRDefault="00894587" w:rsidP="00894587">
      <w:pPr>
        <w:ind w:left="360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7E726EEE" w14:textId="77777777" w:rsidR="00894587" w:rsidRPr="00FD7EE8" w:rsidRDefault="00894587" w:rsidP="00894587">
      <w:pPr>
        <w:rPr>
          <w:rFonts w:ascii="Calibri" w:hAnsi="Calibri" w:cs="Calibri"/>
          <w:b/>
        </w:rPr>
      </w:pPr>
    </w:p>
    <w:p w14:paraId="0716A2FD" w14:textId="77777777" w:rsidR="00894587" w:rsidRDefault="00894587" w:rsidP="00894587">
      <w:pPr>
        <w:rPr>
          <w:rFonts w:ascii="Calibri" w:hAnsi="Calibri" w:cs="Calibri"/>
          <w:b/>
        </w:rPr>
      </w:pPr>
    </w:p>
    <w:p w14:paraId="0A778793" w14:textId="77777777" w:rsidR="00894587" w:rsidRDefault="00894587" w:rsidP="00894587">
      <w:pPr>
        <w:rPr>
          <w:rFonts w:ascii="Calibri" w:hAnsi="Calibri" w:cs="Calibri"/>
          <w:b/>
        </w:rPr>
      </w:pPr>
    </w:p>
    <w:p w14:paraId="2698C6B4" w14:textId="77777777" w:rsidR="00894587" w:rsidRDefault="00894587" w:rsidP="00894587">
      <w:pPr>
        <w:rPr>
          <w:rFonts w:ascii="Calibri" w:hAnsi="Calibri" w:cs="Calibri"/>
          <w:b/>
        </w:rPr>
      </w:pPr>
    </w:p>
    <w:p w14:paraId="4E0BB8FD" w14:textId="77777777" w:rsidR="00894587" w:rsidRDefault="00894587" w:rsidP="00894587">
      <w:pPr>
        <w:rPr>
          <w:rFonts w:ascii="Calibri" w:hAnsi="Calibri" w:cs="Calibri"/>
          <w:b/>
        </w:rPr>
      </w:pPr>
    </w:p>
    <w:p w14:paraId="32C49455" w14:textId="77777777" w:rsidR="00894587" w:rsidRDefault="00894587" w:rsidP="00894587">
      <w:pPr>
        <w:rPr>
          <w:rFonts w:ascii="Calibri" w:hAnsi="Calibri" w:cs="Calibri"/>
          <w:b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6F5A" w14:textId="77777777" w:rsidR="00045C27" w:rsidRDefault="00045C27" w:rsidP="0068577F">
      <w:pPr>
        <w:spacing w:after="0" w:line="240" w:lineRule="auto"/>
      </w:pPr>
      <w:r>
        <w:separator/>
      </w:r>
    </w:p>
  </w:endnote>
  <w:endnote w:type="continuationSeparator" w:id="0">
    <w:p w14:paraId="07818DC3" w14:textId="77777777" w:rsidR="00045C27" w:rsidRDefault="00045C27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1FC3" w14:textId="77777777" w:rsidR="00045C27" w:rsidRDefault="00045C27" w:rsidP="0068577F">
      <w:pPr>
        <w:spacing w:after="0" w:line="240" w:lineRule="auto"/>
      </w:pPr>
      <w:r>
        <w:separator/>
      </w:r>
    </w:p>
  </w:footnote>
  <w:footnote w:type="continuationSeparator" w:id="0">
    <w:p w14:paraId="2B4972D5" w14:textId="77777777" w:rsidR="00045C27" w:rsidRDefault="00045C27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A9BC4226"/>
    <w:lvl w:ilvl="0" w:tplc="586CA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62E16"/>
    <w:rsid w:val="0016406E"/>
    <w:rsid w:val="00167C75"/>
    <w:rsid w:val="001A39D3"/>
    <w:rsid w:val="001B35A7"/>
    <w:rsid w:val="001B46A5"/>
    <w:rsid w:val="001B6D93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D0F40"/>
    <w:rsid w:val="002E01E4"/>
    <w:rsid w:val="002F6B5C"/>
    <w:rsid w:val="0030390A"/>
    <w:rsid w:val="00314AA8"/>
    <w:rsid w:val="0031579A"/>
    <w:rsid w:val="003253C6"/>
    <w:rsid w:val="00335BA5"/>
    <w:rsid w:val="003736BA"/>
    <w:rsid w:val="003A2CDA"/>
    <w:rsid w:val="003B3A80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7FA1"/>
    <w:rsid w:val="006413D6"/>
    <w:rsid w:val="0064384E"/>
    <w:rsid w:val="0068577F"/>
    <w:rsid w:val="00686B72"/>
    <w:rsid w:val="006878B0"/>
    <w:rsid w:val="006942DB"/>
    <w:rsid w:val="006966E8"/>
    <w:rsid w:val="006B3C41"/>
    <w:rsid w:val="006C4CD3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701F6"/>
    <w:rsid w:val="00780C85"/>
    <w:rsid w:val="00784B4E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40BC"/>
    <w:rsid w:val="009672D3"/>
    <w:rsid w:val="009707B1"/>
    <w:rsid w:val="00974AEA"/>
    <w:rsid w:val="00975603"/>
    <w:rsid w:val="009757E9"/>
    <w:rsid w:val="009902E1"/>
    <w:rsid w:val="0099413B"/>
    <w:rsid w:val="009A01AB"/>
    <w:rsid w:val="009A0678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951E7"/>
    <w:rsid w:val="00AC07C1"/>
    <w:rsid w:val="00AC766C"/>
    <w:rsid w:val="00AD076F"/>
    <w:rsid w:val="00AE6716"/>
    <w:rsid w:val="00B06007"/>
    <w:rsid w:val="00B160C9"/>
    <w:rsid w:val="00B33BA0"/>
    <w:rsid w:val="00B352C9"/>
    <w:rsid w:val="00B5333A"/>
    <w:rsid w:val="00B76A61"/>
    <w:rsid w:val="00B94BF2"/>
    <w:rsid w:val="00B9618E"/>
    <w:rsid w:val="00BA4350"/>
    <w:rsid w:val="00BB16FC"/>
    <w:rsid w:val="00BC4D49"/>
    <w:rsid w:val="00BD68EA"/>
    <w:rsid w:val="00BF3404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1813-9481-4094-ABCD-B5D6047E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39</TotalTime>
  <Pages>9</Pages>
  <Words>2857</Words>
  <Characters>17143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PK.Users</cp:lastModifiedBy>
  <cp:revision>31</cp:revision>
  <cp:lastPrinted>2023-03-07T14:48:00Z</cp:lastPrinted>
  <dcterms:created xsi:type="dcterms:W3CDTF">2023-03-03T18:19:00Z</dcterms:created>
  <dcterms:modified xsi:type="dcterms:W3CDTF">2023-03-09T22:18:00Z</dcterms:modified>
</cp:coreProperties>
</file>