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BB03" w14:textId="7DDC80B0" w:rsidR="009375DB" w:rsidRPr="00D47461" w:rsidRDefault="009375DB" w:rsidP="009375DB">
      <w:pPr>
        <w:tabs>
          <w:tab w:val="left" w:pos="284"/>
        </w:tabs>
        <w:spacing w:line="288" w:lineRule="auto"/>
        <w:jc w:val="right"/>
        <w:rPr>
          <w:rFonts w:asciiTheme="minorHAnsi" w:hAnsiTheme="minorHAnsi" w:cstheme="minorHAnsi"/>
          <w:b/>
          <w:bCs/>
        </w:rPr>
      </w:pPr>
      <w:r w:rsidRPr="00D47461">
        <w:rPr>
          <w:rFonts w:asciiTheme="minorHAnsi" w:hAnsiTheme="minorHAnsi" w:cstheme="minorHAnsi"/>
          <w:b/>
          <w:bCs/>
        </w:rPr>
        <w:t xml:space="preserve">Załącznik nr 1 do </w:t>
      </w:r>
      <w:r>
        <w:rPr>
          <w:rFonts w:asciiTheme="minorHAnsi" w:hAnsiTheme="minorHAnsi" w:cstheme="minorHAnsi"/>
          <w:b/>
          <w:bCs/>
        </w:rPr>
        <w:t>Projektowanych postanowień umowy</w:t>
      </w:r>
    </w:p>
    <w:p w14:paraId="146A9855" w14:textId="77777777" w:rsidR="009375DB" w:rsidRDefault="00B65F2E" w:rsidP="009375DB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4D2D3C3" w14:textId="33AD24D4" w:rsidR="009F1F30" w:rsidRPr="008B775E" w:rsidRDefault="009F1F30" w:rsidP="007C7F9B">
      <w:pPr>
        <w:jc w:val="center"/>
        <w:rPr>
          <w:sz w:val="20"/>
          <w:szCs w:val="20"/>
        </w:rPr>
      </w:pPr>
      <w:r w:rsidRPr="007C7F9B">
        <w:rPr>
          <w:rFonts w:asciiTheme="minorHAnsi" w:hAnsiTheme="minorHAnsi" w:cstheme="minorHAnsi"/>
          <w:b/>
          <w:bCs/>
          <w:sz w:val="28"/>
          <w:szCs w:val="28"/>
        </w:rPr>
        <w:t xml:space="preserve">Opis przedmiotu zamówienia usługi </w:t>
      </w:r>
      <w:r w:rsidRPr="007C7F9B">
        <w:rPr>
          <w:rFonts w:asciiTheme="minorHAnsi" w:hAnsiTheme="minorHAnsi" w:cstheme="minorHAnsi"/>
          <w:b/>
          <w:bCs/>
          <w:sz w:val="28"/>
          <w:szCs w:val="28"/>
        </w:rPr>
        <w:br/>
      </w:r>
      <w:bookmarkStart w:id="0" w:name="_Hlk156891697"/>
      <w:r w:rsidRPr="008B775E">
        <w:rPr>
          <w:sz w:val="20"/>
          <w:szCs w:val="20"/>
        </w:rPr>
        <w:t xml:space="preserve">Znak sprawy: </w:t>
      </w:r>
      <w:r w:rsidR="00FD1918">
        <w:rPr>
          <w:sz w:val="20"/>
          <w:szCs w:val="20"/>
        </w:rPr>
        <w:t>WKL-CDG</w:t>
      </w:r>
      <w:r w:rsidR="008B775E" w:rsidRPr="008B775E">
        <w:rPr>
          <w:sz w:val="20"/>
          <w:szCs w:val="20"/>
        </w:rPr>
        <w:t>.271.</w:t>
      </w:r>
      <w:r w:rsidR="00FD1918">
        <w:rPr>
          <w:sz w:val="20"/>
          <w:szCs w:val="20"/>
        </w:rPr>
        <w:t>1</w:t>
      </w:r>
      <w:r w:rsidR="008B775E" w:rsidRPr="008B775E">
        <w:rPr>
          <w:sz w:val="20"/>
          <w:szCs w:val="20"/>
        </w:rPr>
        <w:t>.2024</w:t>
      </w:r>
    </w:p>
    <w:p w14:paraId="65F01AA7" w14:textId="7CEA3287" w:rsidR="004F2FFA" w:rsidRDefault="002374E1" w:rsidP="00840472">
      <w:pPr>
        <w:jc w:val="center"/>
        <w:rPr>
          <w:b/>
          <w:bCs/>
          <w:sz w:val="28"/>
          <w:szCs w:val="28"/>
        </w:rPr>
      </w:pPr>
      <w:r w:rsidRPr="007C7F9B">
        <w:rPr>
          <w:b/>
          <w:bCs/>
          <w:sz w:val="28"/>
          <w:szCs w:val="28"/>
        </w:rPr>
        <w:t>Kampania promocyjna Tarnowskiego Centrum Dialogu oraz organizacja wydarzeń związanych z jego otwarciem.</w:t>
      </w:r>
    </w:p>
    <w:p w14:paraId="42FD337A" w14:textId="77777777" w:rsidR="007C7F9B" w:rsidRPr="007C7F9B" w:rsidRDefault="007C7F9B" w:rsidP="00840472">
      <w:pPr>
        <w:jc w:val="center"/>
        <w:rPr>
          <w:b/>
          <w:bCs/>
          <w:sz w:val="28"/>
          <w:szCs w:val="28"/>
        </w:rPr>
      </w:pPr>
    </w:p>
    <w:bookmarkEnd w:id="0"/>
    <w:p w14:paraId="4BEDCD4F" w14:textId="77777777" w:rsidR="002374E1" w:rsidRDefault="002374E1">
      <w:pPr>
        <w:rPr>
          <w:b/>
          <w:bCs/>
        </w:rPr>
      </w:pPr>
    </w:p>
    <w:p w14:paraId="740EB3C4" w14:textId="23EBF729" w:rsidR="00EA3C92" w:rsidRPr="00C242E9" w:rsidRDefault="00EA3C92">
      <w:r w:rsidRPr="00C242E9">
        <w:t xml:space="preserve">W przypadku produktów wymienionych w </w:t>
      </w:r>
      <w:r w:rsidRPr="00C242E9">
        <w:rPr>
          <w:b/>
          <w:bCs/>
        </w:rPr>
        <w:t>grupie A</w:t>
      </w:r>
      <w:r w:rsidRPr="00C242E9">
        <w:t xml:space="preserve">, Wykonawca przygotuje i uzgodni z Zamawiającym finalny scenariusz materiałów filmowych, plansze graficzne identyfikujące Zamawiającego, dofinasowanie z </w:t>
      </w:r>
      <w:proofErr w:type="spellStart"/>
      <w:r w:rsidRPr="00C242E9">
        <w:t>Norway</w:t>
      </w:r>
      <w:proofErr w:type="spellEnd"/>
      <w:r w:rsidRPr="00C242E9">
        <w:t xml:space="preserve"> </w:t>
      </w:r>
      <w:proofErr w:type="spellStart"/>
      <w:r w:rsidRPr="00C242E9">
        <w:t>Grants</w:t>
      </w:r>
      <w:proofErr w:type="spellEnd"/>
      <w:r w:rsidRPr="00C242E9">
        <w:t xml:space="preserve"> oraz osoby występujące w filmach. </w:t>
      </w:r>
    </w:p>
    <w:p w14:paraId="6E8B0735" w14:textId="7517949D" w:rsidR="00DE0F37" w:rsidRPr="00C242E9" w:rsidRDefault="00DE0F37" w:rsidP="00DE0F37">
      <w:r w:rsidRPr="00C242E9">
        <w:t xml:space="preserve">Filmy mają mieć napisy rozszerzone, wg standardów WCAG 2.1 na poziomie AA. </w:t>
      </w:r>
    </w:p>
    <w:p w14:paraId="47F51070" w14:textId="7522A79E" w:rsidR="00DE0F37" w:rsidRPr="00C242E9" w:rsidRDefault="00DE0F37">
      <w:bookmarkStart w:id="1" w:name="_Hlk157599492"/>
      <w:r w:rsidRPr="00C242E9">
        <w:t xml:space="preserve">Wykonawca, wraz z materiałami filmowymi stanowiącymi Przedmiot zamówienia, dostarczy pliki w formacie SRT ze ścieżką napisów rozszerzonych oddzielnie do każdego z materiałów filmowych. Napisy należy przygotować zgodnie z wytycznymi </w:t>
      </w:r>
      <w:r w:rsidR="00C242E9" w:rsidRPr="00C242E9">
        <w:t xml:space="preserve">publikowanymi na: </w:t>
      </w:r>
      <w:hyperlink r:id="rId7" w:history="1">
        <w:r w:rsidR="00C242E9" w:rsidRPr="00C242E9">
          <w:rPr>
            <w:rStyle w:val="Hipercze"/>
            <w:color w:val="auto"/>
          </w:rPr>
          <w:t>https://www.gov.pl/web/dostepnosc-cyfrowa/jak-dbac-o-dostepnosc-cyfrowa-w-umowach-i-zamowieniach-publicznych</w:t>
        </w:r>
      </w:hyperlink>
      <w:r w:rsidR="00C242E9" w:rsidRPr="00C242E9">
        <w:t xml:space="preserve"> </w:t>
      </w:r>
    </w:p>
    <w:bookmarkEnd w:id="1"/>
    <w:p w14:paraId="4B99E687" w14:textId="77777777" w:rsidR="00EA3C92" w:rsidRPr="00C242E9" w:rsidRDefault="00EA3C92"/>
    <w:p w14:paraId="27157797" w14:textId="769B3D9F" w:rsidR="0015203C" w:rsidRPr="00C242E9" w:rsidRDefault="00EA3C92">
      <w:r w:rsidRPr="00C242E9">
        <w:t>P</w:t>
      </w:r>
      <w:r w:rsidR="0015203C" w:rsidRPr="00C242E9">
        <w:t xml:space="preserve">rodukty wymienione </w:t>
      </w:r>
      <w:r w:rsidR="005C728F" w:rsidRPr="00C242E9">
        <w:t xml:space="preserve">w </w:t>
      </w:r>
      <w:r w:rsidR="005C728F" w:rsidRPr="00C242E9">
        <w:rPr>
          <w:b/>
          <w:bCs/>
        </w:rPr>
        <w:t xml:space="preserve">grupach </w:t>
      </w:r>
      <w:r w:rsidR="00E3398F" w:rsidRPr="00C242E9">
        <w:rPr>
          <w:b/>
          <w:bCs/>
        </w:rPr>
        <w:t>B, D–</w:t>
      </w:r>
      <w:r w:rsidR="005C728F" w:rsidRPr="00C242E9">
        <w:rPr>
          <w:b/>
          <w:bCs/>
        </w:rPr>
        <w:t>E</w:t>
      </w:r>
      <w:r w:rsidR="00C13306" w:rsidRPr="00C242E9">
        <w:t xml:space="preserve">, związane z różnymi technikami druku, </w:t>
      </w:r>
      <w:r w:rsidR="0015203C" w:rsidRPr="00C242E9">
        <w:t xml:space="preserve"> należy wykonać </w:t>
      </w:r>
      <w:r w:rsidR="0015203C" w:rsidRPr="00C242E9">
        <w:rPr>
          <w:b/>
          <w:bCs/>
        </w:rPr>
        <w:t xml:space="preserve">wg projektów </w:t>
      </w:r>
      <w:r w:rsidR="00840472" w:rsidRPr="00C242E9">
        <w:rPr>
          <w:b/>
          <w:bCs/>
        </w:rPr>
        <w:t xml:space="preserve">graficznych </w:t>
      </w:r>
      <w:r w:rsidR="0015203C" w:rsidRPr="00C242E9">
        <w:rPr>
          <w:b/>
          <w:bCs/>
        </w:rPr>
        <w:t>dostarczonych przez Zamawiającego</w:t>
      </w:r>
      <w:r w:rsidR="0015203C" w:rsidRPr="00C242E9">
        <w:t>.</w:t>
      </w:r>
      <w:r w:rsidR="004F2FFA" w:rsidRPr="00C242E9">
        <w:t xml:space="preserve"> </w:t>
      </w:r>
      <w:r w:rsidR="001423D8" w:rsidRPr="00C242E9">
        <w:t>Zamawiający dostarczy Wykonawcy projekty w wersji elektronicznej</w:t>
      </w:r>
      <w:r w:rsidR="00291603" w:rsidRPr="00C242E9">
        <w:t>, spełniające techniczne warunki produkcyjne.</w:t>
      </w:r>
      <w:r w:rsidR="00446A8F" w:rsidRPr="00C242E9">
        <w:t xml:space="preserve"> </w:t>
      </w:r>
    </w:p>
    <w:p w14:paraId="4B43469A" w14:textId="77777777" w:rsidR="004F2FFA" w:rsidRPr="00C242E9" w:rsidRDefault="004F2FFA"/>
    <w:p w14:paraId="32360D9E" w14:textId="7BEA57F1" w:rsidR="00DE5EAC" w:rsidRPr="00C242E9" w:rsidRDefault="001423D8">
      <w:r w:rsidRPr="00C242E9">
        <w:t>Wykonawca</w:t>
      </w:r>
      <w:r w:rsidR="007F6575" w:rsidRPr="00C242E9">
        <w:t>, przed produkcją</w:t>
      </w:r>
      <w:r w:rsidR="00BB3CBF" w:rsidRPr="00C242E9">
        <w:t xml:space="preserve"> materiałów drukowanych</w:t>
      </w:r>
      <w:r w:rsidR="007F6575" w:rsidRPr="00C242E9">
        <w:t>,</w:t>
      </w:r>
      <w:r w:rsidR="00DE5EAC" w:rsidRPr="00C242E9">
        <w:t xml:space="preserve"> powinien </w:t>
      </w:r>
      <w:r w:rsidR="007F6575" w:rsidRPr="00C242E9">
        <w:t xml:space="preserve">przygotować </w:t>
      </w:r>
      <w:r w:rsidR="005F5D61" w:rsidRPr="00C242E9">
        <w:t xml:space="preserve">– do ostatecznej akceptacji Zamawiającego – </w:t>
      </w:r>
      <w:proofErr w:type="spellStart"/>
      <w:r w:rsidR="007F6575" w:rsidRPr="00C242E9">
        <w:t>soft</w:t>
      </w:r>
      <w:proofErr w:type="spellEnd"/>
      <w:r w:rsidR="007F6575" w:rsidRPr="00C242E9">
        <w:t xml:space="preserve"> </w:t>
      </w:r>
      <w:proofErr w:type="spellStart"/>
      <w:r w:rsidR="007F6575" w:rsidRPr="00C242E9">
        <w:t>proofa</w:t>
      </w:r>
      <w:proofErr w:type="spellEnd"/>
      <w:r w:rsidR="00C935EB" w:rsidRPr="00C242E9">
        <w:t xml:space="preserve"> </w:t>
      </w:r>
      <w:r w:rsidR="00C6777C" w:rsidRPr="00C242E9">
        <w:t>(</w:t>
      </w:r>
      <w:proofErr w:type="spellStart"/>
      <w:r w:rsidR="00C6777C" w:rsidRPr="00C242E9">
        <w:t>Soft</w:t>
      </w:r>
      <w:proofErr w:type="spellEnd"/>
      <w:r w:rsidR="00C6777C" w:rsidRPr="00C242E9">
        <w:t xml:space="preserve"> proof to plik produkcyjny, który został poddany analizie technicznej oraz kontroli zgodności ze zleceniem. Składa się na niego pdf z publikacją wraz z naniesionymi przez drukarnię adnotacjami oraz raport z uwagami do pliku</w:t>
      </w:r>
      <w:r w:rsidR="005F5D61" w:rsidRPr="00C242E9">
        <w:t xml:space="preserve">). </w:t>
      </w:r>
    </w:p>
    <w:p w14:paraId="4D341B8B" w14:textId="77777777" w:rsidR="00C13306" w:rsidRPr="00C242E9" w:rsidRDefault="00C13306"/>
    <w:p w14:paraId="320A9204" w14:textId="4AFD4FF2" w:rsidR="00C13306" w:rsidRPr="00C242E9" w:rsidRDefault="00C13306">
      <w:r w:rsidRPr="00C242E9">
        <w:t>W przypadku kampanii w mediach społecznościowych i radiu, opisanych w części E, Zamawiający nie dostarcza projektów graficznych</w:t>
      </w:r>
      <w:r w:rsidR="00DE0F37" w:rsidRPr="00C242E9">
        <w:t xml:space="preserve"> publikowanych postów. Zamawiający dostarczy elementy graficzne i informacje tekstowe niezbędne do identyfikacji graficznej Zamawiającego, Tarnowskiego Centrum Dialogu, współfinansowania z </w:t>
      </w:r>
      <w:proofErr w:type="spellStart"/>
      <w:r w:rsidR="00DE0F37" w:rsidRPr="00C242E9">
        <w:t>Norway</w:t>
      </w:r>
      <w:proofErr w:type="spellEnd"/>
      <w:r w:rsidR="00DE0F37" w:rsidRPr="00C242E9">
        <w:t xml:space="preserve"> </w:t>
      </w:r>
      <w:proofErr w:type="spellStart"/>
      <w:r w:rsidR="00DE0F37" w:rsidRPr="00C242E9">
        <w:t>grants</w:t>
      </w:r>
      <w:proofErr w:type="spellEnd"/>
      <w:r w:rsidR="00DE0F37" w:rsidRPr="00C242E9">
        <w:t>.</w:t>
      </w:r>
    </w:p>
    <w:p w14:paraId="43D3CF5D" w14:textId="77777777" w:rsidR="00613045" w:rsidRPr="00C242E9" w:rsidRDefault="00613045"/>
    <w:p w14:paraId="7F54FD9D" w14:textId="23B8BFD6" w:rsidR="00613045" w:rsidRPr="00C242E9" w:rsidRDefault="00613045">
      <w:r w:rsidRPr="00C242E9">
        <w:t>Usługi związane z Wydarzeniem opisanym w</w:t>
      </w:r>
      <w:r w:rsidRPr="00C242E9">
        <w:rPr>
          <w:b/>
          <w:bCs/>
        </w:rPr>
        <w:t xml:space="preserve"> </w:t>
      </w:r>
      <w:r w:rsidR="00DE0F37" w:rsidRPr="00C242E9">
        <w:rPr>
          <w:b/>
          <w:bCs/>
        </w:rPr>
        <w:t>grupie G</w:t>
      </w:r>
      <w:r w:rsidRPr="00C242E9">
        <w:t xml:space="preserve"> (Organizacja wydarzeń w trakcie otwarcia budynku przy ul. </w:t>
      </w:r>
      <w:proofErr w:type="spellStart"/>
      <w:r w:rsidRPr="00C242E9">
        <w:t>Gumniskiej</w:t>
      </w:r>
      <w:proofErr w:type="spellEnd"/>
      <w:r w:rsidRPr="00C242E9">
        <w:t xml:space="preserve"> 30)</w:t>
      </w:r>
      <w:r w:rsidR="00C970BC" w:rsidRPr="00C242E9">
        <w:t xml:space="preserve"> – poza usługą opisaną w punkcie G.1. –</w:t>
      </w:r>
      <w:r w:rsidRPr="00C242E9">
        <w:t xml:space="preserve"> będą realizowane </w:t>
      </w:r>
      <w:r w:rsidR="00C6777C" w:rsidRPr="00C242E9">
        <w:t>22</w:t>
      </w:r>
      <w:r w:rsidR="004F2FFA" w:rsidRPr="00C242E9">
        <w:t xml:space="preserve"> i 23</w:t>
      </w:r>
      <w:r w:rsidR="00C6777C" w:rsidRPr="00C242E9">
        <w:t xml:space="preserve"> marca 2024 roku. </w:t>
      </w:r>
    </w:p>
    <w:p w14:paraId="2938AD2C" w14:textId="77777777" w:rsidR="005C728F" w:rsidRDefault="005C728F"/>
    <w:p w14:paraId="6C9EB11D" w14:textId="77777777" w:rsidR="00DD64A0" w:rsidRPr="00FA76D9" w:rsidRDefault="00DD64A0"/>
    <w:p w14:paraId="2ADC7E77" w14:textId="77777777" w:rsidR="00FA76D9" w:rsidRDefault="00FA76D9">
      <w:pPr>
        <w:rPr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06"/>
        <w:gridCol w:w="2267"/>
        <w:gridCol w:w="6443"/>
        <w:gridCol w:w="2148"/>
      </w:tblGrid>
      <w:tr w:rsidR="001D5C5B" w:rsidRPr="000A45AD" w14:paraId="36F697CC" w14:textId="53E8B157" w:rsidTr="002E7619">
        <w:trPr>
          <w:jc w:val="center"/>
        </w:trPr>
        <w:tc>
          <w:tcPr>
            <w:tcW w:w="1206" w:type="dxa"/>
          </w:tcPr>
          <w:p w14:paraId="7B207F61" w14:textId="5D320D2F" w:rsidR="001D5C5B" w:rsidRDefault="001D5C5B" w:rsidP="00F70AA7">
            <w:pPr>
              <w:pStyle w:val="Akapitzlist"/>
            </w:pPr>
            <w:r w:rsidRPr="002B64D2">
              <w:rPr>
                <w:b/>
                <w:bCs/>
              </w:rPr>
              <w:t>Lp.</w:t>
            </w:r>
          </w:p>
        </w:tc>
        <w:tc>
          <w:tcPr>
            <w:tcW w:w="2267" w:type="dxa"/>
          </w:tcPr>
          <w:p w14:paraId="28C3B848" w14:textId="6430A40E" w:rsidR="001D5C5B" w:rsidRDefault="001D5C5B" w:rsidP="00F70AA7">
            <w:pPr>
              <w:pStyle w:val="Akapitzlist"/>
            </w:pPr>
            <w:r w:rsidRPr="002B64D2">
              <w:rPr>
                <w:b/>
                <w:bCs/>
              </w:rPr>
              <w:t>Nazwa usługi</w:t>
            </w:r>
          </w:p>
        </w:tc>
        <w:tc>
          <w:tcPr>
            <w:tcW w:w="6443" w:type="dxa"/>
          </w:tcPr>
          <w:p w14:paraId="7781685C" w14:textId="3912A113" w:rsidR="001D5C5B" w:rsidRDefault="001D5C5B" w:rsidP="00F70AA7">
            <w:pPr>
              <w:pStyle w:val="Akapitzlist"/>
            </w:pPr>
            <w:r w:rsidRPr="002B64D2">
              <w:rPr>
                <w:b/>
                <w:bCs/>
              </w:rPr>
              <w:t>Opis usługi</w:t>
            </w:r>
          </w:p>
        </w:tc>
        <w:tc>
          <w:tcPr>
            <w:tcW w:w="2148" w:type="dxa"/>
          </w:tcPr>
          <w:p w14:paraId="296F8964" w14:textId="1ABA36A3" w:rsidR="001D5C5B" w:rsidRDefault="001D5C5B" w:rsidP="00F70AA7">
            <w:pPr>
              <w:pStyle w:val="Akapitzlist"/>
            </w:pPr>
            <w:r w:rsidRPr="002B64D2">
              <w:rPr>
                <w:b/>
                <w:bCs/>
              </w:rPr>
              <w:t>Ilość / czas trwania</w:t>
            </w:r>
          </w:p>
        </w:tc>
      </w:tr>
      <w:tr w:rsidR="001D5C5B" w:rsidRPr="000A45AD" w14:paraId="09D78262" w14:textId="09157A61" w:rsidTr="008D4EDF">
        <w:trPr>
          <w:trHeight w:val="397"/>
          <w:jc w:val="center"/>
        </w:trPr>
        <w:tc>
          <w:tcPr>
            <w:tcW w:w="12064" w:type="dxa"/>
            <w:gridSpan w:val="4"/>
            <w:shd w:val="clear" w:color="auto" w:fill="DEEAF6" w:themeFill="accent5" w:themeFillTint="33"/>
            <w:vAlign w:val="center"/>
          </w:tcPr>
          <w:p w14:paraId="07C0C879" w14:textId="3C8E6D8F" w:rsidR="001D5C5B" w:rsidRDefault="001D5C5B" w:rsidP="000A45AD">
            <w:pPr>
              <w:pStyle w:val="Akapitzlist"/>
              <w:numPr>
                <w:ilvl w:val="0"/>
                <w:numId w:val="1"/>
              </w:numPr>
            </w:pPr>
            <w:r>
              <w:t>Realizacja dokumentacji filmowej</w:t>
            </w:r>
          </w:p>
        </w:tc>
      </w:tr>
      <w:tr w:rsidR="001D5C5B" w:rsidRPr="000A45AD" w14:paraId="3658CED1" w14:textId="02B2CAD8" w:rsidTr="002E7619">
        <w:trPr>
          <w:jc w:val="center"/>
        </w:trPr>
        <w:tc>
          <w:tcPr>
            <w:tcW w:w="1206" w:type="dxa"/>
          </w:tcPr>
          <w:p w14:paraId="2F39467D" w14:textId="7D771EE0" w:rsidR="001D5C5B" w:rsidRDefault="00C970BC" w:rsidP="00F70AA7">
            <w:pPr>
              <w:ind w:left="360"/>
            </w:pPr>
            <w:r>
              <w:t>1.</w:t>
            </w:r>
          </w:p>
        </w:tc>
        <w:tc>
          <w:tcPr>
            <w:tcW w:w="2267" w:type="dxa"/>
          </w:tcPr>
          <w:p w14:paraId="4351ECC5" w14:textId="56670E48" w:rsidR="001D5C5B" w:rsidRDefault="001D5C5B" w:rsidP="00F70AA7">
            <w:r>
              <w:t>Dokumentacja filmowa wyd</w:t>
            </w:r>
            <w:r w:rsidR="004F2FFA">
              <w:softHyphen/>
            </w:r>
            <w:r>
              <w:t>arzeń</w:t>
            </w:r>
          </w:p>
        </w:tc>
        <w:tc>
          <w:tcPr>
            <w:tcW w:w="6443" w:type="dxa"/>
          </w:tcPr>
          <w:p w14:paraId="62832145" w14:textId="01A4D5BA" w:rsidR="00531924" w:rsidRDefault="001D5C5B" w:rsidP="00F70AA7">
            <w:r>
              <w:t>Produkcja materiał</w:t>
            </w:r>
            <w:r w:rsidR="00572695">
              <w:t>ów</w:t>
            </w:r>
            <w:r>
              <w:t xml:space="preserve"> filmow</w:t>
            </w:r>
            <w:r w:rsidR="00572695">
              <w:t>ych</w:t>
            </w:r>
            <w:r>
              <w:t xml:space="preserve"> w formie reportażu z wydarzeń związanych z Tarnowskim Centrum Dialogu. Materiał</w:t>
            </w:r>
            <w:r w:rsidR="00572695">
              <w:t>y</w:t>
            </w:r>
            <w:r>
              <w:t xml:space="preserve"> filmow</w:t>
            </w:r>
            <w:r w:rsidR="00572695">
              <w:t>e</w:t>
            </w:r>
            <w:r>
              <w:t xml:space="preserve"> do reportaży należy zarejestrować przy okazji </w:t>
            </w:r>
            <w:r w:rsidRPr="00572695">
              <w:t>wydarzeń</w:t>
            </w:r>
            <w:r w:rsidR="00531924" w:rsidRPr="00572695">
              <w:t>, tj.</w:t>
            </w:r>
            <w:r w:rsidRPr="00572695">
              <w:t>:</w:t>
            </w:r>
          </w:p>
          <w:p w14:paraId="0A6C0DA8" w14:textId="2CFC3E67" w:rsidR="00531924" w:rsidRDefault="007C02DE" w:rsidP="00F70AA7">
            <w:r w:rsidRPr="008B775E">
              <w:t>K</w:t>
            </w:r>
            <w:r w:rsidR="001D5C5B" w:rsidRPr="008B775E">
              <w:t>onferencj</w:t>
            </w:r>
            <w:r w:rsidR="00407E7E">
              <w:t>a</w:t>
            </w:r>
            <w:r w:rsidR="001D5C5B" w:rsidRPr="008B775E">
              <w:t xml:space="preserve"> </w:t>
            </w:r>
            <w:r w:rsidR="001D5C5B">
              <w:t>prasow</w:t>
            </w:r>
            <w:r w:rsidR="00407E7E">
              <w:t>a</w:t>
            </w:r>
            <w:r w:rsidR="001D5C5B">
              <w:t xml:space="preserve"> poświęco</w:t>
            </w:r>
            <w:r w:rsidR="00407E7E">
              <w:t>n</w:t>
            </w:r>
            <w:r w:rsidR="00EA3C92">
              <w:t>e</w:t>
            </w:r>
            <w:r w:rsidR="001D5C5B">
              <w:t>j realizacji projektu TCD, która odbędzie się mi</w:t>
            </w:r>
            <w:r w:rsidR="00F90CEF">
              <w:t>ę</w:t>
            </w:r>
            <w:r w:rsidR="001D5C5B">
              <w:t xml:space="preserve">dzy 11 a 15 marca 2024 r.  </w:t>
            </w:r>
          </w:p>
          <w:p w14:paraId="4A4C51E1" w14:textId="1C453D2B" w:rsidR="001D5C5B" w:rsidRDefault="001D5C5B" w:rsidP="00F70AA7">
            <w:r>
              <w:t>Reportaż kolorowy, o rozdzielczoś</w:t>
            </w:r>
            <w:r w:rsidR="00531924">
              <w:t>ci</w:t>
            </w:r>
            <w:r>
              <w:t xml:space="preserve"> </w:t>
            </w:r>
            <w:proofErr w:type="spellStart"/>
            <w:r>
              <w:t>full</w:t>
            </w:r>
            <w:proofErr w:type="spellEnd"/>
            <w:r>
              <w:t xml:space="preserve"> HD min. 1920x1080 </w:t>
            </w:r>
            <w:proofErr w:type="spellStart"/>
            <w:r>
              <w:t>pixeli</w:t>
            </w:r>
            <w:proofErr w:type="spellEnd"/>
            <w:r w:rsidR="00F90CEF">
              <w:t>, z</w:t>
            </w:r>
            <w:r>
              <w:t xml:space="preserve">e ścieżką dźwiękową zawierającą muzykę ilustracyjną i wypowiedzi występujących osób oraz lektora z </w:t>
            </w:r>
            <w:proofErr w:type="spellStart"/>
            <w:r>
              <w:t>offu</w:t>
            </w:r>
            <w:proofErr w:type="spellEnd"/>
            <w:r>
              <w:t>. Czas trwania każdego filmu ok. 6-10 minut. Film ma posiadać dynamiczny montaż; podpisy osób występujących w reportażu</w:t>
            </w:r>
            <w:r w:rsidR="006B2915">
              <w:t xml:space="preserve">, </w:t>
            </w:r>
            <w:r>
              <w:t xml:space="preserve">plansze tytułowe i plansze końcowe zawierające m.in.  informacje o wydarzeniu, współfinansowaniu z </w:t>
            </w:r>
            <w:proofErr w:type="spellStart"/>
            <w:r>
              <w:t>Norway</w:t>
            </w:r>
            <w:proofErr w:type="spellEnd"/>
            <w:r>
              <w:t xml:space="preserve"> </w:t>
            </w:r>
            <w:proofErr w:type="spellStart"/>
            <w:r>
              <w:t>grants</w:t>
            </w:r>
            <w:proofErr w:type="spellEnd"/>
            <w:r>
              <w:t>, organizatorach itp.</w:t>
            </w:r>
          </w:p>
          <w:p w14:paraId="5AFC0DDA" w14:textId="2B4A4E96" w:rsidR="001A39B5" w:rsidRDefault="001D5C5B" w:rsidP="00F70AA7">
            <w:r>
              <w:t xml:space="preserve">Reportaże mają mieć napisy rozszerzone, wg standardów WCAG 2.1 na poziomie AA. </w:t>
            </w:r>
          </w:p>
          <w:p w14:paraId="2437D6B3" w14:textId="2F2FE1F4" w:rsidR="001D5C5B" w:rsidRDefault="001D5C5B" w:rsidP="00F70AA7">
            <w:r>
              <w:t>Ostateczna wersja reportaży zostanie uzgodniona z Zamawiającym i zatwierdzona przez niego. Reportaże zostaną przekazane Zamawiającemu na nośniku typu płyta DVD lub pendrive.</w:t>
            </w:r>
          </w:p>
          <w:p w14:paraId="2E8DE121" w14:textId="77777777" w:rsidR="001D5C5B" w:rsidRDefault="001D5C5B" w:rsidP="00F70AA7">
            <w:r>
              <w:t xml:space="preserve">Wykonawca uzyska prawa do udostępnienia wizerunków osób występujących w filmie </w:t>
            </w:r>
            <w:r w:rsidRPr="008A6EB6">
              <w:t>oraz prawa do innych materiałów wykorzystanych w produkcji. Wykonawca przekaże Zamawiającemu pełne majątkowe prawa autorskie do powstałych reportaży.</w:t>
            </w:r>
            <w:r>
              <w:t xml:space="preserve">  </w:t>
            </w:r>
          </w:p>
          <w:p w14:paraId="38F526B8" w14:textId="44F23C0B" w:rsidR="00572695" w:rsidRPr="004A74B9" w:rsidRDefault="00572695" w:rsidP="00F70AA7">
            <w:pPr>
              <w:rPr>
                <w:color w:val="00B050"/>
              </w:rPr>
            </w:pPr>
          </w:p>
        </w:tc>
        <w:tc>
          <w:tcPr>
            <w:tcW w:w="2148" w:type="dxa"/>
          </w:tcPr>
          <w:p w14:paraId="7697BDC9" w14:textId="430898BF" w:rsidR="001D5C5B" w:rsidRDefault="001D5C5B" w:rsidP="00F70AA7">
            <w:r w:rsidRPr="001D5C5B">
              <w:t>2 materiały filmowe, trwające po 6-10 minut</w:t>
            </w:r>
          </w:p>
        </w:tc>
      </w:tr>
      <w:tr w:rsidR="001D5C5B" w:rsidRPr="000A45AD" w14:paraId="4AFA5477" w14:textId="77777777" w:rsidTr="002E7619">
        <w:trPr>
          <w:jc w:val="center"/>
        </w:trPr>
        <w:tc>
          <w:tcPr>
            <w:tcW w:w="1206" w:type="dxa"/>
          </w:tcPr>
          <w:p w14:paraId="59CE4BD1" w14:textId="377FFA46" w:rsidR="001D5C5B" w:rsidRDefault="00C970BC" w:rsidP="007B00A0">
            <w:pPr>
              <w:ind w:left="360"/>
            </w:pPr>
            <w:r>
              <w:lastRenderedPageBreak/>
              <w:t>2.</w:t>
            </w:r>
          </w:p>
        </w:tc>
        <w:tc>
          <w:tcPr>
            <w:tcW w:w="2267" w:type="dxa"/>
          </w:tcPr>
          <w:p w14:paraId="09DB7494" w14:textId="4917C36E" w:rsidR="001D5C5B" w:rsidRDefault="001D5C5B" w:rsidP="007B00A0">
            <w:pPr>
              <w:rPr>
                <w:color w:val="7F7F7F" w:themeColor="text1" w:themeTint="80"/>
              </w:rPr>
            </w:pPr>
            <w:r>
              <w:t xml:space="preserve">Materiał filmowy o otwarciu zmodernizowanego budynku przy ul. </w:t>
            </w:r>
            <w:proofErr w:type="spellStart"/>
            <w:r>
              <w:t>Gumniskiej</w:t>
            </w:r>
            <w:proofErr w:type="spellEnd"/>
            <w:r>
              <w:t xml:space="preserve"> 30</w:t>
            </w:r>
          </w:p>
          <w:p w14:paraId="5A3F660B" w14:textId="2FB13C9C" w:rsidR="001D5C5B" w:rsidRDefault="001D5C5B" w:rsidP="007B00A0"/>
        </w:tc>
        <w:tc>
          <w:tcPr>
            <w:tcW w:w="6443" w:type="dxa"/>
          </w:tcPr>
          <w:p w14:paraId="2165CF7E" w14:textId="48423F7C" w:rsidR="001D5C5B" w:rsidRPr="002A3473" w:rsidRDefault="001D5C5B" w:rsidP="007B00A0">
            <w:pPr>
              <w:rPr>
                <w:color w:val="00B050"/>
              </w:rPr>
            </w:pPr>
            <w:r>
              <w:t xml:space="preserve">Produkcja materiału filmowego w formie reportażu </w:t>
            </w:r>
            <w:r w:rsidRPr="007B00A0">
              <w:t xml:space="preserve">z uroczystości otwarcia budynku przy ul. </w:t>
            </w:r>
            <w:proofErr w:type="spellStart"/>
            <w:r w:rsidRPr="00F4519C">
              <w:t>Gumniskiej</w:t>
            </w:r>
            <w:proofErr w:type="spellEnd"/>
            <w:r w:rsidRPr="00F4519C">
              <w:t xml:space="preserve"> 30</w:t>
            </w:r>
            <w:r>
              <w:t>, s</w:t>
            </w:r>
            <w:r w:rsidRPr="00F4519C">
              <w:t xml:space="preserve">kładającego się z zapisu  części oficjalnej, fragmentów wernisażu wystawy i koncertu. Całość uzupełniona o migawki z </w:t>
            </w:r>
            <w:r w:rsidRPr="008B775E">
              <w:t xml:space="preserve">wnętrza i </w:t>
            </w:r>
            <w:r w:rsidR="002A5883" w:rsidRPr="008B775E">
              <w:t xml:space="preserve">z zewnątrz </w:t>
            </w:r>
            <w:r w:rsidRPr="008B775E">
              <w:t>budynku</w:t>
            </w:r>
            <w:r w:rsidRPr="00F4519C">
              <w:t>, wywiady z gośćmi otwarcia, plansze informacyjne dot. wydarzenia, Zamawiającego, Funduszy Norweskich. Niezbędne informacje do plansz informacyjnych dostarczy Zamawiający.</w:t>
            </w:r>
            <w:r>
              <w:t xml:space="preserve"> </w:t>
            </w:r>
            <w:r w:rsidRPr="00E70C57">
              <w:t>Materiał filmowy do reportaż</w:t>
            </w:r>
            <w:r>
              <w:t>u</w:t>
            </w:r>
            <w:r w:rsidRPr="00E70C57">
              <w:t xml:space="preserve"> należy zarejestrować przy okazji wydarze</w:t>
            </w:r>
            <w:r>
              <w:t>ń o</w:t>
            </w:r>
            <w:r w:rsidRPr="00E70C57">
              <w:t xml:space="preserve">twarcia budynku TCD przy ul. </w:t>
            </w:r>
            <w:proofErr w:type="spellStart"/>
            <w:r w:rsidRPr="00E70C57">
              <w:t>Gumniskiej</w:t>
            </w:r>
            <w:proofErr w:type="spellEnd"/>
            <w:r w:rsidRPr="00E70C57">
              <w:t xml:space="preserve"> w dniu 22 i 23 marca</w:t>
            </w:r>
            <w:r w:rsidR="002A5883">
              <w:t>.</w:t>
            </w:r>
            <w:r w:rsidRPr="00F4519C">
              <w:t xml:space="preserve"> </w:t>
            </w:r>
          </w:p>
          <w:p w14:paraId="47A29F3E" w14:textId="77777777" w:rsidR="001D5C5B" w:rsidRDefault="001D5C5B" w:rsidP="007B00A0">
            <w:r>
              <w:t xml:space="preserve">Reportaż ma mieć napisy rozszerzone, wg standardów WCAG 2.1 na poziomie AA. Ostateczna wersja reportażu zostanie uzgodniona z Zamawiającym i zatwierdzona przez niego. Reportaż zostanie przekazany Zamawiającemu na nośniku typu płyta DVD lub pendrive. </w:t>
            </w:r>
          </w:p>
          <w:p w14:paraId="4D3A9B06" w14:textId="45B7ACF5" w:rsidR="00572695" w:rsidRPr="007F4618" w:rsidRDefault="001D5C5B" w:rsidP="007B00A0">
            <w:r>
              <w:t xml:space="preserve">Wykonawca uzyska prawa do udostępnienia wizerunków osób występujących w filmie oraz prawa do innych materiałów wykorzystanych w </w:t>
            </w:r>
            <w:r w:rsidRPr="008A6EB6">
              <w:t>produkcji. Wykonawca przekaże Zamawiającemu pełne majątkowe prawa autorskie do powstałych reportaży.</w:t>
            </w:r>
            <w:r>
              <w:t xml:space="preserve">  </w:t>
            </w:r>
          </w:p>
        </w:tc>
        <w:tc>
          <w:tcPr>
            <w:tcW w:w="2148" w:type="dxa"/>
          </w:tcPr>
          <w:p w14:paraId="5C5A05A7" w14:textId="521BAF01" w:rsidR="001D5C5B" w:rsidRDefault="001D5C5B" w:rsidP="007B00A0">
            <w:r>
              <w:t>1 film, trwający 6-10 minut</w:t>
            </w:r>
          </w:p>
        </w:tc>
      </w:tr>
      <w:tr w:rsidR="001D5C5B" w:rsidRPr="000A45AD" w14:paraId="10C7054E" w14:textId="77777777" w:rsidTr="002C079C">
        <w:trPr>
          <w:trHeight w:val="2122"/>
          <w:jc w:val="center"/>
        </w:trPr>
        <w:tc>
          <w:tcPr>
            <w:tcW w:w="1206" w:type="dxa"/>
          </w:tcPr>
          <w:p w14:paraId="4E9AFFBF" w14:textId="7CA34397" w:rsidR="001D5C5B" w:rsidRDefault="00C970BC" w:rsidP="007B00A0">
            <w:pPr>
              <w:ind w:left="360"/>
            </w:pPr>
            <w:r>
              <w:t>3.</w:t>
            </w:r>
          </w:p>
        </w:tc>
        <w:tc>
          <w:tcPr>
            <w:tcW w:w="2267" w:type="dxa"/>
          </w:tcPr>
          <w:p w14:paraId="2B521AA7" w14:textId="6914A492" w:rsidR="001D5C5B" w:rsidRDefault="001D5C5B" w:rsidP="007B00A0">
            <w:r>
              <w:t>Materiał filmowy o historii budynku</w:t>
            </w:r>
          </w:p>
        </w:tc>
        <w:tc>
          <w:tcPr>
            <w:tcW w:w="6443" w:type="dxa"/>
          </w:tcPr>
          <w:p w14:paraId="0E1368E5" w14:textId="1A484219" w:rsidR="001D5C5B" w:rsidRDefault="001D5C5B" w:rsidP="007B00A0">
            <w:r>
              <w:t xml:space="preserve">Produkcja materiału filmowego w formie reportażu o historii willi </w:t>
            </w:r>
            <w:proofErr w:type="spellStart"/>
            <w:r>
              <w:t>Goldmanówka</w:t>
            </w:r>
            <w:proofErr w:type="spellEnd"/>
            <w:r>
              <w:t>, w której będzie działać Tarnowskie Centrum Dialogu. Materiał o rozdzielczoś</w:t>
            </w:r>
            <w:r w:rsidR="00E5437B">
              <w:t>ci</w:t>
            </w:r>
            <w:r>
              <w:t xml:space="preserve"> </w:t>
            </w:r>
            <w:proofErr w:type="spellStart"/>
            <w:r>
              <w:t>full</w:t>
            </w:r>
            <w:proofErr w:type="spellEnd"/>
            <w:r>
              <w:t xml:space="preserve"> HD min. 1920x1080 </w:t>
            </w:r>
            <w:proofErr w:type="spellStart"/>
            <w:r>
              <w:t>pixeli</w:t>
            </w:r>
            <w:proofErr w:type="spellEnd"/>
            <w:r w:rsidR="00E5437B">
              <w:t>, z</w:t>
            </w:r>
            <w:r>
              <w:t xml:space="preserve">e ścieżką dźwiękową zawierającą muzykę ilustracyjną i wypowiedzi występujących osób, lub głos z </w:t>
            </w:r>
            <w:proofErr w:type="spellStart"/>
            <w:r>
              <w:t>offu</w:t>
            </w:r>
            <w:proofErr w:type="spellEnd"/>
            <w:r>
              <w:t xml:space="preserve">. Czas trwania ok. 3-5 minut. Film posiadać będzie dynamiczny montaż, podpisy osób występujących w reportażu, plansze tytułowe i plansze końcowe zawierające m.in.  informacje o wydarzeniu, współfinansowaniu z </w:t>
            </w:r>
            <w:proofErr w:type="spellStart"/>
            <w:r>
              <w:t>Norway</w:t>
            </w:r>
            <w:proofErr w:type="spellEnd"/>
            <w:r>
              <w:t xml:space="preserve"> </w:t>
            </w:r>
            <w:proofErr w:type="spellStart"/>
            <w:r>
              <w:t>grants</w:t>
            </w:r>
            <w:proofErr w:type="spellEnd"/>
            <w:r>
              <w:t>, organizatorach itp.</w:t>
            </w:r>
          </w:p>
          <w:p w14:paraId="6C1D16B6" w14:textId="18A50272" w:rsidR="001D5C5B" w:rsidRDefault="001D5C5B" w:rsidP="007B00A0">
            <w:r>
              <w:t xml:space="preserve">Reportaż będzie miał napisy rozszerzone, wg standardów WCAG 2.1 na poziomie AA. Ostateczna wersja reportażu zostanie uzgodniona z </w:t>
            </w:r>
            <w:r>
              <w:lastRenderedPageBreak/>
              <w:t>Zamawiającym i zatwierdzona przez niego. Reportaż zostanie przekazan</w:t>
            </w:r>
            <w:r w:rsidR="008F7DA1">
              <w:t>y</w:t>
            </w:r>
            <w:r>
              <w:t xml:space="preserve"> Zamawiającemu na nośniku typu płyta DVD lub pendrive.</w:t>
            </w:r>
          </w:p>
          <w:p w14:paraId="5656A0B0" w14:textId="77777777" w:rsidR="001D5C5B" w:rsidRDefault="001D5C5B" w:rsidP="007B00A0">
            <w:r>
              <w:t xml:space="preserve">Zamawiający dostarczy niezbędne archiwalne materiały ikonograficzne oraz koncepcję scenariusza. </w:t>
            </w:r>
          </w:p>
          <w:p w14:paraId="07D55176" w14:textId="131C92B2" w:rsidR="00572695" w:rsidRDefault="001D5C5B" w:rsidP="007B00A0">
            <w:r>
              <w:t xml:space="preserve">Wykonawca uzyska prawa do udostępnienia wizerunków osób występujących w filmie oraz </w:t>
            </w:r>
            <w:r w:rsidRPr="008A6EB6">
              <w:t>prawa do innych materiałów wykorzystanych w produkcji. Wykonawca przekaże Zamawiającemu pełne majątkowe prawa autorskie do powstałego reportażu.</w:t>
            </w:r>
          </w:p>
        </w:tc>
        <w:tc>
          <w:tcPr>
            <w:tcW w:w="2148" w:type="dxa"/>
          </w:tcPr>
          <w:p w14:paraId="1DA2D8B6" w14:textId="6BE6C223" w:rsidR="001D5C5B" w:rsidRDefault="001D5C5B" w:rsidP="007B00A0">
            <w:r>
              <w:lastRenderedPageBreak/>
              <w:t>1 film, trwający 3-5 minut</w:t>
            </w:r>
          </w:p>
        </w:tc>
      </w:tr>
      <w:tr w:rsidR="001D5C5B" w:rsidRPr="000A45AD" w14:paraId="7107D13D" w14:textId="49F9C1FC" w:rsidTr="008D4EDF">
        <w:trPr>
          <w:trHeight w:val="397"/>
          <w:jc w:val="center"/>
        </w:trPr>
        <w:tc>
          <w:tcPr>
            <w:tcW w:w="12064" w:type="dxa"/>
            <w:gridSpan w:val="4"/>
            <w:shd w:val="clear" w:color="auto" w:fill="DEEAF6" w:themeFill="accent5" w:themeFillTint="33"/>
            <w:vAlign w:val="center"/>
          </w:tcPr>
          <w:p w14:paraId="72DBB050" w14:textId="055B754E" w:rsidR="001D5C5B" w:rsidRDefault="001D5C5B" w:rsidP="007B00A0">
            <w:pPr>
              <w:pStyle w:val="Akapitzlist"/>
              <w:numPr>
                <w:ilvl w:val="0"/>
                <w:numId w:val="1"/>
              </w:numPr>
            </w:pPr>
            <w:r>
              <w:t>Materiały outdoorowe - druk</w:t>
            </w:r>
          </w:p>
        </w:tc>
      </w:tr>
      <w:tr w:rsidR="001D5C5B" w:rsidRPr="000A45AD" w14:paraId="5303F475" w14:textId="77D25497" w:rsidTr="002E7619">
        <w:trPr>
          <w:jc w:val="center"/>
        </w:trPr>
        <w:tc>
          <w:tcPr>
            <w:tcW w:w="1206" w:type="dxa"/>
          </w:tcPr>
          <w:p w14:paraId="4CA53184" w14:textId="4224615C" w:rsidR="001D5C5B" w:rsidRPr="002B64D2" w:rsidRDefault="001D5C5B" w:rsidP="007B00A0">
            <w:pPr>
              <w:rPr>
                <w:b/>
                <w:bCs/>
              </w:rPr>
            </w:pPr>
            <w:r w:rsidRPr="002B64D2">
              <w:rPr>
                <w:b/>
                <w:bCs/>
              </w:rPr>
              <w:t>Lp.</w:t>
            </w:r>
          </w:p>
        </w:tc>
        <w:tc>
          <w:tcPr>
            <w:tcW w:w="2267" w:type="dxa"/>
          </w:tcPr>
          <w:p w14:paraId="78696B7E" w14:textId="609F0912" w:rsidR="001D5C5B" w:rsidRPr="002B64D2" w:rsidRDefault="001D5C5B" w:rsidP="007B00A0">
            <w:pPr>
              <w:rPr>
                <w:b/>
                <w:bCs/>
              </w:rPr>
            </w:pPr>
            <w:r w:rsidRPr="002B64D2">
              <w:rPr>
                <w:b/>
                <w:bCs/>
              </w:rPr>
              <w:t>Nazwa usługi</w:t>
            </w:r>
          </w:p>
        </w:tc>
        <w:tc>
          <w:tcPr>
            <w:tcW w:w="6443" w:type="dxa"/>
          </w:tcPr>
          <w:p w14:paraId="7F4DB91B" w14:textId="52C62E9B" w:rsidR="001D5C5B" w:rsidRPr="002B64D2" w:rsidRDefault="001D5C5B" w:rsidP="007B00A0">
            <w:pPr>
              <w:rPr>
                <w:b/>
                <w:bCs/>
              </w:rPr>
            </w:pPr>
            <w:r w:rsidRPr="002B64D2">
              <w:rPr>
                <w:b/>
                <w:bCs/>
              </w:rPr>
              <w:t>Opis usługi</w:t>
            </w:r>
          </w:p>
        </w:tc>
        <w:tc>
          <w:tcPr>
            <w:tcW w:w="2148" w:type="dxa"/>
          </w:tcPr>
          <w:p w14:paraId="63C33638" w14:textId="5E85AE40" w:rsidR="001D5C5B" w:rsidRPr="002B64D2" w:rsidRDefault="001D5C5B" w:rsidP="007B00A0">
            <w:pPr>
              <w:rPr>
                <w:b/>
                <w:bCs/>
              </w:rPr>
            </w:pPr>
            <w:r w:rsidRPr="002B64D2">
              <w:rPr>
                <w:b/>
                <w:bCs/>
              </w:rPr>
              <w:t>Ilość / czas trwania</w:t>
            </w:r>
          </w:p>
        </w:tc>
      </w:tr>
      <w:tr w:rsidR="001D5C5B" w:rsidRPr="000A45AD" w14:paraId="0520BD0E" w14:textId="45DE6802" w:rsidTr="002E7619">
        <w:trPr>
          <w:jc w:val="center"/>
        </w:trPr>
        <w:tc>
          <w:tcPr>
            <w:tcW w:w="1206" w:type="dxa"/>
          </w:tcPr>
          <w:p w14:paraId="08C7EAE2" w14:textId="235EFFAF" w:rsidR="001D5C5B" w:rsidRPr="00C970BC" w:rsidRDefault="00C970BC" w:rsidP="007B00A0">
            <w:r w:rsidRPr="00C970BC">
              <w:t>1.</w:t>
            </w:r>
          </w:p>
        </w:tc>
        <w:tc>
          <w:tcPr>
            <w:tcW w:w="2267" w:type="dxa"/>
          </w:tcPr>
          <w:p w14:paraId="788A9958" w14:textId="0BC7DE19" w:rsidR="001D5C5B" w:rsidRPr="005F5D61" w:rsidRDefault="001D5C5B" w:rsidP="007B00A0">
            <w:r w:rsidRPr="005F5D61">
              <w:t>Plakat B1 - druk</w:t>
            </w:r>
          </w:p>
        </w:tc>
        <w:tc>
          <w:tcPr>
            <w:tcW w:w="6443" w:type="dxa"/>
          </w:tcPr>
          <w:p w14:paraId="7829BC7A" w14:textId="023811BC" w:rsidR="001D5C5B" w:rsidRPr="002A3473" w:rsidRDefault="001D5C5B" w:rsidP="007B00A0">
            <w:pPr>
              <w:rPr>
                <w:color w:val="00B050"/>
              </w:rPr>
            </w:pPr>
            <w:r>
              <w:t>Druk plakatów o formacie B1, pełno kolorowych (4/0), papier kredowany, matowy, o gramaturze minimum 130 g/m</w:t>
            </w:r>
            <w:r w:rsidRPr="000A45AD">
              <w:rPr>
                <w:vertAlign w:val="superscript"/>
              </w:rPr>
              <w:t>2</w:t>
            </w:r>
            <w:r w:rsidRPr="000A45AD">
              <w:t>.</w:t>
            </w:r>
          </w:p>
        </w:tc>
        <w:tc>
          <w:tcPr>
            <w:tcW w:w="2148" w:type="dxa"/>
          </w:tcPr>
          <w:p w14:paraId="743089BB" w14:textId="47BDB83D" w:rsidR="001D5C5B" w:rsidRPr="000A45AD" w:rsidRDefault="001D5C5B" w:rsidP="007B00A0">
            <w:r>
              <w:t>200 szt.</w:t>
            </w:r>
          </w:p>
        </w:tc>
      </w:tr>
      <w:tr w:rsidR="001D5C5B" w:rsidRPr="000A45AD" w14:paraId="02376D5F" w14:textId="09793C67" w:rsidTr="002E7619">
        <w:trPr>
          <w:jc w:val="center"/>
        </w:trPr>
        <w:tc>
          <w:tcPr>
            <w:tcW w:w="1206" w:type="dxa"/>
          </w:tcPr>
          <w:p w14:paraId="540167C6" w14:textId="6911AAB1" w:rsidR="001D5C5B" w:rsidRPr="00C970BC" w:rsidRDefault="00C970BC" w:rsidP="007B00A0">
            <w:r w:rsidRPr="00C970BC">
              <w:t>2.</w:t>
            </w:r>
          </w:p>
        </w:tc>
        <w:tc>
          <w:tcPr>
            <w:tcW w:w="2267" w:type="dxa"/>
          </w:tcPr>
          <w:p w14:paraId="54F6FEC8" w14:textId="6E90A52F" w:rsidR="001D5C5B" w:rsidRPr="005F5D61" w:rsidRDefault="001D5C5B" w:rsidP="007B00A0">
            <w:r w:rsidRPr="005F5D61">
              <w:t>Billboardy - druk</w:t>
            </w:r>
          </w:p>
        </w:tc>
        <w:tc>
          <w:tcPr>
            <w:tcW w:w="6443" w:type="dxa"/>
          </w:tcPr>
          <w:p w14:paraId="22990F0E" w14:textId="77F19E73" w:rsidR="001D5C5B" w:rsidRPr="000A45AD" w:rsidRDefault="001D5C5B" w:rsidP="007B00A0">
            <w:r>
              <w:t>Druk billboardów, format</w:t>
            </w:r>
            <w:r w:rsidR="00704B65">
              <w:t>y:</w:t>
            </w:r>
            <w:r>
              <w:t xml:space="preserve"> 600x300 cm </w:t>
            </w:r>
            <w:r w:rsidR="00704B65">
              <w:t xml:space="preserve">( 3 szt.), 500 x 238 cm (1 szt.), 390 x 186 cm (1 szt.); </w:t>
            </w:r>
            <w:r>
              <w:t xml:space="preserve">pełno kolorowych (4/0), papier do druku billboardów typu </w:t>
            </w:r>
            <w:proofErr w:type="spellStart"/>
            <w:r w:rsidRPr="00FF75F0">
              <w:t>blueback</w:t>
            </w:r>
            <w:proofErr w:type="spellEnd"/>
            <w:r>
              <w:t>, o gramaturze minimum 115 g/m</w:t>
            </w:r>
            <w:r w:rsidRPr="000A45AD">
              <w:rPr>
                <w:vertAlign w:val="superscript"/>
              </w:rPr>
              <w:t>2</w:t>
            </w:r>
            <w:r w:rsidRPr="000A45AD">
              <w:t>.</w:t>
            </w:r>
            <w:r>
              <w:t xml:space="preserve"> </w:t>
            </w:r>
          </w:p>
        </w:tc>
        <w:tc>
          <w:tcPr>
            <w:tcW w:w="2148" w:type="dxa"/>
          </w:tcPr>
          <w:p w14:paraId="64E3621A" w14:textId="79CC550D" w:rsidR="001D5C5B" w:rsidRPr="000A45AD" w:rsidRDefault="001D5C5B" w:rsidP="007B00A0">
            <w:r>
              <w:t>1 x 5 szt.</w:t>
            </w:r>
          </w:p>
        </w:tc>
      </w:tr>
      <w:tr w:rsidR="001D5C5B" w:rsidRPr="000A45AD" w14:paraId="524B20D1" w14:textId="5734A423" w:rsidTr="002E7619">
        <w:trPr>
          <w:jc w:val="center"/>
        </w:trPr>
        <w:tc>
          <w:tcPr>
            <w:tcW w:w="1206" w:type="dxa"/>
          </w:tcPr>
          <w:p w14:paraId="236B7489" w14:textId="355BB310" w:rsidR="001D5C5B" w:rsidRPr="00C970BC" w:rsidRDefault="00C970BC" w:rsidP="007B00A0">
            <w:r w:rsidRPr="00C970BC">
              <w:t>3.</w:t>
            </w:r>
          </w:p>
        </w:tc>
        <w:tc>
          <w:tcPr>
            <w:tcW w:w="2267" w:type="dxa"/>
          </w:tcPr>
          <w:p w14:paraId="6C6266E3" w14:textId="056E9F46" w:rsidR="001D5C5B" w:rsidRPr="005F5D61" w:rsidRDefault="001D5C5B" w:rsidP="007B00A0">
            <w:proofErr w:type="spellStart"/>
            <w:r w:rsidRPr="005F5D61">
              <w:rPr>
                <w:rFonts w:eastAsia="Times New Roman"/>
                <w:color w:val="000000"/>
                <w:lang w:eastAsia="pl-PL"/>
                <w14:ligatures w14:val="none"/>
              </w:rPr>
              <w:t>Citylight</w:t>
            </w:r>
            <w:proofErr w:type="spellEnd"/>
            <w:r w:rsidRPr="005F5D61">
              <w:rPr>
                <w:rFonts w:eastAsia="Times New Roman"/>
                <w:color w:val="000000"/>
                <w:lang w:eastAsia="pl-PL"/>
                <w14:ligatures w14:val="none"/>
              </w:rPr>
              <w:t xml:space="preserve"> - druk</w:t>
            </w:r>
          </w:p>
        </w:tc>
        <w:tc>
          <w:tcPr>
            <w:tcW w:w="6443" w:type="dxa"/>
          </w:tcPr>
          <w:p w14:paraId="16120F60" w14:textId="5421A325" w:rsidR="001D5C5B" w:rsidRPr="000A45AD" w:rsidRDefault="001D5C5B" w:rsidP="007B00A0">
            <w:r>
              <w:t xml:space="preserve">Druk plakatów do </w:t>
            </w:r>
            <w:proofErr w:type="spellStart"/>
            <w:r>
              <w:t>citylightów</w:t>
            </w:r>
            <w:proofErr w:type="spellEnd"/>
            <w:r>
              <w:t xml:space="preserve">, o </w:t>
            </w:r>
            <w:r w:rsidRPr="00FF75F0">
              <w:t xml:space="preserve">wymiarach 115 x 180 cm, grafika </w:t>
            </w:r>
            <w:proofErr w:type="spellStart"/>
            <w:r w:rsidRPr="00FF75F0">
              <w:t>pełnokoorowa</w:t>
            </w:r>
            <w:proofErr w:type="spellEnd"/>
            <w:r w:rsidRPr="00FF75F0">
              <w:t xml:space="preserve">, </w:t>
            </w:r>
            <w:r>
              <w:t>4/0</w:t>
            </w:r>
            <w:r w:rsidRPr="00FF75F0">
              <w:t>, druk na papierze</w:t>
            </w:r>
            <w:r>
              <w:t xml:space="preserve"> o gramaturze minimum 115 g/m</w:t>
            </w:r>
            <w:r w:rsidRPr="000A45AD">
              <w:rPr>
                <w:vertAlign w:val="superscript"/>
              </w:rPr>
              <w:t>2</w:t>
            </w:r>
            <w:r>
              <w:t xml:space="preserve">. </w:t>
            </w:r>
          </w:p>
        </w:tc>
        <w:tc>
          <w:tcPr>
            <w:tcW w:w="2148" w:type="dxa"/>
          </w:tcPr>
          <w:p w14:paraId="4DE4818F" w14:textId="3182D993" w:rsidR="001D5C5B" w:rsidRPr="000A45AD" w:rsidRDefault="001D5C5B" w:rsidP="007B00A0">
            <w:r>
              <w:t>1 x 10 szt.</w:t>
            </w:r>
          </w:p>
        </w:tc>
      </w:tr>
      <w:tr w:rsidR="001D5C5B" w:rsidRPr="000A45AD" w14:paraId="0A1461D8" w14:textId="5107F0B8" w:rsidTr="002E7619">
        <w:trPr>
          <w:jc w:val="center"/>
        </w:trPr>
        <w:tc>
          <w:tcPr>
            <w:tcW w:w="1206" w:type="dxa"/>
          </w:tcPr>
          <w:p w14:paraId="2736D1E9" w14:textId="56BD7706" w:rsidR="001D5C5B" w:rsidRPr="000A45AD" w:rsidRDefault="00C970BC" w:rsidP="007B00A0">
            <w:r>
              <w:t>4.</w:t>
            </w:r>
          </w:p>
        </w:tc>
        <w:tc>
          <w:tcPr>
            <w:tcW w:w="2267" w:type="dxa"/>
          </w:tcPr>
          <w:p w14:paraId="7D1FA544" w14:textId="29B362BE" w:rsidR="001D5C5B" w:rsidRPr="000A45AD" w:rsidRDefault="001D5C5B" w:rsidP="007B00A0">
            <w:r>
              <w:t>Flagi (</w:t>
            </w:r>
            <w:proofErr w:type="spellStart"/>
            <w:r>
              <w:t>windery</w:t>
            </w:r>
            <w:proofErr w:type="spellEnd"/>
            <w:r>
              <w:t>)</w:t>
            </w:r>
          </w:p>
        </w:tc>
        <w:tc>
          <w:tcPr>
            <w:tcW w:w="6443" w:type="dxa"/>
          </w:tcPr>
          <w:p w14:paraId="421428CD" w14:textId="5970F378" w:rsidR="001D5C5B" w:rsidRPr="000A45AD" w:rsidRDefault="001D5C5B" w:rsidP="007B00A0">
            <w:r>
              <w:t xml:space="preserve">Produkcja 6 flag typu </w:t>
            </w:r>
            <w:proofErr w:type="spellStart"/>
            <w:r>
              <w:t>winder</w:t>
            </w:r>
            <w:proofErr w:type="spellEnd"/>
            <w:r>
              <w:t xml:space="preserve">, o wymiarach flagi ok. 70x210 cm (± 20 cm), zadruk pełno kolorowy metodą </w:t>
            </w:r>
            <w:proofErr w:type="spellStart"/>
            <w:r>
              <w:t>termotransferu</w:t>
            </w:r>
            <w:proofErr w:type="spellEnd"/>
            <w:r>
              <w:t xml:space="preserve"> na całej powierzchni, na materiale </w:t>
            </w:r>
            <w:r w:rsidRPr="000253AA">
              <w:t>flagowy, gładki</w:t>
            </w:r>
            <w:r>
              <w:t>m</w:t>
            </w:r>
            <w:r w:rsidRPr="000253AA">
              <w:t>, o gramaturze około 115 g/m</w:t>
            </w:r>
            <w:r w:rsidRPr="000253AA">
              <w:rPr>
                <w:vertAlign w:val="superscript"/>
              </w:rPr>
              <w:t>2</w:t>
            </w:r>
            <w:r w:rsidRPr="000253AA">
              <w:t xml:space="preserve">; </w:t>
            </w:r>
            <w:r>
              <w:t>flaga z zaokrąglonym dolnym narożnikiem, na maszcie aluminiowym o wysokości ok. 2,6 m (± 30 cm), z pokrowcem transportowym; z rotatorem obrotowym i podstawą stalową, malowaną, do zastosowań zewnętrznych i wewnętrznych, o wadze min. 6 kg. Komplet składać się będzie 6 flag (3 różne projekty).</w:t>
            </w:r>
          </w:p>
        </w:tc>
        <w:tc>
          <w:tcPr>
            <w:tcW w:w="2148" w:type="dxa"/>
          </w:tcPr>
          <w:p w14:paraId="1A6E0722" w14:textId="18DFF81F" w:rsidR="001D5C5B" w:rsidRPr="000A45AD" w:rsidRDefault="001D5C5B" w:rsidP="007B00A0">
            <w:r>
              <w:t>komplet</w:t>
            </w:r>
          </w:p>
        </w:tc>
      </w:tr>
      <w:tr w:rsidR="001D5C5B" w:rsidRPr="000A45AD" w14:paraId="02B8CAAE" w14:textId="0571C9EE" w:rsidTr="002E7619">
        <w:trPr>
          <w:jc w:val="center"/>
        </w:trPr>
        <w:tc>
          <w:tcPr>
            <w:tcW w:w="1206" w:type="dxa"/>
          </w:tcPr>
          <w:p w14:paraId="72187673" w14:textId="3D46AAB5" w:rsidR="001D5C5B" w:rsidRPr="000A45AD" w:rsidRDefault="00C970BC" w:rsidP="007B00A0">
            <w:r>
              <w:t>5.</w:t>
            </w:r>
          </w:p>
        </w:tc>
        <w:tc>
          <w:tcPr>
            <w:tcW w:w="2267" w:type="dxa"/>
          </w:tcPr>
          <w:p w14:paraId="2F850680" w14:textId="7CB9ECD4" w:rsidR="001D5C5B" w:rsidRDefault="001D5C5B" w:rsidP="007B00A0">
            <w:proofErr w:type="spellStart"/>
            <w:r>
              <w:t>Roll-up</w:t>
            </w:r>
            <w:proofErr w:type="spellEnd"/>
          </w:p>
        </w:tc>
        <w:tc>
          <w:tcPr>
            <w:tcW w:w="6443" w:type="dxa"/>
          </w:tcPr>
          <w:p w14:paraId="1D57258F" w14:textId="1A2B38F1" w:rsidR="001D5C5B" w:rsidRPr="00E27ABB" w:rsidRDefault="001D5C5B" w:rsidP="007B00A0">
            <w:pPr>
              <w:rPr>
                <w:color w:val="00B050"/>
              </w:rPr>
            </w:pPr>
            <w:r>
              <w:rPr>
                <w:rFonts w:asciiTheme="minorHAnsi" w:hAnsiTheme="minorHAnsi" w:cstheme="minorHAnsi"/>
                <w:spacing w:val="-2"/>
              </w:rPr>
              <w:t xml:space="preserve">Produkcja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Roll-upów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promocyjny o wymiarach 100 x 200 cm, z </w:t>
            </w:r>
            <w:r>
              <w:rPr>
                <w:rFonts w:asciiTheme="minorHAnsi" w:hAnsiTheme="minorHAnsi" w:cstheme="minorHAnsi"/>
                <w:spacing w:val="-2"/>
              </w:rPr>
              <w:lastRenderedPageBreak/>
              <w:t xml:space="preserve">nadrukiem jednostronnym,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pełnokolorowym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solwentowym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lub UV</w:t>
            </w:r>
            <w:r w:rsidR="00E5437B">
              <w:rPr>
                <w:rFonts w:asciiTheme="minorHAnsi" w:hAnsiTheme="minorHAnsi" w:cstheme="minorHAnsi"/>
                <w:spacing w:val="-2"/>
              </w:rPr>
              <w:t xml:space="preserve"> n</w:t>
            </w:r>
            <w:r>
              <w:rPr>
                <w:rFonts w:asciiTheme="minorHAnsi" w:hAnsiTheme="minorHAnsi" w:cstheme="minorHAnsi"/>
                <w:spacing w:val="-2"/>
              </w:rPr>
              <w:t xml:space="preserve">a materiale typu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blockout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>, o gramaturze min. 220 g/m</w:t>
            </w:r>
            <w:r>
              <w:rPr>
                <w:rFonts w:asciiTheme="minorHAnsi" w:hAnsiTheme="minorHAnsi" w:cstheme="minorHAnsi"/>
                <w:spacing w:val="-2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pacing w:val="-2"/>
              </w:rPr>
              <w:t xml:space="preserve">. Grafika drukowana na spad, w rozdzielczości min. 150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dpi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>. Dwa różne projekty. S</w:t>
            </w:r>
            <w:r w:rsidRPr="00E323FD">
              <w:rPr>
                <w:rFonts w:asciiTheme="minorHAnsi" w:hAnsiTheme="minorHAnsi" w:cstheme="minorHAnsi"/>
                <w:spacing w:val="-2"/>
              </w:rPr>
              <w:t>tabilna kaseta aluminiowa bez nó</w:t>
            </w:r>
            <w:r>
              <w:rPr>
                <w:rFonts w:asciiTheme="minorHAnsi" w:hAnsiTheme="minorHAnsi" w:cstheme="minorHAnsi"/>
                <w:spacing w:val="-2"/>
              </w:rPr>
              <w:t>ż</w:t>
            </w:r>
            <w:r w:rsidRPr="00E323FD">
              <w:rPr>
                <w:rFonts w:asciiTheme="minorHAnsi" w:hAnsiTheme="minorHAnsi" w:cstheme="minorHAnsi"/>
                <w:spacing w:val="-2"/>
              </w:rPr>
              <w:t>ek – typu łezka z chromowanym wykończeniem</w:t>
            </w:r>
            <w:r>
              <w:rPr>
                <w:rFonts w:asciiTheme="minorHAnsi" w:hAnsiTheme="minorHAnsi" w:cstheme="minorHAnsi"/>
                <w:spacing w:val="-2"/>
              </w:rPr>
              <w:t>, wyposażona w torbę transportową</w:t>
            </w:r>
            <w:r w:rsidR="00367FBC">
              <w:rPr>
                <w:rFonts w:asciiTheme="minorHAnsi" w:hAnsiTheme="minorHAnsi" w:cstheme="minorHAnsi"/>
                <w:spacing w:val="-2"/>
              </w:rPr>
              <w:t>.</w:t>
            </w:r>
          </w:p>
        </w:tc>
        <w:tc>
          <w:tcPr>
            <w:tcW w:w="2148" w:type="dxa"/>
          </w:tcPr>
          <w:p w14:paraId="3348963F" w14:textId="637142D0" w:rsidR="001D5C5B" w:rsidRDefault="001D5C5B" w:rsidP="007B00A0">
            <w:r>
              <w:lastRenderedPageBreak/>
              <w:t>2 szt.</w:t>
            </w:r>
          </w:p>
        </w:tc>
      </w:tr>
      <w:tr w:rsidR="001D5C5B" w:rsidRPr="000A45AD" w14:paraId="11B80EBD" w14:textId="67DC47E7" w:rsidTr="002E7619">
        <w:trPr>
          <w:jc w:val="center"/>
        </w:trPr>
        <w:tc>
          <w:tcPr>
            <w:tcW w:w="1206" w:type="dxa"/>
          </w:tcPr>
          <w:p w14:paraId="5A8C88FA" w14:textId="02974AAF" w:rsidR="001D5C5B" w:rsidRPr="000A45AD" w:rsidRDefault="00C970BC" w:rsidP="007B00A0">
            <w:r>
              <w:t>6.</w:t>
            </w:r>
          </w:p>
        </w:tc>
        <w:tc>
          <w:tcPr>
            <w:tcW w:w="2267" w:type="dxa"/>
          </w:tcPr>
          <w:p w14:paraId="5C6FC46C" w14:textId="76BE30C5" w:rsidR="001D5C5B" w:rsidRDefault="001D5C5B" w:rsidP="007B00A0">
            <w:r w:rsidRPr="000E7B14">
              <w:t xml:space="preserve">Uchwyt </w:t>
            </w:r>
            <w:r>
              <w:t>do bannerów lub flag</w:t>
            </w:r>
            <w:r w:rsidRPr="000E7B14">
              <w:t xml:space="preserve"> na latarnię</w:t>
            </w:r>
            <w:r>
              <w:t>,</w:t>
            </w:r>
            <w:r w:rsidRPr="000E7B14">
              <w:t xml:space="preserve"> podwójny</w:t>
            </w:r>
          </w:p>
        </w:tc>
        <w:tc>
          <w:tcPr>
            <w:tcW w:w="6443" w:type="dxa"/>
          </w:tcPr>
          <w:p w14:paraId="46CF48C3" w14:textId="5D391F34" w:rsidR="001D5C5B" w:rsidRPr="000A45AD" w:rsidRDefault="001D5C5B" w:rsidP="007B00A0">
            <w:r>
              <w:t>Zakup n</w:t>
            </w:r>
            <w:r w:rsidRPr="00DF5812">
              <w:t>ieinwazyjn</w:t>
            </w:r>
            <w:r>
              <w:t>ego</w:t>
            </w:r>
            <w:r w:rsidRPr="00DF5812">
              <w:t xml:space="preserve"> syste</w:t>
            </w:r>
            <w:r w:rsidRPr="00FD79D1">
              <w:t xml:space="preserve">mu </w:t>
            </w:r>
            <w:r>
              <w:t xml:space="preserve">podwójnych uchwytów do </w:t>
            </w:r>
            <w:r w:rsidRPr="00DF5812">
              <w:t xml:space="preserve">banerów lub flag </w:t>
            </w:r>
            <w:r>
              <w:t xml:space="preserve">montowanych </w:t>
            </w:r>
            <w:r w:rsidRPr="00DF5812">
              <w:t xml:space="preserve">na latarniach oraz słupach ulicznych. </w:t>
            </w:r>
            <w:r>
              <w:t>Komplet u</w:t>
            </w:r>
            <w:r w:rsidRPr="00DF5812">
              <w:t>chwyt</w:t>
            </w:r>
            <w:r>
              <w:t>u</w:t>
            </w:r>
            <w:r w:rsidRPr="00DF5812">
              <w:t xml:space="preserve"> </w:t>
            </w:r>
            <w:r>
              <w:t xml:space="preserve">składa się z dwóch obejm, każda z parą poziomych drążków wprowadzanych do rękawów wykonanych na dolnej i górnej krawędzi bannerów lub flag. Każdy komplet </w:t>
            </w:r>
            <w:r w:rsidRPr="00DF5812">
              <w:t xml:space="preserve">pozwala na zawieszenie na latarni 2 banerów </w:t>
            </w:r>
            <w:r>
              <w:t>o szerokości min. 58 cm każdy (± 10 cm),</w:t>
            </w:r>
          </w:p>
        </w:tc>
        <w:tc>
          <w:tcPr>
            <w:tcW w:w="2148" w:type="dxa"/>
          </w:tcPr>
          <w:p w14:paraId="19273F67" w14:textId="49F5B790" w:rsidR="001D5C5B" w:rsidRDefault="001D5C5B" w:rsidP="007B00A0">
            <w:r>
              <w:t xml:space="preserve">4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  <w:tr w:rsidR="001D5C5B" w:rsidRPr="000A45AD" w14:paraId="0CC95754" w14:textId="2D795240" w:rsidTr="002E7619">
        <w:trPr>
          <w:jc w:val="center"/>
        </w:trPr>
        <w:tc>
          <w:tcPr>
            <w:tcW w:w="1206" w:type="dxa"/>
          </w:tcPr>
          <w:p w14:paraId="53F64FF4" w14:textId="2F225F07" w:rsidR="001D5C5B" w:rsidRPr="000A45AD" w:rsidRDefault="00C970BC" w:rsidP="007B00A0">
            <w:r>
              <w:t>7.</w:t>
            </w:r>
          </w:p>
        </w:tc>
        <w:tc>
          <w:tcPr>
            <w:tcW w:w="2267" w:type="dxa"/>
          </w:tcPr>
          <w:p w14:paraId="2B662ABF" w14:textId="736EFB35" w:rsidR="001D5C5B" w:rsidRDefault="001D5C5B" w:rsidP="007B00A0">
            <w:r>
              <w:t>Bannery do ww. uchwytów</w:t>
            </w:r>
          </w:p>
        </w:tc>
        <w:tc>
          <w:tcPr>
            <w:tcW w:w="6443" w:type="dxa"/>
          </w:tcPr>
          <w:p w14:paraId="7BF7FB8F" w14:textId="77777777" w:rsidR="001D5C5B" w:rsidRDefault="001D5C5B" w:rsidP="007B00A0">
            <w:r w:rsidRPr="00215835">
              <w:t>Produkcja wydruków do ww</w:t>
            </w:r>
            <w:r>
              <w:t>.</w:t>
            </w:r>
            <w:r w:rsidRPr="00215835">
              <w:t xml:space="preserve"> uchwytów; na materiale </w:t>
            </w:r>
            <w:proofErr w:type="spellStart"/>
            <w:r w:rsidRPr="00215835">
              <w:t>bannerowym</w:t>
            </w:r>
            <w:proofErr w:type="spellEnd"/>
            <w:r w:rsidRPr="00215835">
              <w:t xml:space="preserve"> typu </w:t>
            </w:r>
            <w:proofErr w:type="spellStart"/>
            <w:r w:rsidRPr="00215835">
              <w:t>blockout</w:t>
            </w:r>
            <w:proofErr w:type="spellEnd"/>
            <w:r w:rsidRPr="00215835">
              <w:t>, o gramaturze ok. 510 g/m</w:t>
            </w:r>
            <w:r w:rsidRPr="00215835">
              <w:rPr>
                <w:vertAlign w:val="superscript"/>
              </w:rPr>
              <w:t>2</w:t>
            </w:r>
            <w:r w:rsidRPr="00215835">
              <w:t xml:space="preserve"> (± 20 g); o wymiarach 55 x 120 cm z tunelami na górze i na dole o szerokości 7,5</w:t>
            </w:r>
            <w:r>
              <w:t xml:space="preserve"> </w:t>
            </w:r>
            <w:r w:rsidRPr="00215835">
              <w:t>cm, zaoczkowane w celu zabezpieczeni</w:t>
            </w:r>
            <w:r w:rsidR="00341D8B">
              <w:t>a</w:t>
            </w:r>
            <w:r w:rsidRPr="00215835">
              <w:t xml:space="preserve"> przed zsunięciem się wydruku; </w:t>
            </w:r>
            <w:r>
              <w:t xml:space="preserve">druk </w:t>
            </w:r>
            <w:r w:rsidRPr="00215835">
              <w:t xml:space="preserve">w pełnym kolorze, </w:t>
            </w:r>
            <w:r>
              <w:t xml:space="preserve">techniką </w:t>
            </w:r>
            <w:proofErr w:type="spellStart"/>
            <w:r>
              <w:t>solwentową</w:t>
            </w:r>
            <w:proofErr w:type="spellEnd"/>
            <w:r>
              <w:t xml:space="preserve">, UV, lub lateksową; zadruk </w:t>
            </w:r>
            <w:r w:rsidRPr="00215835">
              <w:t>dwustronn</w:t>
            </w:r>
            <w:r>
              <w:t>y</w:t>
            </w:r>
            <w:r w:rsidRPr="00215835">
              <w:t>.</w:t>
            </w:r>
            <w:r>
              <w:t xml:space="preserve"> </w:t>
            </w:r>
          </w:p>
          <w:p w14:paraId="0982A979" w14:textId="4EAAECBA" w:rsidR="00C970BC" w:rsidRPr="00E27ABB" w:rsidRDefault="00C970BC" w:rsidP="007B00A0">
            <w:pPr>
              <w:rPr>
                <w:color w:val="00B050"/>
              </w:rPr>
            </w:pPr>
          </w:p>
        </w:tc>
        <w:tc>
          <w:tcPr>
            <w:tcW w:w="2148" w:type="dxa"/>
          </w:tcPr>
          <w:p w14:paraId="74AC3064" w14:textId="182FA319" w:rsidR="001D5C5B" w:rsidRDefault="001D5C5B" w:rsidP="007B00A0">
            <w:r>
              <w:t>8 szt.</w:t>
            </w:r>
          </w:p>
        </w:tc>
      </w:tr>
      <w:tr w:rsidR="001D5C5B" w:rsidRPr="000A45AD" w14:paraId="3B10FE10" w14:textId="03DCAA40" w:rsidTr="008D4EDF">
        <w:trPr>
          <w:trHeight w:val="397"/>
          <w:jc w:val="center"/>
        </w:trPr>
        <w:tc>
          <w:tcPr>
            <w:tcW w:w="12064" w:type="dxa"/>
            <w:gridSpan w:val="4"/>
            <w:shd w:val="clear" w:color="auto" w:fill="DEEAF6" w:themeFill="accent5" w:themeFillTint="33"/>
            <w:vAlign w:val="center"/>
          </w:tcPr>
          <w:p w14:paraId="5B0A7400" w14:textId="4B0F823B" w:rsidR="001D5C5B" w:rsidRDefault="001D5C5B" w:rsidP="007B00A0">
            <w:pPr>
              <w:pStyle w:val="Akapitzlist"/>
              <w:numPr>
                <w:ilvl w:val="0"/>
                <w:numId w:val="1"/>
              </w:numPr>
            </w:pPr>
            <w:r>
              <w:t>Usługi montażowe do materiałów outdoorowych</w:t>
            </w:r>
          </w:p>
        </w:tc>
      </w:tr>
      <w:tr w:rsidR="001D5C5B" w:rsidRPr="000A45AD" w14:paraId="4202F442" w14:textId="176BF895" w:rsidTr="002E7619">
        <w:trPr>
          <w:jc w:val="center"/>
        </w:trPr>
        <w:tc>
          <w:tcPr>
            <w:tcW w:w="1206" w:type="dxa"/>
          </w:tcPr>
          <w:p w14:paraId="0CD5B6B1" w14:textId="41FE31AE" w:rsidR="001D5C5B" w:rsidRPr="000A45AD" w:rsidRDefault="00C970BC" w:rsidP="007B00A0">
            <w:r>
              <w:t>1.</w:t>
            </w:r>
          </w:p>
        </w:tc>
        <w:tc>
          <w:tcPr>
            <w:tcW w:w="2267" w:type="dxa"/>
          </w:tcPr>
          <w:p w14:paraId="7DCE4F88" w14:textId="254D24DB" w:rsidR="001D5C5B" w:rsidRPr="005F5D61" w:rsidRDefault="001D5C5B" w:rsidP="007B00A0">
            <w:r w:rsidRPr="005F5D61">
              <w:t>Plakatowanie B1</w:t>
            </w:r>
          </w:p>
        </w:tc>
        <w:tc>
          <w:tcPr>
            <w:tcW w:w="6443" w:type="dxa"/>
          </w:tcPr>
          <w:p w14:paraId="6ECE0D30" w14:textId="2E33C235" w:rsidR="00572695" w:rsidRPr="00341D8B" w:rsidRDefault="001D5C5B" w:rsidP="007B00A0">
            <w:pPr>
              <w:rPr>
                <w:color w:val="388600"/>
              </w:rPr>
            </w:pPr>
            <w:r>
              <w:t xml:space="preserve">Dzierżawa powierzchni reklamowej i usługi wyklejenia plakatów na legalnych słupach </w:t>
            </w:r>
            <w:r w:rsidRPr="005F5D61">
              <w:t xml:space="preserve">reklamowych usytuowanych w Tarnowie. Kampania - 120 szt. plakatów.  Kampania trwająca od 15 marca </w:t>
            </w:r>
            <w:r w:rsidRPr="000C0ECB">
              <w:t>minimum 1 tydzień</w:t>
            </w:r>
            <w:r w:rsidRPr="000C0ECB">
              <w:rPr>
                <w:color w:val="00B050"/>
              </w:rPr>
              <w:t>.</w:t>
            </w:r>
            <w:r>
              <w:rPr>
                <w:color w:val="00B050"/>
              </w:rPr>
              <w:t xml:space="preserve"> </w:t>
            </w:r>
          </w:p>
        </w:tc>
        <w:tc>
          <w:tcPr>
            <w:tcW w:w="2148" w:type="dxa"/>
          </w:tcPr>
          <w:p w14:paraId="71DCE325" w14:textId="20740B37" w:rsidR="001D5C5B" w:rsidRDefault="001D5C5B" w:rsidP="007B00A0">
            <w:r>
              <w:t>1 kampanie</w:t>
            </w:r>
          </w:p>
        </w:tc>
      </w:tr>
      <w:tr w:rsidR="001D5C5B" w:rsidRPr="000A45AD" w14:paraId="64EB632F" w14:textId="4C3849CF" w:rsidTr="002E7619">
        <w:trPr>
          <w:jc w:val="center"/>
        </w:trPr>
        <w:tc>
          <w:tcPr>
            <w:tcW w:w="1206" w:type="dxa"/>
          </w:tcPr>
          <w:p w14:paraId="50C52950" w14:textId="4A10EBA9" w:rsidR="001D5C5B" w:rsidRPr="000A45AD" w:rsidRDefault="00C970BC" w:rsidP="007B00A0">
            <w:r>
              <w:t>2.</w:t>
            </w:r>
          </w:p>
        </w:tc>
        <w:tc>
          <w:tcPr>
            <w:tcW w:w="2267" w:type="dxa"/>
          </w:tcPr>
          <w:p w14:paraId="36CEC352" w14:textId="23641D8B" w:rsidR="001D5C5B" w:rsidRPr="005F5D61" w:rsidRDefault="001D5C5B" w:rsidP="007B00A0">
            <w:r w:rsidRPr="005F5D61">
              <w:t>Wyklejanie billboardów</w:t>
            </w:r>
          </w:p>
        </w:tc>
        <w:tc>
          <w:tcPr>
            <w:tcW w:w="6443" w:type="dxa"/>
          </w:tcPr>
          <w:p w14:paraId="3527F1CA" w14:textId="7CA20EC6" w:rsidR="001D5C5B" w:rsidRPr="00690397" w:rsidRDefault="001D5C5B" w:rsidP="007B00A0">
            <w:pPr>
              <w:rPr>
                <w:color w:val="00B050"/>
              </w:rPr>
            </w:pPr>
            <w:r>
              <w:t xml:space="preserve">Montaż wydruków na udostępnionych przez Zamawiającego tablicach </w:t>
            </w:r>
            <w:proofErr w:type="spellStart"/>
            <w:r>
              <w:t>billboardowych</w:t>
            </w:r>
            <w:proofErr w:type="spellEnd"/>
            <w:r>
              <w:t xml:space="preserve">. Kampania na </w:t>
            </w:r>
            <w:r w:rsidRPr="005F5D61">
              <w:t xml:space="preserve">5 tablicach. Kampania trwająca od 15 marca minimum 1 tydzień.  </w:t>
            </w:r>
          </w:p>
        </w:tc>
        <w:tc>
          <w:tcPr>
            <w:tcW w:w="2148" w:type="dxa"/>
          </w:tcPr>
          <w:p w14:paraId="5873936B" w14:textId="2C09EC67" w:rsidR="001D5C5B" w:rsidRDefault="001D5C5B" w:rsidP="007B00A0">
            <w:r>
              <w:t>1 kampani</w:t>
            </w:r>
            <w:r w:rsidR="007506AA">
              <w:t>a</w:t>
            </w:r>
            <w:r>
              <w:t xml:space="preserve"> na 5 plakatów</w:t>
            </w:r>
          </w:p>
        </w:tc>
      </w:tr>
      <w:tr w:rsidR="001D5C5B" w:rsidRPr="000A45AD" w14:paraId="55891D84" w14:textId="586879BD" w:rsidTr="002E7619">
        <w:trPr>
          <w:jc w:val="center"/>
        </w:trPr>
        <w:tc>
          <w:tcPr>
            <w:tcW w:w="1206" w:type="dxa"/>
          </w:tcPr>
          <w:p w14:paraId="5EDD342F" w14:textId="1CD406B0" w:rsidR="001D5C5B" w:rsidRPr="000A45AD" w:rsidRDefault="00C970BC" w:rsidP="007B00A0">
            <w:r>
              <w:t>3.</w:t>
            </w:r>
          </w:p>
        </w:tc>
        <w:tc>
          <w:tcPr>
            <w:tcW w:w="2267" w:type="dxa"/>
          </w:tcPr>
          <w:p w14:paraId="6727CADC" w14:textId="561F6141" w:rsidR="001D5C5B" w:rsidRPr="005F5D61" w:rsidRDefault="001D5C5B" w:rsidP="007B00A0">
            <w:r w:rsidRPr="005F5D61">
              <w:t xml:space="preserve">Montaż </w:t>
            </w:r>
            <w:proofErr w:type="spellStart"/>
            <w:r w:rsidRPr="005F5D61">
              <w:t>citylightów</w:t>
            </w:r>
            <w:proofErr w:type="spellEnd"/>
          </w:p>
        </w:tc>
        <w:tc>
          <w:tcPr>
            <w:tcW w:w="6443" w:type="dxa"/>
          </w:tcPr>
          <w:p w14:paraId="7C9E4750" w14:textId="398DA662" w:rsidR="001D5C5B" w:rsidRPr="00690397" w:rsidRDefault="001D5C5B" w:rsidP="007B00A0">
            <w:pPr>
              <w:pStyle w:val="Tekstpodstawowy"/>
              <w:spacing w:line="288" w:lineRule="exact"/>
              <w:jc w:val="both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Montaż i demontaż papierowych plakatów w </w:t>
            </w:r>
            <w:proofErr w:type="spellStart"/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citylightach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, w wiatach 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lastRenderedPageBreak/>
              <w:t xml:space="preserve">przystankowych na terenie Tarnowa – jedna kampania. Zamawiający przekaże listę udostępnionych wiat przystankowych i określi czas ekspozycji. </w:t>
            </w:r>
          </w:p>
        </w:tc>
        <w:tc>
          <w:tcPr>
            <w:tcW w:w="2148" w:type="dxa"/>
          </w:tcPr>
          <w:p w14:paraId="5F22CFC2" w14:textId="770F5D40" w:rsidR="001D5C5B" w:rsidRDefault="001D5C5B" w:rsidP="007B00A0">
            <w:r>
              <w:lastRenderedPageBreak/>
              <w:t>1 x 10 szt.</w:t>
            </w:r>
          </w:p>
        </w:tc>
      </w:tr>
      <w:tr w:rsidR="001D5C5B" w:rsidRPr="000A45AD" w14:paraId="66303A07" w14:textId="67BF7FC2" w:rsidTr="002E7619">
        <w:trPr>
          <w:jc w:val="center"/>
        </w:trPr>
        <w:tc>
          <w:tcPr>
            <w:tcW w:w="1206" w:type="dxa"/>
          </w:tcPr>
          <w:p w14:paraId="6959EDD1" w14:textId="6A1B7046" w:rsidR="001D5C5B" w:rsidRPr="000A45AD" w:rsidRDefault="00C970BC" w:rsidP="007B00A0">
            <w:r>
              <w:t>4.</w:t>
            </w:r>
          </w:p>
        </w:tc>
        <w:tc>
          <w:tcPr>
            <w:tcW w:w="2267" w:type="dxa"/>
          </w:tcPr>
          <w:p w14:paraId="3A055300" w14:textId="2EECBD30" w:rsidR="001D5C5B" w:rsidRDefault="001D5C5B" w:rsidP="007B00A0">
            <w:r>
              <w:t>Montaż uchwytów do bannerów lub flag na latarniach oraz montaż bannerów</w:t>
            </w:r>
          </w:p>
        </w:tc>
        <w:tc>
          <w:tcPr>
            <w:tcW w:w="6443" w:type="dxa"/>
          </w:tcPr>
          <w:p w14:paraId="794E0C4D" w14:textId="176F3EEE" w:rsidR="001D5C5B" w:rsidRPr="00690397" w:rsidRDefault="001D5C5B" w:rsidP="007B00A0">
            <w:pPr>
              <w:rPr>
                <w:color w:val="00B050"/>
              </w:rPr>
            </w:pPr>
            <w:r>
              <w:t xml:space="preserve">Usługa montażu uchwytów na wskazanych latarniach. Montaż w Tarnowie, przy ul. </w:t>
            </w:r>
            <w:proofErr w:type="spellStart"/>
            <w:r>
              <w:t>Gumniskiej</w:t>
            </w:r>
            <w:proofErr w:type="spellEnd"/>
            <w:r>
              <w:t xml:space="preserve"> 30. Usługa obejmuje montaż uchwytów oraz bannerów wyprodukowanych do nich. </w:t>
            </w:r>
          </w:p>
        </w:tc>
        <w:tc>
          <w:tcPr>
            <w:tcW w:w="2148" w:type="dxa"/>
          </w:tcPr>
          <w:p w14:paraId="423AD5FE" w14:textId="4AD2908C" w:rsidR="001D5C5B" w:rsidRDefault="001D5C5B" w:rsidP="007B00A0">
            <w:r>
              <w:t xml:space="preserve">4 </w:t>
            </w:r>
            <w:proofErr w:type="spellStart"/>
            <w:r>
              <w:t>kpl</w:t>
            </w:r>
            <w:proofErr w:type="spellEnd"/>
            <w:r>
              <w:t>. Uchwytów, 8 bannerów</w:t>
            </w:r>
          </w:p>
        </w:tc>
      </w:tr>
      <w:tr w:rsidR="001D5C5B" w:rsidRPr="000A45AD" w14:paraId="758D033E" w14:textId="4A429F0B" w:rsidTr="002E7619">
        <w:trPr>
          <w:jc w:val="center"/>
        </w:trPr>
        <w:tc>
          <w:tcPr>
            <w:tcW w:w="1206" w:type="dxa"/>
          </w:tcPr>
          <w:p w14:paraId="34785CBF" w14:textId="0C128418" w:rsidR="001D5C5B" w:rsidRPr="000A45AD" w:rsidRDefault="00C970BC" w:rsidP="007B00A0">
            <w:r>
              <w:t>5.</w:t>
            </w:r>
          </w:p>
        </w:tc>
        <w:tc>
          <w:tcPr>
            <w:tcW w:w="2267" w:type="dxa"/>
          </w:tcPr>
          <w:p w14:paraId="088AD293" w14:textId="13C86FC5" w:rsidR="001D5C5B" w:rsidRDefault="001D5C5B" w:rsidP="007B00A0">
            <w:r>
              <w:t xml:space="preserve">Montaż flag / </w:t>
            </w:r>
            <w:proofErr w:type="spellStart"/>
            <w:r>
              <w:t>winderów</w:t>
            </w:r>
            <w:proofErr w:type="spellEnd"/>
          </w:p>
        </w:tc>
        <w:tc>
          <w:tcPr>
            <w:tcW w:w="6443" w:type="dxa"/>
          </w:tcPr>
          <w:p w14:paraId="50BCF3F2" w14:textId="12AE2A6C" w:rsidR="00C970BC" w:rsidRPr="00DB6BA7" w:rsidRDefault="001D5C5B" w:rsidP="007B00A0">
            <w:r>
              <w:t xml:space="preserve">Montaż flag / </w:t>
            </w:r>
            <w:proofErr w:type="spellStart"/>
            <w:r>
              <w:t>winderów</w:t>
            </w:r>
            <w:proofErr w:type="spellEnd"/>
            <w:r>
              <w:t xml:space="preserve"> przy okazji otwarcia  remontowanego budynku przy ul. </w:t>
            </w:r>
            <w:proofErr w:type="spellStart"/>
            <w:r>
              <w:t>Gumniskiej</w:t>
            </w:r>
            <w:proofErr w:type="spellEnd"/>
            <w:r>
              <w:t xml:space="preserve"> 30 </w:t>
            </w:r>
          </w:p>
        </w:tc>
        <w:tc>
          <w:tcPr>
            <w:tcW w:w="2148" w:type="dxa"/>
          </w:tcPr>
          <w:p w14:paraId="7BE75AA2" w14:textId="72F309C4" w:rsidR="001D5C5B" w:rsidRDefault="001D5C5B" w:rsidP="007B00A0">
            <w:r>
              <w:t>6 szt.</w:t>
            </w:r>
          </w:p>
        </w:tc>
      </w:tr>
      <w:tr w:rsidR="001D5C5B" w:rsidRPr="000A45AD" w14:paraId="29F60106" w14:textId="7CA4AA2F" w:rsidTr="008D4EDF">
        <w:trPr>
          <w:trHeight w:val="397"/>
          <w:jc w:val="center"/>
        </w:trPr>
        <w:tc>
          <w:tcPr>
            <w:tcW w:w="12064" w:type="dxa"/>
            <w:gridSpan w:val="4"/>
            <w:shd w:val="clear" w:color="auto" w:fill="DEEAF6" w:themeFill="accent5" w:themeFillTint="33"/>
            <w:vAlign w:val="center"/>
          </w:tcPr>
          <w:p w14:paraId="0933F977" w14:textId="605BE843" w:rsidR="001D5C5B" w:rsidRDefault="001D5C5B" w:rsidP="007B00A0">
            <w:pPr>
              <w:pStyle w:val="Akapitzlist"/>
              <w:numPr>
                <w:ilvl w:val="0"/>
                <w:numId w:val="1"/>
              </w:numPr>
            </w:pPr>
            <w:r>
              <w:t xml:space="preserve">Materiały papiernicze </w:t>
            </w:r>
          </w:p>
        </w:tc>
      </w:tr>
      <w:tr w:rsidR="001D5C5B" w:rsidRPr="000A45AD" w14:paraId="35DFFDB9" w14:textId="2C465726" w:rsidTr="002E7619">
        <w:trPr>
          <w:jc w:val="center"/>
        </w:trPr>
        <w:tc>
          <w:tcPr>
            <w:tcW w:w="1206" w:type="dxa"/>
          </w:tcPr>
          <w:p w14:paraId="4001D0E0" w14:textId="4272CCE9" w:rsidR="001D5C5B" w:rsidRPr="000A45AD" w:rsidRDefault="00C970BC" w:rsidP="007B00A0">
            <w:r>
              <w:t>1.</w:t>
            </w:r>
          </w:p>
        </w:tc>
        <w:tc>
          <w:tcPr>
            <w:tcW w:w="2267" w:type="dxa"/>
          </w:tcPr>
          <w:p w14:paraId="20B701E3" w14:textId="680D6299" w:rsidR="001D5C5B" w:rsidRDefault="001D5C5B" w:rsidP="007B00A0">
            <w:r>
              <w:t>T</w:t>
            </w:r>
            <w:r w:rsidRPr="003A5A99">
              <w:t xml:space="preserve">eczka kartonowa </w:t>
            </w:r>
          </w:p>
        </w:tc>
        <w:tc>
          <w:tcPr>
            <w:tcW w:w="6443" w:type="dxa"/>
          </w:tcPr>
          <w:p w14:paraId="27D01325" w14:textId="530DA2B5" w:rsidR="001D5C5B" w:rsidRPr="000A45AD" w:rsidRDefault="001D5C5B" w:rsidP="007B00A0">
            <w:r>
              <w:t xml:space="preserve">Produkcja </w:t>
            </w:r>
            <w:r w:rsidRPr="003A5A99">
              <w:t>tecz</w:t>
            </w:r>
            <w:r>
              <w:t>ek</w:t>
            </w:r>
            <w:r w:rsidRPr="003A5A99">
              <w:t xml:space="preserve"> kartonow</w:t>
            </w:r>
            <w:r>
              <w:t>ych</w:t>
            </w:r>
            <w:r w:rsidRPr="003A5A99">
              <w:t xml:space="preserve"> -</w:t>
            </w:r>
            <w:r>
              <w:t xml:space="preserve"> na dokumenty formatu A4,</w:t>
            </w:r>
            <w:r w:rsidRPr="003A5A99">
              <w:t xml:space="preserve"> </w:t>
            </w:r>
            <w:r>
              <w:t>zadruk jednostronny 4/0, pełny</w:t>
            </w:r>
            <w:r w:rsidRPr="003A5A99">
              <w:t xml:space="preserve"> </w:t>
            </w:r>
            <w:r>
              <w:t>k</w:t>
            </w:r>
            <w:r w:rsidRPr="003A5A99">
              <w:t>olor, jednostronna folia mat</w:t>
            </w:r>
            <w:r>
              <w:t>owa</w:t>
            </w:r>
            <w:r w:rsidRPr="003A5A99">
              <w:t xml:space="preserve">, </w:t>
            </w:r>
            <w:r>
              <w:t xml:space="preserve">teczka </w:t>
            </w:r>
            <w:r w:rsidRPr="003A5A99">
              <w:t>składan</w:t>
            </w:r>
            <w:r>
              <w:t>a</w:t>
            </w:r>
            <w:r w:rsidRPr="003A5A99">
              <w:t>,</w:t>
            </w:r>
            <w:r>
              <w:t xml:space="preserve"> z pojedynczą bigą na grzbiecie, zamykana na gumkę,</w:t>
            </w:r>
            <w:r w:rsidRPr="003A5A99">
              <w:t xml:space="preserve"> wg wykrojnika </w:t>
            </w:r>
            <w:r>
              <w:t>uzgodnionego</w:t>
            </w:r>
            <w:r w:rsidRPr="003A5A99">
              <w:t xml:space="preserve"> </w:t>
            </w:r>
            <w:r>
              <w:t>z</w:t>
            </w:r>
            <w:r w:rsidRPr="003A5A99">
              <w:t xml:space="preserve"> Zamawiając</w:t>
            </w:r>
            <w:r>
              <w:t>ym</w:t>
            </w:r>
            <w:r w:rsidRPr="003A5A99">
              <w:t xml:space="preserve">; </w:t>
            </w:r>
            <w:r>
              <w:t xml:space="preserve">z </w:t>
            </w:r>
            <w:r w:rsidRPr="003A5A99">
              <w:t xml:space="preserve">kartonu </w:t>
            </w:r>
            <w:r>
              <w:t xml:space="preserve">o gramaturze </w:t>
            </w:r>
            <w:r w:rsidRPr="003A5A99">
              <w:t>min. 350 g/m</w:t>
            </w:r>
            <w:r w:rsidRPr="004D4C6C">
              <w:rPr>
                <w:vertAlign w:val="superscript"/>
              </w:rPr>
              <w:t>2</w:t>
            </w:r>
            <w:r w:rsidRPr="0090648A">
              <w:t>.</w:t>
            </w:r>
            <w:r>
              <w:t xml:space="preserve"> </w:t>
            </w:r>
          </w:p>
        </w:tc>
        <w:tc>
          <w:tcPr>
            <w:tcW w:w="2148" w:type="dxa"/>
          </w:tcPr>
          <w:p w14:paraId="747B3653" w14:textId="56413E6C" w:rsidR="001D5C5B" w:rsidRDefault="001D5C5B" w:rsidP="007B00A0">
            <w:r>
              <w:t>500 szt.</w:t>
            </w:r>
          </w:p>
        </w:tc>
      </w:tr>
      <w:tr w:rsidR="001D5C5B" w:rsidRPr="000A45AD" w14:paraId="30B5D9F9" w14:textId="4B66C035" w:rsidTr="002E7619">
        <w:trPr>
          <w:jc w:val="center"/>
        </w:trPr>
        <w:tc>
          <w:tcPr>
            <w:tcW w:w="1206" w:type="dxa"/>
          </w:tcPr>
          <w:p w14:paraId="54F803C3" w14:textId="3510328B" w:rsidR="001D5C5B" w:rsidRPr="000A45AD" w:rsidRDefault="00C970BC" w:rsidP="007B00A0">
            <w:r>
              <w:t>2.</w:t>
            </w:r>
          </w:p>
        </w:tc>
        <w:tc>
          <w:tcPr>
            <w:tcW w:w="2267" w:type="dxa"/>
          </w:tcPr>
          <w:p w14:paraId="49B528EE" w14:textId="6C9AF089" w:rsidR="001D5C5B" w:rsidRDefault="001D5C5B" w:rsidP="007B00A0">
            <w:proofErr w:type="spellStart"/>
            <w:r>
              <w:t>Clipboard</w:t>
            </w:r>
            <w:proofErr w:type="spellEnd"/>
            <w:r>
              <w:t xml:space="preserve"> - Deska z klipem</w:t>
            </w:r>
          </w:p>
        </w:tc>
        <w:tc>
          <w:tcPr>
            <w:tcW w:w="6443" w:type="dxa"/>
          </w:tcPr>
          <w:p w14:paraId="45F00B2D" w14:textId="2A25559E" w:rsidR="001D5C5B" w:rsidRPr="000A45AD" w:rsidRDefault="001D5C5B" w:rsidP="007B00A0">
            <w:r>
              <w:t xml:space="preserve">Produkcja </w:t>
            </w:r>
            <w:proofErr w:type="spellStart"/>
            <w:r>
              <w:t>Clipboardów</w:t>
            </w:r>
            <w:proofErr w:type="spellEnd"/>
            <w:r>
              <w:t xml:space="preserve"> do wpięcia dokumentów w formacie A4. Wykonana z tektury o grubości 1,9 mm, obustronnie oklejona zadrukiem, na papierze kredowym o gramaturze 170 g/m2</w:t>
            </w:r>
            <w:r w:rsidRPr="00845115">
              <w:t>, zadruk</w:t>
            </w:r>
            <w:r>
              <w:t xml:space="preserve"> obu oklejek</w:t>
            </w:r>
            <w:r w:rsidRPr="00845115">
              <w:t xml:space="preserve"> 4/</w:t>
            </w:r>
            <w:r>
              <w:t>0, zafoliowany folią matową;</w:t>
            </w:r>
            <w:r w:rsidRPr="00845115">
              <w:t xml:space="preserve"> metalowy klips</w:t>
            </w:r>
            <w:r>
              <w:t>.</w:t>
            </w:r>
          </w:p>
        </w:tc>
        <w:tc>
          <w:tcPr>
            <w:tcW w:w="2148" w:type="dxa"/>
          </w:tcPr>
          <w:p w14:paraId="24E99996" w14:textId="66F2C992" w:rsidR="001D5C5B" w:rsidRDefault="001D5C5B" w:rsidP="007B00A0">
            <w:r>
              <w:t>50 szt.</w:t>
            </w:r>
          </w:p>
        </w:tc>
      </w:tr>
      <w:tr w:rsidR="001D5C5B" w:rsidRPr="000A45AD" w14:paraId="2C98883F" w14:textId="59DBEA7B" w:rsidTr="002E7619">
        <w:trPr>
          <w:jc w:val="center"/>
        </w:trPr>
        <w:tc>
          <w:tcPr>
            <w:tcW w:w="1206" w:type="dxa"/>
          </w:tcPr>
          <w:p w14:paraId="44CCF63C" w14:textId="641E5DA7" w:rsidR="001D5C5B" w:rsidRPr="000A45AD" w:rsidRDefault="00C970BC" w:rsidP="007B00A0">
            <w:r>
              <w:t>3.</w:t>
            </w:r>
          </w:p>
        </w:tc>
        <w:tc>
          <w:tcPr>
            <w:tcW w:w="2267" w:type="dxa"/>
          </w:tcPr>
          <w:p w14:paraId="060F2707" w14:textId="7A7E5221" w:rsidR="001D5C5B" w:rsidRDefault="001D5C5B" w:rsidP="007B00A0">
            <w:r>
              <w:t>Notatnik A5</w:t>
            </w:r>
          </w:p>
        </w:tc>
        <w:tc>
          <w:tcPr>
            <w:tcW w:w="6443" w:type="dxa"/>
          </w:tcPr>
          <w:p w14:paraId="0E58F91C" w14:textId="65063C09" w:rsidR="001D5C5B" w:rsidRPr="000A45AD" w:rsidRDefault="001D5C5B" w:rsidP="007B00A0">
            <w:r>
              <w:t xml:space="preserve">Produkcja </w:t>
            </w:r>
            <w:r w:rsidRPr="007673AD">
              <w:t>notatnik</w:t>
            </w:r>
            <w:r>
              <w:t>a</w:t>
            </w:r>
            <w:r w:rsidRPr="007673AD">
              <w:t xml:space="preserve"> </w:t>
            </w:r>
            <w:r>
              <w:t xml:space="preserve">w formacie </w:t>
            </w:r>
            <w:r w:rsidRPr="007673AD">
              <w:t>A</w:t>
            </w:r>
            <w:r>
              <w:t>5</w:t>
            </w:r>
            <w:r w:rsidRPr="007673AD">
              <w:t xml:space="preserve"> z kartkami do wyrywania - okładka: </w:t>
            </w:r>
            <w:r w:rsidRPr="007406CC">
              <w:t>karton kredowany matowy ok. min. 170 g/m</w:t>
            </w:r>
            <w:r w:rsidRPr="007406CC">
              <w:rPr>
                <w:vertAlign w:val="superscript"/>
              </w:rPr>
              <w:t>2</w:t>
            </w:r>
            <w:r w:rsidRPr="007406CC">
              <w:t>, zadruk 4/0, tylna okładka karton min. 350 g/m</w:t>
            </w:r>
            <w:r w:rsidRPr="007406CC">
              <w:rPr>
                <w:vertAlign w:val="superscript"/>
              </w:rPr>
              <w:t>2</w:t>
            </w:r>
            <w:r w:rsidRPr="007406CC">
              <w:t>,  okładka przyklejona do górnej krótszej krawędzi formatu; blok notesu - papier ekologiczny, offsetowy, gramatura ok.</w:t>
            </w:r>
            <w:r>
              <w:t xml:space="preserve"> </w:t>
            </w:r>
            <w:r w:rsidRPr="007406CC">
              <w:t>min. 80g/m</w:t>
            </w:r>
            <w:r w:rsidRPr="007406CC">
              <w:rPr>
                <w:vertAlign w:val="superscript"/>
              </w:rPr>
              <w:t>2</w:t>
            </w:r>
            <w:r w:rsidRPr="007406CC">
              <w:t xml:space="preserve">, zadruk 1 kolor (1/0), objętość bloku 50 kartek, sklejony na górnej krótszej krawędzi </w:t>
            </w:r>
            <w:r>
              <w:t>formatu.</w:t>
            </w:r>
          </w:p>
        </w:tc>
        <w:tc>
          <w:tcPr>
            <w:tcW w:w="2148" w:type="dxa"/>
          </w:tcPr>
          <w:p w14:paraId="0659582E" w14:textId="59892639" w:rsidR="001D5C5B" w:rsidRDefault="001D5C5B" w:rsidP="007B00A0">
            <w:r>
              <w:t>500 szt.</w:t>
            </w:r>
          </w:p>
        </w:tc>
      </w:tr>
      <w:tr w:rsidR="001D5C5B" w:rsidRPr="000A45AD" w14:paraId="58B31EC5" w14:textId="1B699388" w:rsidTr="002E7619">
        <w:trPr>
          <w:jc w:val="center"/>
        </w:trPr>
        <w:tc>
          <w:tcPr>
            <w:tcW w:w="1206" w:type="dxa"/>
          </w:tcPr>
          <w:p w14:paraId="2497F819" w14:textId="026E9D36" w:rsidR="001D5C5B" w:rsidRPr="000A45AD" w:rsidRDefault="00C970BC" w:rsidP="007B00A0">
            <w:r>
              <w:t>4.</w:t>
            </w:r>
          </w:p>
        </w:tc>
        <w:tc>
          <w:tcPr>
            <w:tcW w:w="2267" w:type="dxa"/>
          </w:tcPr>
          <w:p w14:paraId="7515AA79" w14:textId="6F9E624C" w:rsidR="001D5C5B" w:rsidRDefault="001D5C5B" w:rsidP="007B00A0">
            <w:r>
              <w:t>Kołonotatnik B5</w:t>
            </w:r>
          </w:p>
        </w:tc>
        <w:tc>
          <w:tcPr>
            <w:tcW w:w="6443" w:type="dxa"/>
          </w:tcPr>
          <w:p w14:paraId="5B39EA87" w14:textId="4E148CDE" w:rsidR="001D5C5B" w:rsidRPr="00F052A4" w:rsidRDefault="001D5C5B" w:rsidP="007B00A0">
            <w:pPr>
              <w:rPr>
                <w:color w:val="00B050"/>
              </w:rPr>
            </w:pPr>
            <w:r>
              <w:t xml:space="preserve">Produkcja </w:t>
            </w:r>
            <w:r w:rsidRPr="00CC44E3">
              <w:t>kołonotatnik</w:t>
            </w:r>
            <w:r>
              <w:t>a</w:t>
            </w:r>
            <w:r w:rsidRPr="00CC44E3">
              <w:t xml:space="preserve"> B5 - okładka: karton </w:t>
            </w:r>
            <w:r>
              <w:t>kredowany minimum 30</w:t>
            </w:r>
            <w:r w:rsidRPr="00CC44E3">
              <w:t xml:space="preserve">0 </w:t>
            </w:r>
            <w:r>
              <w:t>g</w:t>
            </w:r>
            <w:r w:rsidRPr="00CC44E3">
              <w:t>/m</w:t>
            </w:r>
            <w:r w:rsidRPr="00CC44E3">
              <w:rPr>
                <w:vertAlign w:val="superscript"/>
              </w:rPr>
              <w:t>2</w:t>
            </w:r>
            <w:r w:rsidRPr="00513BA0">
              <w:t>, jednostronnie</w:t>
            </w:r>
            <w:r>
              <w:t xml:space="preserve"> powlekany</w:t>
            </w:r>
            <w:r w:rsidRPr="00CC44E3">
              <w:t>, za</w:t>
            </w:r>
            <w:r>
              <w:t>d</w:t>
            </w:r>
            <w:r w:rsidRPr="00CC44E3">
              <w:t>ruk</w:t>
            </w:r>
            <w:r>
              <w:t>: strony 1 i 4 –</w:t>
            </w:r>
            <w:r w:rsidRPr="00CC44E3">
              <w:t xml:space="preserve"> </w:t>
            </w:r>
            <w:r>
              <w:t xml:space="preserve">w pełnym </w:t>
            </w:r>
            <w:r>
              <w:lastRenderedPageBreak/>
              <w:t xml:space="preserve">kolorze </w:t>
            </w:r>
            <w:r w:rsidRPr="00CC44E3">
              <w:t>4/0, sprężyna biała, na dłuższym boku</w:t>
            </w:r>
            <w:r>
              <w:t>.</w:t>
            </w:r>
            <w:r w:rsidRPr="00CC44E3">
              <w:t xml:space="preserve"> </w:t>
            </w:r>
            <w:r>
              <w:t>Blok notatnika:</w:t>
            </w:r>
            <w:r w:rsidRPr="00CC44E3">
              <w:t xml:space="preserve"> papier ekologiczny, offsetowy, gramatura ok. 80g/m</w:t>
            </w:r>
            <w:r w:rsidRPr="00CC44E3">
              <w:rPr>
                <w:vertAlign w:val="superscript"/>
              </w:rPr>
              <w:t>2</w:t>
            </w:r>
            <w:r w:rsidRPr="00CC44E3">
              <w:t>, zadruk 1 kolor</w:t>
            </w:r>
            <w:r>
              <w:t xml:space="preserve"> dwustronnie (1/1, ten sam projekt na strony lewe i prawe); objętość</w:t>
            </w:r>
            <w:r w:rsidRPr="00CC44E3">
              <w:t xml:space="preserve"> </w:t>
            </w:r>
            <w:r>
              <w:t>8</w:t>
            </w:r>
            <w:r w:rsidRPr="00CC44E3">
              <w:t xml:space="preserve">0 </w:t>
            </w:r>
            <w:r>
              <w:t xml:space="preserve">kartek. </w:t>
            </w:r>
          </w:p>
        </w:tc>
        <w:tc>
          <w:tcPr>
            <w:tcW w:w="2148" w:type="dxa"/>
          </w:tcPr>
          <w:p w14:paraId="57E71F93" w14:textId="3E6178B5" w:rsidR="001D5C5B" w:rsidRDefault="001D5C5B" w:rsidP="007B00A0">
            <w:r>
              <w:lastRenderedPageBreak/>
              <w:t>500 szt.</w:t>
            </w:r>
          </w:p>
        </w:tc>
      </w:tr>
      <w:tr w:rsidR="001D5C5B" w:rsidRPr="000A45AD" w14:paraId="5E80E227" w14:textId="0792D0DE" w:rsidTr="002E7619">
        <w:trPr>
          <w:jc w:val="center"/>
        </w:trPr>
        <w:tc>
          <w:tcPr>
            <w:tcW w:w="1206" w:type="dxa"/>
          </w:tcPr>
          <w:p w14:paraId="3855CB73" w14:textId="3C62FB53" w:rsidR="001D5C5B" w:rsidRPr="000A45AD" w:rsidRDefault="00C970BC" w:rsidP="007B00A0">
            <w:r>
              <w:t>5.</w:t>
            </w:r>
          </w:p>
        </w:tc>
        <w:tc>
          <w:tcPr>
            <w:tcW w:w="2267" w:type="dxa"/>
          </w:tcPr>
          <w:p w14:paraId="4E6ABCB7" w14:textId="71D8729C" w:rsidR="001D5C5B" w:rsidRDefault="001D5C5B" w:rsidP="007B00A0">
            <w:r>
              <w:t>Koperty DL</w:t>
            </w:r>
          </w:p>
        </w:tc>
        <w:tc>
          <w:tcPr>
            <w:tcW w:w="6443" w:type="dxa"/>
          </w:tcPr>
          <w:p w14:paraId="6FD68C53" w14:textId="7573B60E" w:rsidR="001D5C5B" w:rsidRPr="000A45AD" w:rsidRDefault="001D5C5B" w:rsidP="007B00A0">
            <w:r>
              <w:t xml:space="preserve">Produkcja białych kopert bez okienka, o wymiarach DL tj. ok. 220x110 mm, papier offsetowy 80 g/m2, otwarcie z dłuższego boku, z klejem, z nadrukowaną grafiką i danymi teleadresowymi; zadruk w pełnym kolorze (4/0) na przedniej stronie koperty. </w:t>
            </w:r>
          </w:p>
        </w:tc>
        <w:tc>
          <w:tcPr>
            <w:tcW w:w="2148" w:type="dxa"/>
          </w:tcPr>
          <w:p w14:paraId="14D22FCF" w14:textId="763202E5" w:rsidR="001D5C5B" w:rsidRDefault="001D5C5B" w:rsidP="007B00A0">
            <w:r>
              <w:t>1500 szt.</w:t>
            </w:r>
          </w:p>
        </w:tc>
      </w:tr>
      <w:tr w:rsidR="001D5C5B" w:rsidRPr="000A45AD" w14:paraId="66C3E635" w14:textId="52926EFF" w:rsidTr="002E7619">
        <w:trPr>
          <w:jc w:val="center"/>
        </w:trPr>
        <w:tc>
          <w:tcPr>
            <w:tcW w:w="1206" w:type="dxa"/>
          </w:tcPr>
          <w:p w14:paraId="558F2230" w14:textId="78244416" w:rsidR="001D5C5B" w:rsidRPr="000A45AD" w:rsidRDefault="00C970BC" w:rsidP="007B00A0">
            <w:r>
              <w:t>6.</w:t>
            </w:r>
          </w:p>
        </w:tc>
        <w:tc>
          <w:tcPr>
            <w:tcW w:w="2267" w:type="dxa"/>
          </w:tcPr>
          <w:p w14:paraId="6F1F742F" w14:textId="47C9F981" w:rsidR="001D5C5B" w:rsidRDefault="001D5C5B" w:rsidP="007B00A0">
            <w:r>
              <w:t>Koperta C5</w:t>
            </w:r>
          </w:p>
        </w:tc>
        <w:tc>
          <w:tcPr>
            <w:tcW w:w="6443" w:type="dxa"/>
          </w:tcPr>
          <w:p w14:paraId="24B92CBB" w14:textId="00DBD057" w:rsidR="001D5C5B" w:rsidRDefault="001D5C5B" w:rsidP="007B00A0">
            <w:r>
              <w:t xml:space="preserve">Produkcja białych koperty bez okienka, w formacie C5. o wymiarach ok. </w:t>
            </w:r>
            <w:r w:rsidRPr="00B92D56">
              <w:t>229x162 mm</w:t>
            </w:r>
            <w:r>
              <w:t xml:space="preserve">, papier offsetowy 80 g/m2, z zamknięciem samoprzylepnym, otwarcie na krótszym boku, z nadrukowaną grafiką i danymi teleadresowymi; zadruk w pełnym kolorze (4/0) na przedniej stronie koperty. </w:t>
            </w:r>
          </w:p>
        </w:tc>
        <w:tc>
          <w:tcPr>
            <w:tcW w:w="2148" w:type="dxa"/>
          </w:tcPr>
          <w:p w14:paraId="6EF5CCEF" w14:textId="06178971" w:rsidR="001D5C5B" w:rsidRDefault="001D5C5B" w:rsidP="007B00A0">
            <w:r>
              <w:t xml:space="preserve">1000 szt. </w:t>
            </w:r>
          </w:p>
        </w:tc>
      </w:tr>
      <w:tr w:rsidR="001D5C5B" w:rsidRPr="000A45AD" w14:paraId="4A04E9EE" w14:textId="6F42E0A5" w:rsidTr="002E7619">
        <w:trPr>
          <w:jc w:val="center"/>
        </w:trPr>
        <w:tc>
          <w:tcPr>
            <w:tcW w:w="1206" w:type="dxa"/>
          </w:tcPr>
          <w:p w14:paraId="5C7D1E14" w14:textId="3100FAFB" w:rsidR="001D5C5B" w:rsidRPr="000A45AD" w:rsidRDefault="00C970BC" w:rsidP="007B00A0">
            <w:r>
              <w:t>7.</w:t>
            </w:r>
          </w:p>
        </w:tc>
        <w:tc>
          <w:tcPr>
            <w:tcW w:w="2267" w:type="dxa"/>
          </w:tcPr>
          <w:p w14:paraId="46F7D4D5" w14:textId="705A982D" w:rsidR="001D5C5B" w:rsidRDefault="001D5C5B" w:rsidP="007B00A0">
            <w:r>
              <w:t>Zaproszenia  A5</w:t>
            </w:r>
          </w:p>
        </w:tc>
        <w:tc>
          <w:tcPr>
            <w:tcW w:w="6443" w:type="dxa"/>
          </w:tcPr>
          <w:p w14:paraId="2CACDAFA" w14:textId="569A6980" w:rsidR="001D5C5B" w:rsidRDefault="001D5C5B" w:rsidP="007B00A0">
            <w:r>
              <w:rPr>
                <w:rFonts w:eastAsia="Times New Roman"/>
                <w:lang w:eastAsia="pl-PL"/>
                <w14:ligatures w14:val="none"/>
              </w:rPr>
              <w:t xml:space="preserve">Druk zaproszenie w formacie 2x A5, bigowane po dłuższym boku, na kartonie kredowanym, matowym, o gramaturze </w:t>
            </w:r>
            <w:r>
              <w:t>minimum 30</w:t>
            </w:r>
            <w:r w:rsidRPr="00CC44E3">
              <w:t xml:space="preserve">0 </w:t>
            </w:r>
            <w:r>
              <w:t>g</w:t>
            </w:r>
            <w:r w:rsidRPr="00CC44E3">
              <w:t>/m</w:t>
            </w:r>
            <w:r w:rsidRPr="00CC44E3">
              <w:rPr>
                <w:vertAlign w:val="superscript"/>
              </w:rPr>
              <w:t>2</w:t>
            </w:r>
            <w:r w:rsidRPr="00E07924">
              <w:t xml:space="preserve">; </w:t>
            </w:r>
            <w:r>
              <w:t xml:space="preserve">zadruk </w:t>
            </w:r>
            <w:proofErr w:type="spellStart"/>
            <w:r>
              <w:t>pełnokolorowy</w:t>
            </w:r>
            <w:proofErr w:type="spellEnd"/>
            <w:r>
              <w:t>, dwustronny (4/4).</w:t>
            </w:r>
          </w:p>
        </w:tc>
        <w:tc>
          <w:tcPr>
            <w:tcW w:w="2148" w:type="dxa"/>
          </w:tcPr>
          <w:p w14:paraId="7E597C5D" w14:textId="61E2F044" w:rsidR="001D5C5B" w:rsidRDefault="001D5C5B" w:rsidP="007B00A0">
            <w:r>
              <w:t>Nakład 300 szt.</w:t>
            </w:r>
          </w:p>
        </w:tc>
      </w:tr>
      <w:tr w:rsidR="001D5C5B" w:rsidRPr="000A45AD" w14:paraId="77DD5758" w14:textId="77777777" w:rsidTr="002E7619">
        <w:trPr>
          <w:jc w:val="center"/>
        </w:trPr>
        <w:tc>
          <w:tcPr>
            <w:tcW w:w="1206" w:type="dxa"/>
          </w:tcPr>
          <w:p w14:paraId="1B3FFA7A" w14:textId="2F697F20" w:rsidR="001D5C5B" w:rsidRPr="000A45AD" w:rsidRDefault="00C970BC" w:rsidP="007B00A0">
            <w:r>
              <w:t>8.</w:t>
            </w:r>
          </w:p>
        </w:tc>
        <w:tc>
          <w:tcPr>
            <w:tcW w:w="2267" w:type="dxa"/>
          </w:tcPr>
          <w:p w14:paraId="0078D3DF" w14:textId="570253BA" w:rsidR="001D5C5B" w:rsidRDefault="001D5C5B" w:rsidP="007B00A0">
            <w:r>
              <w:t>Ulotka 4x 198x210 mm</w:t>
            </w:r>
          </w:p>
        </w:tc>
        <w:tc>
          <w:tcPr>
            <w:tcW w:w="6443" w:type="dxa"/>
          </w:tcPr>
          <w:p w14:paraId="3664B24F" w14:textId="19188189" w:rsidR="001D5C5B" w:rsidRDefault="001D5C5B" w:rsidP="007B00A0">
            <w:pPr>
              <w:rPr>
                <w:rFonts w:eastAsia="Times New Roman"/>
                <w:lang w:eastAsia="pl-PL"/>
                <w14:ligatures w14:val="none"/>
              </w:rPr>
            </w:pPr>
            <w:r>
              <w:rPr>
                <w:rFonts w:eastAsia="Times New Roman"/>
                <w:lang w:eastAsia="pl-PL"/>
                <w14:ligatures w14:val="none"/>
              </w:rPr>
              <w:t xml:space="preserve">Druk ulotki składanej, bigowanej do czterech do formatów </w:t>
            </w:r>
            <w:r w:rsidRPr="00DD64A0">
              <w:rPr>
                <w:rFonts w:eastAsia="Times New Roman"/>
                <w:lang w:eastAsia="pl-PL"/>
                <w14:ligatures w14:val="none"/>
              </w:rPr>
              <w:t xml:space="preserve">198 x 210 mm, typ składania: </w:t>
            </w:r>
            <w:proofErr w:type="spellStart"/>
            <w:r w:rsidRPr="00DD64A0">
              <w:rPr>
                <w:rFonts w:eastAsia="Times New Roman"/>
                <w:lang w:eastAsia="pl-PL"/>
                <w14:ligatures w14:val="none"/>
              </w:rPr>
              <w:t>ZygZag</w:t>
            </w:r>
            <w:proofErr w:type="spellEnd"/>
            <w:r w:rsidRPr="00DD64A0">
              <w:rPr>
                <w:rFonts w:eastAsia="Times New Roman"/>
                <w:lang w:eastAsia="pl-PL"/>
                <w14:ligatures w14:val="none"/>
              </w:rPr>
              <w:t xml:space="preserve">, </w:t>
            </w:r>
            <w:r>
              <w:rPr>
                <w:rFonts w:eastAsia="Times New Roman"/>
                <w:lang w:eastAsia="pl-PL"/>
                <w14:ligatures w14:val="none"/>
              </w:rPr>
              <w:t xml:space="preserve">papier </w:t>
            </w:r>
            <w:r w:rsidRPr="00DD64A0">
              <w:rPr>
                <w:rFonts w:eastAsia="Times New Roman"/>
                <w:lang w:eastAsia="pl-PL"/>
                <w14:ligatures w14:val="none"/>
              </w:rPr>
              <w:t xml:space="preserve">Nautilus </w:t>
            </w:r>
            <w:proofErr w:type="spellStart"/>
            <w:r w:rsidRPr="00DD64A0">
              <w:rPr>
                <w:rFonts w:eastAsia="Times New Roman"/>
                <w:lang w:eastAsia="pl-PL"/>
                <w14:ligatures w14:val="none"/>
              </w:rPr>
              <w:t>SuperWhite</w:t>
            </w:r>
            <w:proofErr w:type="spellEnd"/>
            <w:r>
              <w:rPr>
                <w:rFonts w:eastAsia="Times New Roman"/>
                <w:lang w:eastAsia="pl-PL"/>
                <w14:ligatures w14:val="none"/>
              </w:rPr>
              <w:t>, gramatura</w:t>
            </w:r>
            <w:r w:rsidRPr="00DD64A0">
              <w:rPr>
                <w:rFonts w:eastAsia="Times New Roman"/>
                <w:lang w:eastAsia="pl-PL"/>
                <w14:ligatures w14:val="none"/>
              </w:rPr>
              <w:t xml:space="preserve"> 250g</w:t>
            </w:r>
            <w:r>
              <w:rPr>
                <w:rFonts w:eastAsia="Times New Roman"/>
                <w:lang w:eastAsia="pl-PL"/>
                <w14:ligatures w14:val="none"/>
              </w:rPr>
              <w:t>/m</w:t>
            </w:r>
            <w:r w:rsidRPr="009D5F11">
              <w:rPr>
                <w:rFonts w:eastAsia="Times New Roman"/>
                <w:vertAlign w:val="superscript"/>
                <w:lang w:eastAsia="pl-PL"/>
                <w14:ligatures w14:val="none"/>
              </w:rPr>
              <w:t>2</w:t>
            </w:r>
            <w:r w:rsidRPr="00DD64A0">
              <w:rPr>
                <w:rFonts w:eastAsia="Times New Roman"/>
                <w:lang w:eastAsia="pl-PL"/>
                <w14:ligatures w14:val="none"/>
              </w:rPr>
              <w:t xml:space="preserve">, </w:t>
            </w:r>
            <w:r>
              <w:rPr>
                <w:rFonts w:eastAsia="Times New Roman"/>
                <w:lang w:eastAsia="pl-PL"/>
                <w14:ligatures w14:val="none"/>
              </w:rPr>
              <w:t>zadruk</w:t>
            </w:r>
            <w:r w:rsidRPr="00DD64A0">
              <w:rPr>
                <w:rFonts w:eastAsia="Times New Roman"/>
                <w:lang w:eastAsia="pl-PL"/>
                <w14:ligatures w14:val="none"/>
              </w:rPr>
              <w:t xml:space="preserve"> dwustronn</w:t>
            </w:r>
            <w:r>
              <w:rPr>
                <w:rFonts w:eastAsia="Times New Roman"/>
                <w:lang w:eastAsia="pl-PL"/>
                <w14:ligatures w14:val="none"/>
              </w:rPr>
              <w:t>y</w:t>
            </w:r>
            <w:r w:rsidRPr="00DD64A0">
              <w:rPr>
                <w:rFonts w:eastAsia="Times New Roman"/>
                <w:lang w:eastAsia="pl-PL"/>
                <w14:ligatures w14:val="none"/>
              </w:rPr>
              <w:t xml:space="preserve"> (4/4)</w:t>
            </w:r>
            <w:r>
              <w:rPr>
                <w:lang w:eastAsia="pl-PL"/>
                <w14:ligatures w14:val="none"/>
              </w:rPr>
              <w:t>.</w:t>
            </w:r>
          </w:p>
        </w:tc>
        <w:tc>
          <w:tcPr>
            <w:tcW w:w="2148" w:type="dxa"/>
          </w:tcPr>
          <w:p w14:paraId="50193F31" w14:textId="0DB18ABD" w:rsidR="001D5C5B" w:rsidRDefault="001D5C5B" w:rsidP="007B00A0">
            <w:r>
              <w:t>1000 szt.</w:t>
            </w:r>
          </w:p>
        </w:tc>
      </w:tr>
      <w:tr w:rsidR="001D5C5B" w:rsidRPr="000A45AD" w14:paraId="03697594" w14:textId="77777777" w:rsidTr="002E7619">
        <w:trPr>
          <w:jc w:val="center"/>
        </w:trPr>
        <w:tc>
          <w:tcPr>
            <w:tcW w:w="1206" w:type="dxa"/>
          </w:tcPr>
          <w:p w14:paraId="2068DB04" w14:textId="697B52FB" w:rsidR="001D5C5B" w:rsidRPr="000A45AD" w:rsidRDefault="00C970BC" w:rsidP="007B00A0">
            <w:r>
              <w:t>9.</w:t>
            </w:r>
          </w:p>
        </w:tc>
        <w:tc>
          <w:tcPr>
            <w:tcW w:w="2267" w:type="dxa"/>
          </w:tcPr>
          <w:p w14:paraId="71A6DB40" w14:textId="3D47E84A" w:rsidR="001D5C5B" w:rsidRDefault="001D5C5B" w:rsidP="007B00A0">
            <w:r>
              <w:t>T</w:t>
            </w:r>
            <w:r w:rsidRPr="00E323FD">
              <w:t>orb</w:t>
            </w:r>
            <w:r>
              <w:t>a</w:t>
            </w:r>
            <w:r w:rsidRPr="00E323FD">
              <w:t xml:space="preserve"> papierowe</w:t>
            </w:r>
          </w:p>
        </w:tc>
        <w:tc>
          <w:tcPr>
            <w:tcW w:w="6443" w:type="dxa"/>
          </w:tcPr>
          <w:p w14:paraId="29362C4C" w14:textId="10FC0EBB" w:rsidR="001D5C5B" w:rsidRDefault="001D5C5B" w:rsidP="007B00A0">
            <w:pPr>
              <w:rPr>
                <w:rFonts w:eastAsia="Times New Roman"/>
                <w:lang w:eastAsia="pl-PL"/>
                <w14:ligatures w14:val="none"/>
              </w:rPr>
            </w:pPr>
            <w:r>
              <w:rPr>
                <w:rFonts w:asciiTheme="minorHAnsi" w:hAnsiTheme="minorHAnsi" w:cstheme="minorHAnsi"/>
                <w:spacing w:val="-2"/>
              </w:rPr>
              <w:t xml:space="preserve">Produkcja toreb papierowych, z papieru ekologicznego typu Kraft, w naturalnym brązowym kolorze, o wymiarach zbliżonych do 240 x 100 x 320 mm  </w:t>
            </w:r>
            <w:r>
              <w:t>(± 5 cm),</w:t>
            </w:r>
            <w:r>
              <w:rPr>
                <w:rFonts w:asciiTheme="minorHAnsi" w:hAnsiTheme="minorHAnsi" w:cstheme="minorHAnsi"/>
                <w:spacing w:val="-2"/>
              </w:rPr>
              <w:t xml:space="preserve"> Gramatura papieru minimum 80 g/m</w:t>
            </w:r>
            <w:r>
              <w:rPr>
                <w:rFonts w:asciiTheme="minorHAnsi" w:hAnsiTheme="minorHAnsi" w:cstheme="minorHAnsi"/>
                <w:spacing w:val="-2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pacing w:val="-2"/>
              </w:rPr>
              <w:t xml:space="preserve">. Rodzaj uchwytu - dowolny. Zadruk w jednym kolorze, z jednej strony torby. </w:t>
            </w:r>
          </w:p>
        </w:tc>
        <w:tc>
          <w:tcPr>
            <w:tcW w:w="2148" w:type="dxa"/>
          </w:tcPr>
          <w:p w14:paraId="1E4E37CD" w14:textId="24C6A627" w:rsidR="001D5C5B" w:rsidRDefault="001D5C5B" w:rsidP="007B00A0">
            <w:r>
              <w:t>500 szt.</w:t>
            </w:r>
          </w:p>
        </w:tc>
      </w:tr>
      <w:tr w:rsidR="001D5C5B" w:rsidRPr="000A45AD" w14:paraId="0EAB8CB7" w14:textId="77777777" w:rsidTr="002E7619">
        <w:trPr>
          <w:jc w:val="center"/>
        </w:trPr>
        <w:tc>
          <w:tcPr>
            <w:tcW w:w="1206" w:type="dxa"/>
          </w:tcPr>
          <w:p w14:paraId="099BC86B" w14:textId="4A998ACA" w:rsidR="001D5C5B" w:rsidRPr="000A45AD" w:rsidRDefault="00C970BC" w:rsidP="007B00A0">
            <w:r>
              <w:t>10.</w:t>
            </w:r>
          </w:p>
        </w:tc>
        <w:tc>
          <w:tcPr>
            <w:tcW w:w="2267" w:type="dxa"/>
          </w:tcPr>
          <w:p w14:paraId="3864786E" w14:textId="4FB6AE79" w:rsidR="001D5C5B" w:rsidRDefault="001D5C5B" w:rsidP="007B00A0">
            <w:r>
              <w:t>Pamiątkowy bilet</w:t>
            </w:r>
          </w:p>
        </w:tc>
        <w:tc>
          <w:tcPr>
            <w:tcW w:w="6443" w:type="dxa"/>
          </w:tcPr>
          <w:p w14:paraId="016CD959" w14:textId="27BCC9EC" w:rsidR="00C970BC" w:rsidRPr="006E527C" w:rsidRDefault="001D5C5B" w:rsidP="007B00A0">
            <w:r>
              <w:rPr>
                <w:rFonts w:asciiTheme="minorHAnsi" w:hAnsiTheme="minorHAnsi" w:cstheme="minorHAnsi"/>
                <w:spacing w:val="-2"/>
              </w:rPr>
              <w:t xml:space="preserve">Druk pamiątkowego biletu z otwarcia TCD. </w:t>
            </w:r>
            <w:r>
              <w:rPr>
                <w:rFonts w:eastAsia="Times New Roman"/>
                <w:lang w:eastAsia="pl-PL"/>
                <w14:ligatures w14:val="none"/>
              </w:rPr>
              <w:t xml:space="preserve">W formacie DL, na kartonie kredowanym, matowym, o gramaturze </w:t>
            </w:r>
            <w:r>
              <w:t>minimum 30</w:t>
            </w:r>
            <w:r w:rsidRPr="00CC44E3">
              <w:t xml:space="preserve">0 </w:t>
            </w:r>
            <w:r>
              <w:t>g</w:t>
            </w:r>
            <w:r w:rsidRPr="00CC44E3">
              <w:t>/m</w:t>
            </w:r>
            <w:r w:rsidRPr="00CC44E3">
              <w:rPr>
                <w:vertAlign w:val="superscript"/>
              </w:rPr>
              <w:t>2</w:t>
            </w:r>
            <w:r w:rsidRPr="00E07924">
              <w:t xml:space="preserve">; </w:t>
            </w:r>
            <w:r>
              <w:t xml:space="preserve">zadruk </w:t>
            </w:r>
            <w:proofErr w:type="spellStart"/>
            <w:r>
              <w:t>pełnokolorowy</w:t>
            </w:r>
            <w:proofErr w:type="spellEnd"/>
            <w:r>
              <w:t xml:space="preserve">, dwustronny (4/4); folia </w:t>
            </w:r>
            <w:proofErr w:type="spellStart"/>
            <w:r>
              <w:t>soft</w:t>
            </w:r>
            <w:proofErr w:type="spellEnd"/>
            <w:r>
              <w:t xml:space="preserve"> skin dwustronnie, lakier UV 3D wybiórczo jednostronnie. </w:t>
            </w:r>
          </w:p>
        </w:tc>
        <w:tc>
          <w:tcPr>
            <w:tcW w:w="2148" w:type="dxa"/>
          </w:tcPr>
          <w:p w14:paraId="47DAE673" w14:textId="5E9674FF" w:rsidR="001D5C5B" w:rsidRDefault="001D5C5B" w:rsidP="007B00A0">
            <w:r>
              <w:t>500 szt.</w:t>
            </w:r>
          </w:p>
        </w:tc>
      </w:tr>
      <w:tr w:rsidR="001D5C5B" w:rsidRPr="000A45AD" w14:paraId="4E446C91" w14:textId="69848EF2" w:rsidTr="008D4EDF">
        <w:trPr>
          <w:trHeight w:val="397"/>
          <w:jc w:val="center"/>
        </w:trPr>
        <w:tc>
          <w:tcPr>
            <w:tcW w:w="12064" w:type="dxa"/>
            <w:gridSpan w:val="4"/>
            <w:shd w:val="clear" w:color="auto" w:fill="DEEAF6" w:themeFill="accent5" w:themeFillTint="33"/>
            <w:vAlign w:val="center"/>
          </w:tcPr>
          <w:p w14:paraId="2930C00D" w14:textId="047E2EA9" w:rsidR="001D5C5B" w:rsidRDefault="001D5C5B" w:rsidP="007B00A0">
            <w:pPr>
              <w:pStyle w:val="Akapitzlist"/>
              <w:numPr>
                <w:ilvl w:val="0"/>
                <w:numId w:val="1"/>
              </w:numPr>
            </w:pPr>
            <w:r>
              <w:lastRenderedPageBreak/>
              <w:t>Inne nośniki reklamy</w:t>
            </w:r>
          </w:p>
        </w:tc>
      </w:tr>
      <w:tr w:rsidR="001D5C5B" w:rsidRPr="000A45AD" w14:paraId="00529D56" w14:textId="7215984B" w:rsidTr="002E7619">
        <w:trPr>
          <w:jc w:val="center"/>
        </w:trPr>
        <w:tc>
          <w:tcPr>
            <w:tcW w:w="1206" w:type="dxa"/>
          </w:tcPr>
          <w:p w14:paraId="38B64A3E" w14:textId="33E36DB2" w:rsidR="001D5C5B" w:rsidRPr="000A45AD" w:rsidRDefault="00C970BC" w:rsidP="007B00A0">
            <w:r>
              <w:t>1.</w:t>
            </w:r>
          </w:p>
        </w:tc>
        <w:tc>
          <w:tcPr>
            <w:tcW w:w="2267" w:type="dxa"/>
          </w:tcPr>
          <w:p w14:paraId="444B041D" w14:textId="1D72C9E1" w:rsidR="001D5C5B" w:rsidRDefault="001D5C5B" w:rsidP="007B00A0">
            <w:r>
              <w:t>Torba płócienna</w:t>
            </w:r>
          </w:p>
        </w:tc>
        <w:tc>
          <w:tcPr>
            <w:tcW w:w="6443" w:type="dxa"/>
          </w:tcPr>
          <w:p w14:paraId="77FBADFD" w14:textId="218BFCC1" w:rsidR="001D5C5B" w:rsidRDefault="001D5C5B" w:rsidP="007B00A0">
            <w:r>
              <w:t>Produkcja torby płóciennej  z tkaniny o gramaturze minimum 260g/m</w:t>
            </w:r>
            <w:r w:rsidRPr="008E2FE1">
              <w:rPr>
                <w:vertAlign w:val="superscript"/>
              </w:rPr>
              <w:t>2</w:t>
            </w:r>
          </w:p>
          <w:p w14:paraId="0D4EBA33" w14:textId="2E736F2E" w:rsidR="001D5C5B" w:rsidRDefault="001D5C5B" w:rsidP="007B00A0">
            <w:r>
              <w:t>- wymiary torby: ok. 600 mm x 420 mm (± 10 cm),</w:t>
            </w:r>
          </w:p>
          <w:p w14:paraId="2049F099" w14:textId="727CBD5F" w:rsidR="001D5C5B" w:rsidRDefault="001D5C5B" w:rsidP="007B00A0">
            <w:r>
              <w:t xml:space="preserve">- kolor tkaniny granatowy, </w:t>
            </w:r>
          </w:p>
          <w:p w14:paraId="4F9FEEA7" w14:textId="3C66A486" w:rsidR="001D5C5B" w:rsidRDefault="001D5C5B" w:rsidP="007B00A0">
            <w:r>
              <w:t xml:space="preserve">- uchwyt torby min. 60 cm </w:t>
            </w:r>
          </w:p>
          <w:p w14:paraId="45936B0A" w14:textId="77777777" w:rsidR="001D5C5B" w:rsidRDefault="001D5C5B" w:rsidP="007B00A0">
            <w:r>
              <w:t xml:space="preserve">- bawełna 100% </w:t>
            </w:r>
          </w:p>
          <w:p w14:paraId="173B3942" w14:textId="77777777" w:rsidR="001D5C5B" w:rsidRDefault="001D5C5B" w:rsidP="007B00A0">
            <w:r>
              <w:t xml:space="preserve">- projekt o wymiarach zbliżonych do A3 </w:t>
            </w:r>
          </w:p>
          <w:p w14:paraId="6E33787D" w14:textId="77777777" w:rsidR="001D5C5B" w:rsidRDefault="001D5C5B" w:rsidP="007B00A0">
            <w:r>
              <w:t xml:space="preserve">– cztery kolory </w:t>
            </w:r>
            <w:r w:rsidRPr="00393F5B">
              <w:t xml:space="preserve">nadruku,  </w:t>
            </w:r>
          </w:p>
          <w:p w14:paraId="437E2777" w14:textId="49CC1A77" w:rsidR="001D5C5B" w:rsidRPr="00F052A4" w:rsidRDefault="001D5C5B" w:rsidP="007B00A0">
            <w:pPr>
              <w:rPr>
                <w:color w:val="00B050"/>
              </w:rPr>
            </w:pPr>
            <w:r>
              <w:t xml:space="preserve">- </w:t>
            </w:r>
            <w:r w:rsidRPr="00393F5B">
              <w:t>nadruk na jednej stronie torby</w:t>
            </w:r>
            <w:r>
              <w:rPr>
                <w:color w:val="00B050"/>
              </w:rPr>
              <w:t xml:space="preserve"> </w:t>
            </w:r>
          </w:p>
          <w:p w14:paraId="2E5A4AAD" w14:textId="77777777" w:rsidR="001D5C5B" w:rsidRDefault="001D5C5B" w:rsidP="007B00A0">
            <w:r>
              <w:t xml:space="preserve">- wszyta metka z informacjami dot. współfinansowania </w:t>
            </w:r>
          </w:p>
          <w:p w14:paraId="0CE9B357" w14:textId="3186E9BB" w:rsidR="001D5C5B" w:rsidRPr="00393F5B" w:rsidRDefault="001D5C5B" w:rsidP="007B00A0">
            <w:r>
              <w:t>- torby dostarczane bez opakowania jednostkowego.</w:t>
            </w:r>
          </w:p>
        </w:tc>
        <w:tc>
          <w:tcPr>
            <w:tcW w:w="2148" w:type="dxa"/>
          </w:tcPr>
          <w:p w14:paraId="7C91CC2C" w14:textId="74B3B2EB" w:rsidR="001D5C5B" w:rsidRDefault="001D5C5B" w:rsidP="007B00A0">
            <w:r>
              <w:t>300 szt.</w:t>
            </w:r>
          </w:p>
        </w:tc>
      </w:tr>
      <w:tr w:rsidR="001D5C5B" w:rsidRPr="000A45AD" w14:paraId="25F3FCF1" w14:textId="54DE6C63" w:rsidTr="002E7619">
        <w:trPr>
          <w:jc w:val="center"/>
        </w:trPr>
        <w:tc>
          <w:tcPr>
            <w:tcW w:w="1206" w:type="dxa"/>
          </w:tcPr>
          <w:p w14:paraId="1C3544BE" w14:textId="4E07ADEF" w:rsidR="001D5C5B" w:rsidRPr="000A45AD" w:rsidRDefault="00C970BC" w:rsidP="007B00A0">
            <w:r>
              <w:t>2.</w:t>
            </w:r>
          </w:p>
        </w:tc>
        <w:tc>
          <w:tcPr>
            <w:tcW w:w="2267" w:type="dxa"/>
          </w:tcPr>
          <w:p w14:paraId="429AF1CF" w14:textId="5ECE1C5F" w:rsidR="001D5C5B" w:rsidRDefault="001D5C5B" w:rsidP="007B00A0">
            <w:r>
              <w:t>Pióro wieczne</w:t>
            </w:r>
          </w:p>
        </w:tc>
        <w:tc>
          <w:tcPr>
            <w:tcW w:w="6443" w:type="dxa"/>
          </w:tcPr>
          <w:p w14:paraId="4D3B624C" w14:textId="4A2A9A91" w:rsidR="001D5C5B" w:rsidRDefault="001D5C5B" w:rsidP="007B00A0">
            <w:r>
              <w:t xml:space="preserve">Pióro wieczne: korpus z metalu pokryty laką w kolorze czarnym, na naboje; wykończenia: stalówka ze stali nierdzewnej lub równoważne jakościowo i użytkowo, w etui z tworzywa lub kartonowym w kolorze grafit lub czarnym, etui z nadrukiem wykonanym w technice tampon druku, wielkość nadruku 40 x 20 mm, pióro z grawerunkiem wykonanym w technice grawerowania laserowego, wielkość grawerunku 20 x 7 mm . </w:t>
            </w:r>
          </w:p>
        </w:tc>
        <w:tc>
          <w:tcPr>
            <w:tcW w:w="2148" w:type="dxa"/>
          </w:tcPr>
          <w:p w14:paraId="7A36DE1D" w14:textId="26D938B6" w:rsidR="001D5C5B" w:rsidRDefault="001D5C5B" w:rsidP="007B00A0">
            <w:r>
              <w:t>70 szt.</w:t>
            </w:r>
          </w:p>
        </w:tc>
      </w:tr>
      <w:tr w:rsidR="001D5C5B" w:rsidRPr="000A45AD" w14:paraId="667042C1" w14:textId="7C84B027" w:rsidTr="002E7619">
        <w:trPr>
          <w:jc w:val="center"/>
        </w:trPr>
        <w:tc>
          <w:tcPr>
            <w:tcW w:w="1206" w:type="dxa"/>
          </w:tcPr>
          <w:p w14:paraId="27BC60DD" w14:textId="34BEFA3A" w:rsidR="001D5C5B" w:rsidRPr="000A45AD" w:rsidRDefault="00C970BC" w:rsidP="007B00A0">
            <w:r>
              <w:t>3.</w:t>
            </w:r>
          </w:p>
        </w:tc>
        <w:tc>
          <w:tcPr>
            <w:tcW w:w="2267" w:type="dxa"/>
          </w:tcPr>
          <w:p w14:paraId="00DCC82B" w14:textId="3C8E4743" w:rsidR="001D5C5B" w:rsidRDefault="001D5C5B" w:rsidP="007B00A0">
            <w:proofErr w:type="spellStart"/>
            <w:r>
              <w:t>Buttony</w:t>
            </w:r>
            <w:proofErr w:type="spellEnd"/>
            <w:r>
              <w:t xml:space="preserve"> - zapinki</w:t>
            </w:r>
          </w:p>
        </w:tc>
        <w:tc>
          <w:tcPr>
            <w:tcW w:w="6443" w:type="dxa"/>
          </w:tcPr>
          <w:p w14:paraId="30F7DC59" w14:textId="2E0E31F5" w:rsidR="001D5C5B" w:rsidRPr="000A45AD" w:rsidRDefault="001D5C5B" w:rsidP="007B00A0">
            <w:r w:rsidRPr="004234E4">
              <w:t>Przypinki z agrafką</w:t>
            </w:r>
            <w:r>
              <w:t>,</w:t>
            </w:r>
            <w:r w:rsidRPr="004234E4">
              <w:t xml:space="preserve"> typu Button, o średnicy </w:t>
            </w:r>
            <w:r>
              <w:t>40</w:t>
            </w:r>
            <w:r w:rsidRPr="004234E4">
              <w:t xml:space="preserve"> mm z grafiką pełno kolorową</w:t>
            </w:r>
            <w:r>
              <w:t xml:space="preserve">, 4 różne wzory. </w:t>
            </w:r>
          </w:p>
        </w:tc>
        <w:tc>
          <w:tcPr>
            <w:tcW w:w="2148" w:type="dxa"/>
          </w:tcPr>
          <w:p w14:paraId="2FCCFF70" w14:textId="69F2F0B7" w:rsidR="001D5C5B" w:rsidRDefault="001D5C5B" w:rsidP="007B00A0">
            <w:r>
              <w:t>400 szt.</w:t>
            </w:r>
          </w:p>
        </w:tc>
      </w:tr>
      <w:tr w:rsidR="001D5C5B" w:rsidRPr="000A45AD" w14:paraId="267EA808" w14:textId="3C28F647" w:rsidTr="002E7619">
        <w:trPr>
          <w:jc w:val="center"/>
        </w:trPr>
        <w:tc>
          <w:tcPr>
            <w:tcW w:w="1206" w:type="dxa"/>
          </w:tcPr>
          <w:p w14:paraId="230807EF" w14:textId="1198F89D" w:rsidR="001D5C5B" w:rsidRPr="000A45AD" w:rsidRDefault="00C970BC" w:rsidP="007B00A0">
            <w:r>
              <w:t>4.</w:t>
            </w:r>
          </w:p>
        </w:tc>
        <w:tc>
          <w:tcPr>
            <w:tcW w:w="2267" w:type="dxa"/>
          </w:tcPr>
          <w:p w14:paraId="06251825" w14:textId="00DCD8D1" w:rsidR="001D5C5B" w:rsidRPr="00E3398F" w:rsidRDefault="001D5C5B" w:rsidP="007B00A0">
            <w:pPr>
              <w:rPr>
                <w:color w:val="BFBFBF" w:themeColor="background1" w:themeShade="BF"/>
              </w:rPr>
            </w:pPr>
            <w:r w:rsidRPr="00D4433E">
              <w:t>Apaszka</w:t>
            </w:r>
            <w:r>
              <w:t xml:space="preserve"> promocyjna</w:t>
            </w:r>
          </w:p>
        </w:tc>
        <w:tc>
          <w:tcPr>
            <w:tcW w:w="6443" w:type="dxa"/>
          </w:tcPr>
          <w:p w14:paraId="581BFF62" w14:textId="6E3DA3FB" w:rsidR="001D5C5B" w:rsidRPr="002A0A39" w:rsidRDefault="001D5C5B" w:rsidP="00C72F0F">
            <w:pPr>
              <w:pStyle w:val="Tekstpodstawowy"/>
              <w:spacing w:line="288" w:lineRule="exact"/>
              <w:jc w:val="both"/>
              <w:rPr>
                <w:color w:val="00B050"/>
                <w:sz w:val="22"/>
                <w:szCs w:val="22"/>
              </w:rPr>
            </w:pPr>
            <w:r w:rsidRPr="00DA4A1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Produkcja apaszki promocyjnej. Wymiar ok. 54x54 cm </w:t>
            </w:r>
            <w:r w:rsidRPr="00DA4A13">
              <w:rPr>
                <w:sz w:val="22"/>
                <w:szCs w:val="22"/>
              </w:rPr>
              <w:t xml:space="preserve">(± </w:t>
            </w:r>
            <w:r>
              <w:rPr>
                <w:sz w:val="22"/>
                <w:szCs w:val="22"/>
              </w:rPr>
              <w:t>3</w:t>
            </w:r>
            <w:r w:rsidRPr="00DA4A13">
              <w:rPr>
                <w:sz w:val="22"/>
                <w:szCs w:val="22"/>
              </w:rPr>
              <w:t xml:space="preserve"> cm)</w:t>
            </w:r>
            <w:r>
              <w:rPr>
                <w:sz w:val="22"/>
                <w:szCs w:val="22"/>
              </w:rPr>
              <w:t xml:space="preserve">. Zadruk jednostronny, metodą </w:t>
            </w:r>
            <w:r w:rsidRPr="00393F5B">
              <w:rPr>
                <w:sz w:val="22"/>
                <w:szCs w:val="22"/>
              </w:rPr>
              <w:t xml:space="preserve">sublimacji w trzech kolorach. Materiał apaszki – poliester, typ </w:t>
            </w:r>
            <w:proofErr w:type="spellStart"/>
            <w:r w:rsidRPr="00393F5B">
              <w:rPr>
                <w:sz w:val="22"/>
                <w:szCs w:val="22"/>
              </w:rPr>
              <w:t>mikrofibra</w:t>
            </w:r>
            <w:proofErr w:type="spellEnd"/>
            <w:r w:rsidRPr="00393F5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8" w:type="dxa"/>
          </w:tcPr>
          <w:p w14:paraId="4521386E" w14:textId="29E9D6DA" w:rsidR="001D5C5B" w:rsidRPr="00DA4A13" w:rsidRDefault="001D5C5B" w:rsidP="007B00A0">
            <w:r w:rsidRPr="00DA4A13">
              <w:t>30 szt.</w:t>
            </w:r>
          </w:p>
        </w:tc>
      </w:tr>
      <w:tr w:rsidR="001D5C5B" w:rsidRPr="000A45AD" w14:paraId="6A2DE025" w14:textId="77777777" w:rsidTr="002E7619">
        <w:trPr>
          <w:jc w:val="center"/>
        </w:trPr>
        <w:tc>
          <w:tcPr>
            <w:tcW w:w="1206" w:type="dxa"/>
          </w:tcPr>
          <w:p w14:paraId="087A2FAC" w14:textId="231A9A9B" w:rsidR="001D5C5B" w:rsidRPr="0092338C" w:rsidRDefault="00C970BC" w:rsidP="007B00A0">
            <w:r>
              <w:t>5.</w:t>
            </w:r>
          </w:p>
        </w:tc>
        <w:tc>
          <w:tcPr>
            <w:tcW w:w="2267" w:type="dxa"/>
          </w:tcPr>
          <w:p w14:paraId="5283980C" w14:textId="7EE2962D" w:rsidR="001D5C5B" w:rsidRPr="0092338C" w:rsidRDefault="001D5C5B" w:rsidP="007B00A0">
            <w:r w:rsidRPr="0092338C">
              <w:t>Poszetka promocyjna</w:t>
            </w:r>
          </w:p>
        </w:tc>
        <w:tc>
          <w:tcPr>
            <w:tcW w:w="6443" w:type="dxa"/>
          </w:tcPr>
          <w:p w14:paraId="1D6CF7E7" w14:textId="52E4D52F" w:rsidR="001D5C5B" w:rsidRPr="00AC1411" w:rsidRDefault="001D5C5B" w:rsidP="00AC1411">
            <w:pPr>
              <w:pStyle w:val="Tekstpodstawowy"/>
              <w:spacing w:line="288" w:lineRule="exact"/>
              <w:jc w:val="both"/>
              <w:rPr>
                <w:sz w:val="22"/>
                <w:szCs w:val="22"/>
              </w:rPr>
            </w:pPr>
            <w:r w:rsidRPr="00DA4A1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Produkcja 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poszetki</w:t>
            </w:r>
            <w:r w:rsidRPr="00DA4A1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promocyjnej. Wymiar ok. 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30x30 cm</w:t>
            </w:r>
            <w:r w:rsidRPr="00DA4A1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A4A13">
              <w:rPr>
                <w:sz w:val="22"/>
                <w:szCs w:val="22"/>
              </w:rPr>
              <w:t xml:space="preserve">(± </w:t>
            </w:r>
            <w:r>
              <w:rPr>
                <w:sz w:val="22"/>
                <w:szCs w:val="22"/>
              </w:rPr>
              <w:t>3</w:t>
            </w:r>
            <w:r w:rsidRPr="00DA4A13">
              <w:rPr>
                <w:sz w:val="22"/>
                <w:szCs w:val="22"/>
              </w:rPr>
              <w:t xml:space="preserve"> cm)</w:t>
            </w:r>
            <w:r>
              <w:rPr>
                <w:sz w:val="22"/>
                <w:szCs w:val="22"/>
              </w:rPr>
              <w:t xml:space="preserve">. Zadruk </w:t>
            </w:r>
            <w:r w:rsidRPr="00EC0E20">
              <w:rPr>
                <w:sz w:val="22"/>
                <w:szCs w:val="22"/>
              </w:rPr>
              <w:t xml:space="preserve">jednostronny, metodą sublimacji w trzech kolorach. Materiał poszetki – poliester, typ </w:t>
            </w:r>
            <w:proofErr w:type="spellStart"/>
            <w:r w:rsidRPr="00EC0E20">
              <w:rPr>
                <w:sz w:val="22"/>
                <w:szCs w:val="22"/>
              </w:rPr>
              <w:t>mikrofibra</w:t>
            </w:r>
            <w:proofErr w:type="spellEnd"/>
            <w:r w:rsidRPr="00EC0E20">
              <w:rPr>
                <w:sz w:val="22"/>
                <w:szCs w:val="22"/>
              </w:rPr>
              <w:t>.</w:t>
            </w:r>
          </w:p>
        </w:tc>
        <w:tc>
          <w:tcPr>
            <w:tcW w:w="2148" w:type="dxa"/>
          </w:tcPr>
          <w:p w14:paraId="786F0FD6" w14:textId="62E190CB" w:rsidR="001D5C5B" w:rsidRPr="0028713C" w:rsidRDefault="001D5C5B" w:rsidP="007B00A0">
            <w:r>
              <w:t>30szt.</w:t>
            </w:r>
          </w:p>
        </w:tc>
      </w:tr>
      <w:tr w:rsidR="001D5C5B" w:rsidRPr="000A45AD" w14:paraId="6A8F9672" w14:textId="7230D0F6" w:rsidTr="002E7619">
        <w:trPr>
          <w:jc w:val="center"/>
        </w:trPr>
        <w:tc>
          <w:tcPr>
            <w:tcW w:w="1206" w:type="dxa"/>
          </w:tcPr>
          <w:p w14:paraId="7E3B8D7C" w14:textId="67202680" w:rsidR="001D5C5B" w:rsidRPr="000A45AD" w:rsidRDefault="00C970BC" w:rsidP="007B00A0">
            <w:r>
              <w:lastRenderedPageBreak/>
              <w:t>6.</w:t>
            </w:r>
          </w:p>
        </w:tc>
        <w:tc>
          <w:tcPr>
            <w:tcW w:w="2267" w:type="dxa"/>
          </w:tcPr>
          <w:p w14:paraId="4DAFCF86" w14:textId="76F267B8" w:rsidR="001D5C5B" w:rsidRPr="003A3C3F" w:rsidRDefault="001D5C5B" w:rsidP="007B00A0">
            <w:pPr>
              <w:rPr>
                <w:color w:val="808080" w:themeColor="background1" w:themeShade="80"/>
              </w:rPr>
            </w:pPr>
            <w:r w:rsidRPr="0092338C">
              <w:t>Ramka do</w:t>
            </w:r>
            <w:r>
              <w:t xml:space="preserve"> </w:t>
            </w:r>
            <w:r w:rsidRPr="0092338C">
              <w:rPr>
                <w:rFonts w:asciiTheme="minorHAnsi" w:hAnsiTheme="minorHAnsi" w:cstheme="minorHAnsi"/>
                <w:spacing w:val="-2"/>
              </w:rPr>
              <w:t>oprawy pamiątkowego biletu otwarcia</w:t>
            </w:r>
          </w:p>
        </w:tc>
        <w:tc>
          <w:tcPr>
            <w:tcW w:w="6443" w:type="dxa"/>
          </w:tcPr>
          <w:p w14:paraId="536191DB" w14:textId="6E66F1D2" w:rsidR="001D5C5B" w:rsidRPr="00EC0E20" w:rsidRDefault="001D5C5B" w:rsidP="007B00A0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 xml:space="preserve">Produkcja ramki do oprawy pamiątkowego biletu otwarcia. </w:t>
            </w:r>
            <w:r w:rsidRPr="00D34D1C">
              <w:rPr>
                <w:rFonts w:asciiTheme="minorHAnsi" w:hAnsiTheme="minorHAnsi" w:cstheme="minorHAnsi"/>
                <w:spacing w:val="-2"/>
              </w:rPr>
              <w:t>Ramka aluminiowa</w:t>
            </w:r>
            <w:r>
              <w:rPr>
                <w:rFonts w:asciiTheme="minorHAnsi" w:hAnsiTheme="minorHAnsi" w:cstheme="minorHAnsi"/>
                <w:spacing w:val="-2"/>
              </w:rPr>
              <w:t>,</w:t>
            </w:r>
            <w:r w:rsidRPr="00D34D1C">
              <w:rPr>
                <w:rFonts w:asciiTheme="minorHAnsi" w:hAnsiTheme="minorHAnsi" w:cstheme="minorHAnsi"/>
                <w:spacing w:val="-2"/>
              </w:rPr>
              <w:t xml:space="preserve"> czarna wykonana z profilu aluminiowego o szerokości 0,9 cm, z tyłu ramka zamknięta formatką HDF o grubości 3.2 cm</w:t>
            </w:r>
            <w:r>
              <w:rPr>
                <w:rFonts w:asciiTheme="minorHAnsi" w:hAnsiTheme="minorHAnsi" w:cstheme="minorHAnsi"/>
                <w:spacing w:val="-2"/>
              </w:rPr>
              <w:t xml:space="preserve">, </w:t>
            </w:r>
            <w:r w:rsidRPr="00D34D1C">
              <w:rPr>
                <w:rFonts w:asciiTheme="minorHAnsi" w:hAnsiTheme="minorHAnsi" w:cstheme="minorHAnsi"/>
                <w:spacing w:val="-2"/>
              </w:rPr>
              <w:t>z przodu formatk</w:t>
            </w:r>
            <w:r>
              <w:rPr>
                <w:rFonts w:asciiTheme="minorHAnsi" w:hAnsiTheme="minorHAnsi" w:cstheme="minorHAnsi"/>
                <w:spacing w:val="-2"/>
              </w:rPr>
              <w:t>a</w:t>
            </w:r>
            <w:r w:rsidRPr="00D34D1C">
              <w:rPr>
                <w:rFonts w:asciiTheme="minorHAnsi" w:hAnsiTheme="minorHAnsi" w:cstheme="minorHAnsi"/>
                <w:spacing w:val="-2"/>
              </w:rPr>
              <w:t xml:space="preserve"> ze szkła o </w:t>
            </w:r>
            <w:r w:rsidRPr="00EC0E20">
              <w:rPr>
                <w:rFonts w:asciiTheme="minorHAnsi" w:hAnsiTheme="minorHAnsi" w:cstheme="minorHAnsi"/>
                <w:spacing w:val="-2"/>
              </w:rPr>
              <w:t xml:space="preserve">grubości 2 mm, pod szkłem karton ok. 170 g/m2 w kolorze kremowym; zawieszka do powieszenia na ścianie. Wymiar kartonu i formatki HDF minimum 16,5x27 cm. </w:t>
            </w:r>
          </w:p>
          <w:p w14:paraId="6CB91CB9" w14:textId="6125612A" w:rsidR="001D5C5B" w:rsidRPr="003A3C3F" w:rsidRDefault="001D5C5B" w:rsidP="007B00A0">
            <w:pPr>
              <w:pStyle w:val="Tekstpodstawowy"/>
              <w:spacing w:line="288" w:lineRule="exact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C0E20">
              <w:rPr>
                <w:rFonts w:asciiTheme="minorHAnsi" w:hAnsiTheme="minorHAnsi" w:cstheme="minorHAnsi"/>
                <w:spacing w:val="-2"/>
              </w:rPr>
              <w:t xml:space="preserve">Naklejka na tylnej formatce </w:t>
            </w:r>
            <w:r>
              <w:rPr>
                <w:rFonts w:asciiTheme="minorHAnsi" w:hAnsiTheme="minorHAnsi" w:cstheme="minorHAnsi"/>
                <w:spacing w:val="-2"/>
              </w:rPr>
              <w:t>ramki o wymiarach: 11x15 cm, zadrukowana w pełnym kolorze.</w:t>
            </w:r>
          </w:p>
        </w:tc>
        <w:tc>
          <w:tcPr>
            <w:tcW w:w="2148" w:type="dxa"/>
          </w:tcPr>
          <w:p w14:paraId="46AC4469" w14:textId="77777777" w:rsidR="001D5C5B" w:rsidRPr="0028713C" w:rsidRDefault="001D5C5B" w:rsidP="007B00A0">
            <w:r w:rsidRPr="0028713C">
              <w:t>50 szt.</w:t>
            </w:r>
          </w:p>
          <w:p w14:paraId="148FC545" w14:textId="62BB4A75" w:rsidR="001D5C5B" w:rsidRPr="003A3C3F" w:rsidRDefault="001D5C5B" w:rsidP="007B00A0">
            <w:pPr>
              <w:rPr>
                <w:color w:val="808080" w:themeColor="background1" w:themeShade="80"/>
              </w:rPr>
            </w:pPr>
          </w:p>
        </w:tc>
      </w:tr>
      <w:tr w:rsidR="001D5C5B" w:rsidRPr="000A45AD" w14:paraId="7E54477E" w14:textId="77777777" w:rsidTr="002E7619">
        <w:trPr>
          <w:jc w:val="center"/>
        </w:trPr>
        <w:tc>
          <w:tcPr>
            <w:tcW w:w="1206" w:type="dxa"/>
          </w:tcPr>
          <w:p w14:paraId="3E8109FE" w14:textId="45669735" w:rsidR="001D5C5B" w:rsidRPr="000A45AD" w:rsidRDefault="00C970BC" w:rsidP="007B00A0">
            <w:r>
              <w:t>7.</w:t>
            </w:r>
          </w:p>
        </w:tc>
        <w:tc>
          <w:tcPr>
            <w:tcW w:w="2267" w:type="dxa"/>
          </w:tcPr>
          <w:p w14:paraId="77692A77" w14:textId="4E8D1529" w:rsidR="001D5C5B" w:rsidRPr="00F7009D" w:rsidRDefault="001D5C5B" w:rsidP="007B00A0">
            <w:r w:rsidRPr="00F7009D">
              <w:t xml:space="preserve">Krówki </w:t>
            </w:r>
            <w:proofErr w:type="spellStart"/>
            <w:r>
              <w:t>promo</w:t>
            </w:r>
            <w:proofErr w:type="spellEnd"/>
          </w:p>
        </w:tc>
        <w:tc>
          <w:tcPr>
            <w:tcW w:w="6443" w:type="dxa"/>
          </w:tcPr>
          <w:p w14:paraId="188F053A" w14:textId="7068FDBA" w:rsidR="001D5C5B" w:rsidRPr="00A917E9" w:rsidRDefault="001D5C5B" w:rsidP="00A917E9">
            <w:pPr>
              <w:pStyle w:val="Tekstpodstawowy"/>
              <w:spacing w:line="288" w:lineRule="exact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EC0E2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Produkcja promocyjnych cukierków typu „krówka”</w:t>
            </w:r>
            <w:r w:rsidR="00780B9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Cukierek o smaku mlecznym. Wyprodukowany na zamówienie nie wcześniej niż 15 lutego 2024r.</w:t>
            </w:r>
            <w:r w:rsidR="00EF03B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Każdy cukierek zapakowany w spersonalizowane opakowanie jednostkowe</w:t>
            </w:r>
            <w:r w:rsidR="00ED326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(Zewnętrzna owijka zadrukowana dwustronnie w pełnym kolorze; wewnętrzna owijka zabezpieczająca cukierek i umożliwiająca łatwe odwijanie). Minimalny termin przydatności do spożycia – 6 miesięcy</w:t>
            </w:r>
            <w:r w:rsidR="00A917E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.</w:t>
            </w:r>
          </w:p>
        </w:tc>
        <w:tc>
          <w:tcPr>
            <w:tcW w:w="2148" w:type="dxa"/>
          </w:tcPr>
          <w:p w14:paraId="41C84E6C" w14:textId="7DCEB318" w:rsidR="001D5C5B" w:rsidRPr="0028713C" w:rsidRDefault="001D5C5B" w:rsidP="007B00A0">
            <w:r w:rsidRPr="0028713C">
              <w:t>10 kg</w:t>
            </w:r>
          </w:p>
        </w:tc>
      </w:tr>
      <w:tr w:rsidR="001D5C5B" w:rsidRPr="000A45AD" w14:paraId="5AD034CF" w14:textId="77777777" w:rsidTr="002E7619">
        <w:trPr>
          <w:jc w:val="center"/>
        </w:trPr>
        <w:tc>
          <w:tcPr>
            <w:tcW w:w="1206" w:type="dxa"/>
          </w:tcPr>
          <w:p w14:paraId="10E4771F" w14:textId="6D54668B" w:rsidR="001D5C5B" w:rsidRPr="000A45AD" w:rsidRDefault="00C970BC" w:rsidP="007B00A0">
            <w:r>
              <w:t>8.</w:t>
            </w:r>
          </w:p>
        </w:tc>
        <w:tc>
          <w:tcPr>
            <w:tcW w:w="2267" w:type="dxa"/>
          </w:tcPr>
          <w:p w14:paraId="27BAA426" w14:textId="64DF93AD" w:rsidR="001D5C5B" w:rsidRPr="00CC3A06" w:rsidRDefault="001D5C5B" w:rsidP="007B00A0">
            <w:r w:rsidRPr="00CC3A06">
              <w:t xml:space="preserve">Tablice </w:t>
            </w:r>
            <w:r>
              <w:t xml:space="preserve">do ekspozycji materiałów promocyjnych </w:t>
            </w:r>
            <w:r w:rsidRPr="00CC3A06">
              <w:t>B1</w:t>
            </w:r>
          </w:p>
        </w:tc>
        <w:tc>
          <w:tcPr>
            <w:tcW w:w="6443" w:type="dxa"/>
          </w:tcPr>
          <w:p w14:paraId="3E380F03" w14:textId="1E90ACD5" w:rsidR="001D5C5B" w:rsidRPr="0013091F" w:rsidRDefault="001D5C5B" w:rsidP="007B00A0">
            <w:pPr>
              <w:pStyle w:val="Tekstpodstawowy"/>
              <w:spacing w:line="288" w:lineRule="exact"/>
              <w:jc w:val="both"/>
              <w:rPr>
                <w:rFonts w:asciiTheme="minorHAnsi" w:hAnsiTheme="minorHAnsi" w:cstheme="minorHAnsi"/>
                <w:color w:val="00B050"/>
                <w:spacing w:val="-2"/>
                <w:sz w:val="22"/>
                <w:szCs w:val="22"/>
              </w:rPr>
            </w:pPr>
            <w:r w:rsidRPr="00CC3A0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Stojak na plakaty dwustronny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, z ramą dla formatów B1; P</w:t>
            </w:r>
            <w:r w:rsidRPr="00CC3A0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odstawa wraz ze statywem i ramą tablicy z anodowanego aluminium w kolorze srebrnym. </w:t>
            </w:r>
            <w:r w:rsidRPr="008B775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Tablica </w:t>
            </w:r>
            <w:r w:rsidR="00A917E9" w:rsidRPr="008B775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ma </w:t>
            </w:r>
            <w:r w:rsidRPr="008B775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umożliwia</w:t>
            </w:r>
            <w:r w:rsidR="00A917E9" w:rsidRPr="008B775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ć</w:t>
            </w:r>
            <w:r w:rsidRPr="008B775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dwustronną ekspozycję plakatów  w formacie B1 oraz </w:t>
            </w:r>
            <w:r w:rsidR="001D203D" w:rsidRPr="008B775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ma </w:t>
            </w:r>
            <w:r w:rsidRPr="008B775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zapewni</w:t>
            </w:r>
            <w:r w:rsidR="001D203D" w:rsidRPr="008B775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ć</w:t>
            </w:r>
            <w:r w:rsidRPr="008B775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łatwą wymianę plakatów. </w:t>
            </w:r>
          </w:p>
        </w:tc>
        <w:tc>
          <w:tcPr>
            <w:tcW w:w="2148" w:type="dxa"/>
          </w:tcPr>
          <w:p w14:paraId="07A4AB54" w14:textId="11C21F14" w:rsidR="001D5C5B" w:rsidRPr="009D3209" w:rsidRDefault="001D5C5B" w:rsidP="007B00A0">
            <w:r w:rsidRPr="009D3209">
              <w:t>6 szt</w:t>
            </w:r>
            <w:r>
              <w:t>.</w:t>
            </w:r>
          </w:p>
        </w:tc>
      </w:tr>
      <w:tr w:rsidR="001D5C5B" w:rsidRPr="000A45AD" w14:paraId="5407BF8B" w14:textId="43F736F6" w:rsidTr="008D4EDF">
        <w:trPr>
          <w:trHeight w:val="397"/>
          <w:jc w:val="center"/>
        </w:trPr>
        <w:tc>
          <w:tcPr>
            <w:tcW w:w="12064" w:type="dxa"/>
            <w:gridSpan w:val="4"/>
            <w:shd w:val="clear" w:color="auto" w:fill="DEEAF6" w:themeFill="accent5" w:themeFillTint="33"/>
            <w:vAlign w:val="center"/>
          </w:tcPr>
          <w:p w14:paraId="6D89A18E" w14:textId="4680B681" w:rsidR="001D5C5B" w:rsidRDefault="001D5C5B" w:rsidP="007B00A0">
            <w:pPr>
              <w:pStyle w:val="Akapitzlist"/>
              <w:numPr>
                <w:ilvl w:val="0"/>
                <w:numId w:val="1"/>
              </w:numPr>
            </w:pPr>
            <w:r>
              <w:t>Kampanie reklamowe w mediach</w:t>
            </w:r>
          </w:p>
        </w:tc>
      </w:tr>
      <w:tr w:rsidR="001D5C5B" w:rsidRPr="000A45AD" w14:paraId="53C2C23E" w14:textId="09312DD1" w:rsidTr="002E7619">
        <w:trPr>
          <w:jc w:val="center"/>
        </w:trPr>
        <w:tc>
          <w:tcPr>
            <w:tcW w:w="1206" w:type="dxa"/>
          </w:tcPr>
          <w:p w14:paraId="7B7AC81C" w14:textId="37AD7620" w:rsidR="001D5C5B" w:rsidRPr="000A45AD" w:rsidRDefault="00C970BC" w:rsidP="007B00A0">
            <w:r>
              <w:t>1.</w:t>
            </w:r>
          </w:p>
        </w:tc>
        <w:tc>
          <w:tcPr>
            <w:tcW w:w="2267" w:type="dxa"/>
          </w:tcPr>
          <w:p w14:paraId="305BDA00" w14:textId="7E76A472" w:rsidR="001D5C5B" w:rsidRPr="00104917" w:rsidRDefault="001D5C5B" w:rsidP="007B00A0">
            <w:r w:rsidRPr="00104917">
              <w:t>Reklama w prasie - dziennik</w:t>
            </w:r>
          </w:p>
        </w:tc>
        <w:tc>
          <w:tcPr>
            <w:tcW w:w="6443" w:type="dxa"/>
          </w:tcPr>
          <w:p w14:paraId="4EC70758" w14:textId="547D9F74" w:rsidR="001D5C5B" w:rsidRPr="00DF53E4" w:rsidRDefault="001D5C5B" w:rsidP="007B00A0">
            <w:pPr>
              <w:pStyle w:val="Tekstpodstawowy"/>
              <w:spacing w:line="288" w:lineRule="exact"/>
              <w:jc w:val="both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Kolorowa reklama w dzienniku o zasięgu co najmniej regionalnym (województwo małopolskie), w weekendowym dodatku o charakterze lokalnym, obejmującym Tarnów, w wielkości 5 modułów (250 x 57,5 mm). Dwie emisje reklamy w różnych terminach, każda o innym projekcie graficznym. Projekty graficzne ww. produktów zostaną uzgodnione z Wykonawcą w zakresie przygotowania technicznego. </w:t>
            </w:r>
          </w:p>
        </w:tc>
        <w:tc>
          <w:tcPr>
            <w:tcW w:w="2148" w:type="dxa"/>
          </w:tcPr>
          <w:p w14:paraId="44719089" w14:textId="6BFA81C1" w:rsidR="001D5C5B" w:rsidRDefault="001D5C5B" w:rsidP="007B00A0">
            <w:r>
              <w:t>2 różne emisje</w:t>
            </w:r>
          </w:p>
        </w:tc>
      </w:tr>
      <w:tr w:rsidR="001D5C5B" w:rsidRPr="000A45AD" w14:paraId="3C706860" w14:textId="197FC02F" w:rsidTr="002E7619">
        <w:trPr>
          <w:jc w:val="center"/>
        </w:trPr>
        <w:tc>
          <w:tcPr>
            <w:tcW w:w="1206" w:type="dxa"/>
          </w:tcPr>
          <w:p w14:paraId="59E5B7FD" w14:textId="612CD433" w:rsidR="001D5C5B" w:rsidRPr="000A45AD" w:rsidRDefault="00C970BC" w:rsidP="007B00A0">
            <w:r>
              <w:lastRenderedPageBreak/>
              <w:t>2.</w:t>
            </w:r>
          </w:p>
        </w:tc>
        <w:tc>
          <w:tcPr>
            <w:tcW w:w="2267" w:type="dxa"/>
          </w:tcPr>
          <w:p w14:paraId="5CD039F4" w14:textId="63082FC7" w:rsidR="001D5C5B" w:rsidRPr="00104917" w:rsidRDefault="001D5C5B" w:rsidP="007B00A0">
            <w:r w:rsidRPr="00104917">
              <w:t>Reklama w prasie - tygodnik</w:t>
            </w:r>
          </w:p>
        </w:tc>
        <w:tc>
          <w:tcPr>
            <w:tcW w:w="6443" w:type="dxa"/>
          </w:tcPr>
          <w:p w14:paraId="3B4C25B3" w14:textId="31E52DCC" w:rsidR="001D5C5B" w:rsidRDefault="001D5C5B" w:rsidP="007B00A0">
            <w:r>
              <w:rPr>
                <w:rFonts w:asciiTheme="minorHAnsi" w:hAnsiTheme="minorHAnsi" w:cstheme="minorHAnsi"/>
                <w:spacing w:val="-2"/>
              </w:rPr>
              <w:t>Kolorowa reklama w tygodniku o zasięgu co najmniej regionalnym (województwo małopolskie), obejmującym Tarnów, w wielkości ok. 25,5x18 cm.   Dwie emisje w różnych terminach, każda o innym projekcie graficznym. Projekty graficzne ww. produktów zostaną uzgodnione z Wykonawcą w zakresie przygotowania technicznego.</w:t>
            </w:r>
          </w:p>
        </w:tc>
        <w:tc>
          <w:tcPr>
            <w:tcW w:w="2148" w:type="dxa"/>
          </w:tcPr>
          <w:p w14:paraId="0DF3E443" w14:textId="0218EFBE" w:rsidR="001D5C5B" w:rsidRDefault="001D5C5B" w:rsidP="007B00A0">
            <w:r>
              <w:t>2 różne emisja</w:t>
            </w:r>
          </w:p>
          <w:p w14:paraId="734F189E" w14:textId="724F19B5" w:rsidR="001D5C5B" w:rsidRDefault="001D5C5B" w:rsidP="007B00A0"/>
        </w:tc>
      </w:tr>
      <w:tr w:rsidR="001D5C5B" w:rsidRPr="000A45AD" w14:paraId="2EA5BB28" w14:textId="77777777" w:rsidTr="002E7619">
        <w:trPr>
          <w:jc w:val="center"/>
        </w:trPr>
        <w:tc>
          <w:tcPr>
            <w:tcW w:w="1206" w:type="dxa"/>
          </w:tcPr>
          <w:p w14:paraId="1D99D5D0" w14:textId="12524423" w:rsidR="001D5C5B" w:rsidRPr="000A45AD" w:rsidRDefault="00C970BC" w:rsidP="00DA2457">
            <w:r>
              <w:t>3.</w:t>
            </w:r>
          </w:p>
        </w:tc>
        <w:tc>
          <w:tcPr>
            <w:tcW w:w="2267" w:type="dxa"/>
          </w:tcPr>
          <w:p w14:paraId="31AC608F" w14:textId="2544B020" w:rsidR="001D5C5B" w:rsidRPr="00104917" w:rsidRDefault="001D5C5B" w:rsidP="00DA2457">
            <w:r w:rsidRPr="00104917">
              <w:t xml:space="preserve">Kampania promocyjna w mediach społecznościowych dot. otwarcia budynku </w:t>
            </w:r>
          </w:p>
        </w:tc>
        <w:tc>
          <w:tcPr>
            <w:tcW w:w="6443" w:type="dxa"/>
          </w:tcPr>
          <w:p w14:paraId="13A40C1E" w14:textId="777C6F3D" w:rsidR="001D5C5B" w:rsidRPr="00CE5090" w:rsidRDefault="001D5C5B" w:rsidP="00DA2457">
            <w:pPr>
              <w:widowControl/>
              <w:autoSpaceDE/>
              <w:autoSpaceDN/>
              <w:spacing w:line="259" w:lineRule="auto"/>
              <w:rPr>
                <w:color w:val="00B050"/>
              </w:rPr>
            </w:pPr>
            <w:r>
              <w:t xml:space="preserve">Kampania w mediach społecznościowych (FB i Instagram), których celem jest zwiększenie świadomości marki, dotyczące wydarzenia, prowadzona przez profile Tarnowskiego Centrum Dialogu, </w:t>
            </w:r>
            <w:r w:rsidRPr="00EC0E20">
              <w:t>obejmująca minimum 2 płatne posty tygodniowo w każdym z mediów. Kampania o zasięgu ponadlokalnym, w szczególności: Tarnów (+30 km), Kraków (+30km), Katowice, Kielce, Warszawa, Wrocław, Rzeszów, Przemyśl, Zabrze, Cieszyn, Nowy Sącz.</w:t>
            </w:r>
            <w:r w:rsidRPr="00EC0E20">
              <w:rPr>
                <w:color w:val="FF0000"/>
              </w:rPr>
              <w:t xml:space="preserve"> </w:t>
            </w:r>
            <w:r w:rsidRPr="00EC0E20">
              <w:t>Trwająca 3 tygodnie.</w:t>
            </w:r>
            <w:r>
              <w:t xml:space="preserve"> </w:t>
            </w:r>
          </w:p>
          <w:p w14:paraId="619CE028" w14:textId="43AD33BC" w:rsidR="001D5C5B" w:rsidRDefault="001D5C5B" w:rsidP="00DA2457">
            <w:pPr>
              <w:widowControl/>
              <w:autoSpaceDE/>
              <w:autoSpaceDN/>
              <w:spacing w:line="259" w:lineRule="auto"/>
            </w:pPr>
            <w:r>
              <w:t>Kampania, dotycząca otwarcia budynku dla Tarnowskiego Centrum Dialogu. Kampania skierowana do grup odbiorców w wieku 18-60+, zainteresowanych rozwojem, kulturą, inkluzyjnością, polityką socjalną, ekologią, architekturą, aktywizmem miejskim.</w:t>
            </w:r>
          </w:p>
          <w:p w14:paraId="7C0DB7EC" w14:textId="63D0F29E" w:rsidR="001D5C5B" w:rsidRDefault="001D5C5B" w:rsidP="00DA2457">
            <w:pPr>
              <w:widowControl/>
              <w:autoSpaceDE/>
              <w:autoSpaceDN/>
              <w:spacing w:line="259" w:lineRule="auto"/>
            </w:pPr>
            <w:r>
              <w:t>Grafiki do kampanii wykona Wykonawca i uzgodni z Zamawiającym w celu ich akceptacji.</w:t>
            </w:r>
          </w:p>
          <w:p w14:paraId="3D01192D" w14:textId="746E5D8D" w:rsidR="001D5C5B" w:rsidRDefault="001D5C5B" w:rsidP="00104917">
            <w:pPr>
              <w:widowControl/>
              <w:autoSpaceDE/>
              <w:autoSpaceDN/>
              <w:spacing w:line="259" w:lineRule="auto"/>
            </w:pPr>
            <w:r>
              <w:t>Wykonawca po wykonaniu usługi przedstawi raport dokumentujący kampanie i jej efekty.</w:t>
            </w:r>
          </w:p>
        </w:tc>
        <w:tc>
          <w:tcPr>
            <w:tcW w:w="2148" w:type="dxa"/>
          </w:tcPr>
          <w:p w14:paraId="6E2FBB45" w14:textId="79457AC6" w:rsidR="001D5C5B" w:rsidRDefault="001D5C5B" w:rsidP="00DA2457">
            <w:r>
              <w:t>1 kampania o długości 3 tygodnie</w:t>
            </w:r>
          </w:p>
        </w:tc>
      </w:tr>
      <w:tr w:rsidR="001D5C5B" w:rsidRPr="000A45AD" w14:paraId="6A5EC698" w14:textId="77777777" w:rsidTr="00780B99">
        <w:trPr>
          <w:trHeight w:val="1271"/>
          <w:jc w:val="center"/>
        </w:trPr>
        <w:tc>
          <w:tcPr>
            <w:tcW w:w="1206" w:type="dxa"/>
          </w:tcPr>
          <w:p w14:paraId="267EEF68" w14:textId="73DDA827" w:rsidR="001D5C5B" w:rsidRPr="000A45AD" w:rsidRDefault="00C970BC" w:rsidP="00DA2457">
            <w:r>
              <w:t>4.</w:t>
            </w:r>
          </w:p>
        </w:tc>
        <w:tc>
          <w:tcPr>
            <w:tcW w:w="2267" w:type="dxa"/>
          </w:tcPr>
          <w:p w14:paraId="6EB31F8D" w14:textId="45D52F6F" w:rsidR="001D5C5B" w:rsidRDefault="001D5C5B" w:rsidP="00DA2457">
            <w:r>
              <w:t>Kampania promująca w mediach społecznościowych stronę www.dialog.tarnow.pl</w:t>
            </w:r>
          </w:p>
        </w:tc>
        <w:tc>
          <w:tcPr>
            <w:tcW w:w="6443" w:type="dxa"/>
          </w:tcPr>
          <w:p w14:paraId="609995C1" w14:textId="77777777" w:rsidR="00B802C2" w:rsidRDefault="001D5C5B" w:rsidP="00DA2457">
            <w:pPr>
              <w:pStyle w:val="Akapitzlist"/>
              <w:widowControl/>
              <w:autoSpaceDE/>
              <w:autoSpaceDN/>
              <w:spacing w:after="160" w:line="259" w:lineRule="auto"/>
              <w:ind w:left="0"/>
              <w:jc w:val="both"/>
            </w:pPr>
            <w:r>
              <w:t xml:space="preserve">Kampania w mediach społecznościowych (FB i Instagram), których celem jest zwiększenie świadomości marki, </w:t>
            </w:r>
            <w:r w:rsidRPr="00DA2457">
              <w:t xml:space="preserve">zwiększenie liczby przejść na stronę internetową przez użytkowników będących w </w:t>
            </w:r>
            <w:r>
              <w:t xml:space="preserve">grupie docelowej, a także zwiększenie </w:t>
            </w:r>
            <w:r w:rsidRPr="00853620">
              <w:t>ruchu na stronie</w:t>
            </w:r>
            <w:r>
              <w:t xml:space="preserve"> internetowej. Kampania dotycząca promocji strony www.dialog.tarnow.pl, </w:t>
            </w:r>
            <w:r>
              <w:lastRenderedPageBreak/>
              <w:t xml:space="preserve">prowadzona przez profile Tarnowskiego Centrum Dialogu, obejmująca 2 płatne posty tygodniowo w każdym z mediów, w zasięgu o promieniu ok. 120 km od Tarnowa. Skierowana do grup odbiorców w wieku 18–60+, zainteresowanych rozwojem, kulturą, inkluzyjnością, polityką socjalną, aktywizmem miejskim, organizacjami pozarządowymi. Czas trwania kampanii – 3 tygodnie. </w:t>
            </w:r>
          </w:p>
          <w:p w14:paraId="7F13000D" w14:textId="77777777" w:rsidR="00B802C2" w:rsidRDefault="00B802C2" w:rsidP="00B802C2">
            <w:pPr>
              <w:widowControl/>
              <w:autoSpaceDE/>
              <w:autoSpaceDN/>
              <w:spacing w:line="259" w:lineRule="auto"/>
            </w:pPr>
            <w:r>
              <w:t>Grafiki do kampanii wykona Wykonawca i uzgodni z Zamawiającym w celu ich akceptacji.</w:t>
            </w:r>
          </w:p>
          <w:p w14:paraId="68CE5BF5" w14:textId="1150B76D" w:rsidR="001D5C5B" w:rsidRDefault="001D5C5B" w:rsidP="006E527C">
            <w:pPr>
              <w:pStyle w:val="Akapitzlist"/>
              <w:widowControl/>
              <w:autoSpaceDE/>
              <w:autoSpaceDN/>
              <w:spacing w:line="259" w:lineRule="auto"/>
              <w:ind w:left="0"/>
              <w:contextualSpacing w:val="0"/>
              <w:jc w:val="both"/>
            </w:pPr>
            <w:r>
              <w:t>Wykonawca po wykonaniu usługi przedstawi raport dokumentujący kampanie i jej efekty.</w:t>
            </w:r>
          </w:p>
        </w:tc>
        <w:tc>
          <w:tcPr>
            <w:tcW w:w="2148" w:type="dxa"/>
          </w:tcPr>
          <w:p w14:paraId="4FAAAA08" w14:textId="064A2244" w:rsidR="001D5C5B" w:rsidRDefault="001D5C5B" w:rsidP="00DA2457">
            <w:r>
              <w:lastRenderedPageBreak/>
              <w:t>Kampania 3 tygodnie</w:t>
            </w:r>
          </w:p>
        </w:tc>
      </w:tr>
      <w:tr w:rsidR="001D5C5B" w:rsidRPr="000A45AD" w14:paraId="5A13C6E5" w14:textId="09F54A97" w:rsidTr="002E7619">
        <w:trPr>
          <w:jc w:val="center"/>
        </w:trPr>
        <w:tc>
          <w:tcPr>
            <w:tcW w:w="1206" w:type="dxa"/>
          </w:tcPr>
          <w:p w14:paraId="71497E8A" w14:textId="32343859" w:rsidR="001D5C5B" w:rsidRPr="000A45AD" w:rsidRDefault="00C970BC" w:rsidP="00DA2457">
            <w:r>
              <w:t>5.</w:t>
            </w:r>
          </w:p>
        </w:tc>
        <w:tc>
          <w:tcPr>
            <w:tcW w:w="2267" w:type="dxa"/>
          </w:tcPr>
          <w:p w14:paraId="2B886CD8" w14:textId="328F5597" w:rsidR="001D5C5B" w:rsidRDefault="001D5C5B" w:rsidP="00DA2457">
            <w:r>
              <w:t>Radio</w:t>
            </w:r>
          </w:p>
        </w:tc>
        <w:tc>
          <w:tcPr>
            <w:tcW w:w="6443" w:type="dxa"/>
          </w:tcPr>
          <w:p w14:paraId="2BC465EC" w14:textId="14B5D9A7" w:rsidR="001D5C5B" w:rsidRPr="001C5554" w:rsidRDefault="001D5C5B" w:rsidP="00DA2457">
            <w:pPr>
              <w:rPr>
                <w:color w:val="00B050"/>
              </w:rPr>
            </w:pPr>
            <w:r>
              <w:t>Produkcja i emisja materiałów reklamowych. Produkcja jednego spotu reklamowego o czasie trwania 30 sekund. Emisja ww. materiałów promocyjnych przez radio o zasięgu regionalnym w województwie małopolskim,</w:t>
            </w:r>
            <w:r w:rsidRPr="000B48D7">
              <w:rPr>
                <w:color w:val="00B050"/>
              </w:rPr>
              <w:t xml:space="preserve"> </w:t>
            </w:r>
            <w:r>
              <w:t xml:space="preserve">Ilość emisji spotów reklamowych 1x dziennie, 7 dni w tygodniu, przez 3 tygodnie, w paśmie w godzinach 13-18. Zamawiający dostarczy Wykonawcy bazowy scenariusz spotu radiowego. Produkcja spotu musi spełniać wymogi prawa autorskiego. Wykonawca przekaże Zamawiającemu kopię cyfrową spotu, dla potrzeb sprawozdawczych. </w:t>
            </w:r>
          </w:p>
        </w:tc>
        <w:tc>
          <w:tcPr>
            <w:tcW w:w="2148" w:type="dxa"/>
          </w:tcPr>
          <w:p w14:paraId="7E028B43" w14:textId="77777777" w:rsidR="001D5C5B" w:rsidRDefault="001D5C5B" w:rsidP="00DA2457">
            <w:r>
              <w:t>3 tygodnie</w:t>
            </w:r>
          </w:p>
          <w:p w14:paraId="2886E534" w14:textId="77DA373B" w:rsidR="001D5C5B" w:rsidRDefault="001D5C5B" w:rsidP="00DA2457"/>
        </w:tc>
      </w:tr>
      <w:tr w:rsidR="008B775E" w:rsidRPr="000A45AD" w14:paraId="37E34838" w14:textId="7EE42DB5" w:rsidTr="008B775E">
        <w:trPr>
          <w:trHeight w:val="394"/>
          <w:jc w:val="center"/>
        </w:trPr>
        <w:tc>
          <w:tcPr>
            <w:tcW w:w="12064" w:type="dxa"/>
            <w:gridSpan w:val="4"/>
            <w:shd w:val="clear" w:color="auto" w:fill="BDD6EE" w:themeFill="accent5" w:themeFillTint="66"/>
            <w:vAlign w:val="center"/>
          </w:tcPr>
          <w:p w14:paraId="518D6187" w14:textId="02606D81" w:rsidR="008B775E" w:rsidRDefault="008B775E" w:rsidP="008B775E">
            <w:pPr>
              <w:ind w:left="708"/>
            </w:pPr>
            <w:r w:rsidRPr="008B775E">
              <w:t>G.</w:t>
            </w:r>
            <w:r w:rsidRPr="008B775E">
              <w:tab/>
              <w:t xml:space="preserve">Organizacja wydarzeń w trakcie otwarcia budynku przy ul. </w:t>
            </w:r>
            <w:proofErr w:type="spellStart"/>
            <w:r w:rsidRPr="008B775E">
              <w:t>Gumniskiej</w:t>
            </w:r>
            <w:proofErr w:type="spellEnd"/>
            <w:r w:rsidRPr="008B775E">
              <w:t xml:space="preserve"> 30</w:t>
            </w:r>
          </w:p>
        </w:tc>
      </w:tr>
      <w:tr w:rsidR="001D5C5B" w:rsidRPr="000A45AD" w14:paraId="5BCD6C7B" w14:textId="77777777" w:rsidTr="002E7619">
        <w:trPr>
          <w:jc w:val="center"/>
        </w:trPr>
        <w:tc>
          <w:tcPr>
            <w:tcW w:w="1206" w:type="dxa"/>
          </w:tcPr>
          <w:p w14:paraId="56F411F2" w14:textId="1476CF89" w:rsidR="001D5C5B" w:rsidRPr="000A45AD" w:rsidRDefault="00C970BC" w:rsidP="00DA2457">
            <w:r>
              <w:t>1.</w:t>
            </w:r>
          </w:p>
        </w:tc>
        <w:tc>
          <w:tcPr>
            <w:tcW w:w="2267" w:type="dxa"/>
          </w:tcPr>
          <w:p w14:paraId="6C615A43" w14:textId="7F7AA757" w:rsidR="001D5C5B" w:rsidRDefault="001D5C5B" w:rsidP="00DA2457">
            <w:r>
              <w:t>Aranżacja kompozycji roślinnych</w:t>
            </w:r>
          </w:p>
        </w:tc>
        <w:tc>
          <w:tcPr>
            <w:tcW w:w="6443" w:type="dxa"/>
          </w:tcPr>
          <w:p w14:paraId="1C04C847" w14:textId="1F6B8B40" w:rsidR="001D5C5B" w:rsidRDefault="001D5C5B" w:rsidP="00DA2457">
            <w:pPr>
              <w:widowControl/>
              <w:adjustRightInd w:val="0"/>
              <w:rPr>
                <w:i/>
                <w:iCs/>
              </w:rPr>
            </w:pPr>
            <w:r>
              <w:t xml:space="preserve">Zaplanowanie i wykonanie elementów aranżujących wnętrze budynku przy ul. </w:t>
            </w:r>
            <w:proofErr w:type="spellStart"/>
            <w:r>
              <w:t>Gumniskiej</w:t>
            </w:r>
            <w:proofErr w:type="spellEnd"/>
            <w:r>
              <w:t xml:space="preserve"> 30, w związku z wydarzeniem otwarcia budynku, składające się z dekoracji w formie kompozycji florystycznych (11 szt.). Kompozycje wypełnią d</w:t>
            </w:r>
            <w:r w:rsidRPr="00691B78">
              <w:t xml:space="preserve">onice typu ‘plant </w:t>
            </w:r>
            <w:proofErr w:type="spellStart"/>
            <w:r w:rsidRPr="00691B78">
              <w:t>box</w:t>
            </w:r>
            <w:proofErr w:type="spellEnd"/>
            <w:r w:rsidRPr="00691B78">
              <w:t>’</w:t>
            </w:r>
            <w:r>
              <w:t xml:space="preserve">, wolnostojące o wymiarach zbliżonych do </w:t>
            </w:r>
            <w:r>
              <w:rPr>
                <w:rFonts w:ascii="TT21Fo00" w:eastAsiaTheme="minorHAnsi" w:hAnsi="TT21Fo00" w:cs="TT21Fo00"/>
                <w:sz w:val="24"/>
                <w:szCs w:val="24"/>
              </w:rPr>
              <w:t>ok. 25-40cm x 60-</w:t>
            </w:r>
            <w:r>
              <w:rPr>
                <w:rFonts w:ascii="TT21Fo00" w:eastAsiaTheme="minorHAnsi" w:hAnsi="TT21Fo00" w:cs="TT21Fo00"/>
                <w:sz w:val="24"/>
                <w:szCs w:val="24"/>
              </w:rPr>
              <w:lastRenderedPageBreak/>
              <w:t>100cm, głębokość doniczki: min. 25cm.</w:t>
            </w:r>
            <w:r>
              <w:t xml:space="preserve"> Kompozycje należy wykonać z roślin doniczkowych gatunku </w:t>
            </w:r>
            <w:proofErr w:type="spellStart"/>
            <w:r w:rsidRPr="000C7015">
              <w:rPr>
                <w:i/>
                <w:iCs/>
              </w:rPr>
              <w:t>zamiokulkas</w:t>
            </w:r>
            <w:proofErr w:type="spellEnd"/>
            <w:r w:rsidRPr="000C7015">
              <w:rPr>
                <w:i/>
                <w:iCs/>
              </w:rPr>
              <w:t xml:space="preserve"> </w:t>
            </w:r>
            <w:proofErr w:type="spellStart"/>
            <w:r w:rsidRPr="000C7015">
              <w:rPr>
                <w:i/>
                <w:iCs/>
              </w:rPr>
              <w:t>zamiolistny</w:t>
            </w:r>
            <w:proofErr w:type="spellEnd"/>
            <w:r>
              <w:rPr>
                <w:i/>
                <w:iCs/>
              </w:rPr>
              <w:t>.</w:t>
            </w:r>
          </w:p>
          <w:p w14:paraId="2584DF5E" w14:textId="1A410F38" w:rsidR="001D5C5B" w:rsidRDefault="001D5C5B" w:rsidP="00DA2457">
            <w:pPr>
              <w:widowControl/>
              <w:adjustRightInd w:val="0"/>
              <w:rPr>
                <w:rFonts w:ascii="TT21Fo00" w:eastAsiaTheme="minorHAnsi" w:hAnsi="TT21Fo00" w:cs="TT21Fo00"/>
                <w:sz w:val="24"/>
                <w:szCs w:val="24"/>
              </w:rPr>
            </w:pPr>
            <w:r>
              <w:rPr>
                <w:rFonts w:ascii="TT21Fo00" w:eastAsiaTheme="minorHAnsi" w:hAnsi="TT21Fo00" w:cs="TT21Fo00"/>
                <w:sz w:val="24"/>
                <w:szCs w:val="24"/>
              </w:rPr>
              <w:t>Kompozycje wykonać należy z następujących elementów:</w:t>
            </w:r>
          </w:p>
          <w:p w14:paraId="6C6CA92B" w14:textId="450C546B" w:rsidR="001D5C5B" w:rsidRDefault="001D5C5B" w:rsidP="00DA2457">
            <w:pPr>
              <w:pStyle w:val="Akapitzlist"/>
              <w:widowControl/>
              <w:numPr>
                <w:ilvl w:val="0"/>
                <w:numId w:val="7"/>
              </w:numPr>
              <w:adjustRightInd w:val="0"/>
              <w:ind w:left="527"/>
              <w:rPr>
                <w:rFonts w:ascii="TT21Fo00" w:eastAsiaTheme="minorHAnsi" w:hAnsi="TT21Fo00" w:cs="TT21Fo00"/>
                <w:sz w:val="24"/>
                <w:szCs w:val="24"/>
              </w:rPr>
            </w:pPr>
            <w:r w:rsidRPr="005B4081">
              <w:rPr>
                <w:rFonts w:ascii="TT21Fo00" w:eastAsiaTheme="minorHAnsi" w:hAnsi="TT21Fo00" w:cs="TT21Fo00"/>
                <w:sz w:val="24"/>
                <w:szCs w:val="24"/>
              </w:rPr>
              <w:t xml:space="preserve">Kwiat doniczkowy </w:t>
            </w:r>
            <w:proofErr w:type="spellStart"/>
            <w:r w:rsidRPr="004E6CCC">
              <w:rPr>
                <w:rFonts w:ascii="TT21Fo00" w:eastAsiaTheme="minorHAnsi" w:hAnsi="TT21Fo00" w:cs="TT21Fo00"/>
                <w:i/>
                <w:iCs/>
                <w:sz w:val="24"/>
                <w:szCs w:val="24"/>
              </w:rPr>
              <w:t>zamiokulkas</w:t>
            </w:r>
            <w:proofErr w:type="spellEnd"/>
            <w:r w:rsidRPr="004E6CCC">
              <w:rPr>
                <w:rFonts w:ascii="TT21Fo00" w:eastAsiaTheme="minorHAnsi" w:hAnsi="TT21Fo00" w:cs="TT21Fo00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E6CCC">
              <w:rPr>
                <w:rFonts w:ascii="TT21Fo00" w:eastAsiaTheme="minorHAnsi" w:hAnsi="TT21Fo00" w:cs="TT21Fo00"/>
                <w:i/>
                <w:iCs/>
                <w:sz w:val="24"/>
                <w:szCs w:val="24"/>
              </w:rPr>
              <w:t>zamiolistny</w:t>
            </w:r>
            <w:proofErr w:type="spellEnd"/>
            <w:r w:rsidRPr="005B4081">
              <w:rPr>
                <w:rFonts w:ascii="TT21Fo00" w:eastAsiaTheme="minorHAnsi" w:hAnsi="TT21Fo00" w:cs="TT21Fo00"/>
                <w:sz w:val="24"/>
                <w:szCs w:val="24"/>
              </w:rPr>
              <w:t xml:space="preserve">. Wysokość rośliny (mierzona wraz z doniczką) około 55 cm. Średnica doniczki około 12 cm. Ilość pędów </w:t>
            </w:r>
            <w:r>
              <w:rPr>
                <w:rFonts w:ascii="TT21Fo00" w:eastAsiaTheme="minorHAnsi" w:hAnsi="TT21Fo00" w:cs="TT21Fo00"/>
                <w:sz w:val="24"/>
                <w:szCs w:val="24"/>
              </w:rPr>
              <w:t>minimum</w:t>
            </w:r>
            <w:r w:rsidRPr="005B4081">
              <w:rPr>
                <w:rFonts w:ascii="TT21Fo00" w:eastAsiaTheme="minorHAnsi" w:hAnsi="TT21Fo00" w:cs="TT21Fo00"/>
                <w:sz w:val="24"/>
                <w:szCs w:val="24"/>
              </w:rPr>
              <w:t xml:space="preserve"> 6</w:t>
            </w:r>
            <w:r>
              <w:rPr>
                <w:rFonts w:ascii="TT21Fo00" w:eastAsiaTheme="minorHAnsi" w:hAnsi="TT21Fo00" w:cs="TT21Fo00"/>
                <w:sz w:val="24"/>
                <w:szCs w:val="24"/>
              </w:rPr>
              <w:t xml:space="preserve"> szt. Ilość roślin  - 38 szt.</w:t>
            </w:r>
          </w:p>
          <w:p w14:paraId="0874ED33" w14:textId="064BB271" w:rsidR="001D5C5B" w:rsidRDefault="001D5C5B" w:rsidP="00DA2457">
            <w:pPr>
              <w:pStyle w:val="Akapitzlist"/>
              <w:widowControl/>
              <w:numPr>
                <w:ilvl w:val="0"/>
                <w:numId w:val="7"/>
              </w:numPr>
              <w:adjustRightInd w:val="0"/>
              <w:ind w:left="527"/>
              <w:rPr>
                <w:rFonts w:ascii="TT21Fo00" w:eastAsiaTheme="minorHAnsi" w:hAnsi="TT21Fo00" w:cs="TT21Fo00"/>
                <w:sz w:val="24"/>
                <w:szCs w:val="24"/>
              </w:rPr>
            </w:pPr>
            <w:r w:rsidRPr="005B4081">
              <w:rPr>
                <w:rFonts w:ascii="TT21Fo00" w:eastAsiaTheme="minorHAnsi" w:hAnsi="TT21Fo00" w:cs="TT21Fo00"/>
                <w:sz w:val="24"/>
                <w:szCs w:val="24"/>
              </w:rPr>
              <w:t xml:space="preserve">Ziemia kwiatowa/uniwersalna </w:t>
            </w:r>
            <w:r>
              <w:rPr>
                <w:rFonts w:ascii="TT21Fo00" w:eastAsiaTheme="minorHAnsi" w:hAnsi="TT21Fo00" w:cs="TT21Fo00"/>
                <w:sz w:val="24"/>
                <w:szCs w:val="24"/>
              </w:rPr>
              <w:t xml:space="preserve">– 11 opakowań o </w:t>
            </w:r>
            <w:r w:rsidRPr="005B4081">
              <w:rPr>
                <w:rFonts w:ascii="TT21Fo00" w:eastAsiaTheme="minorHAnsi" w:hAnsi="TT21Fo00" w:cs="TT21Fo00"/>
                <w:sz w:val="24"/>
                <w:szCs w:val="24"/>
              </w:rPr>
              <w:t>poj. 80 l</w:t>
            </w:r>
          </w:p>
          <w:p w14:paraId="0432C88B" w14:textId="4C6CD59C" w:rsidR="001D5C5B" w:rsidRPr="005B4081" w:rsidRDefault="001D5C5B" w:rsidP="00DA2457">
            <w:pPr>
              <w:pStyle w:val="Akapitzlist"/>
              <w:widowControl/>
              <w:numPr>
                <w:ilvl w:val="0"/>
                <w:numId w:val="7"/>
              </w:numPr>
              <w:adjustRightInd w:val="0"/>
              <w:ind w:left="527"/>
              <w:rPr>
                <w:rFonts w:ascii="TT21Fo00" w:eastAsiaTheme="minorHAnsi" w:hAnsi="TT21Fo00" w:cs="TT21Fo00"/>
                <w:sz w:val="24"/>
                <w:szCs w:val="24"/>
              </w:rPr>
            </w:pPr>
            <w:r w:rsidRPr="005B4081">
              <w:rPr>
                <w:rFonts w:ascii="TT21Fo00" w:eastAsiaTheme="minorHAnsi" w:hAnsi="TT21Fo00" w:cs="TT21Fo00"/>
                <w:sz w:val="24"/>
                <w:szCs w:val="24"/>
              </w:rPr>
              <w:t xml:space="preserve">Keramzyt frakcja 8-16 mm </w:t>
            </w:r>
            <w:r>
              <w:rPr>
                <w:rFonts w:ascii="TT21Fo00" w:eastAsiaTheme="minorHAnsi" w:hAnsi="TT21Fo00" w:cs="TT21Fo00"/>
                <w:sz w:val="24"/>
                <w:szCs w:val="24"/>
              </w:rPr>
              <w:t xml:space="preserve">– 6 opakowań o </w:t>
            </w:r>
            <w:r w:rsidRPr="005B4081">
              <w:rPr>
                <w:rFonts w:ascii="TT21Fo00" w:eastAsiaTheme="minorHAnsi" w:hAnsi="TT21Fo00" w:cs="TT21Fo00"/>
                <w:sz w:val="24"/>
                <w:szCs w:val="24"/>
              </w:rPr>
              <w:t>poj. 50 l</w:t>
            </w:r>
          </w:p>
          <w:p w14:paraId="6DD0A503" w14:textId="5779C50C" w:rsidR="001D5C5B" w:rsidRPr="00162D3A" w:rsidRDefault="001D5C5B" w:rsidP="00DA2457">
            <w:pPr>
              <w:rPr>
                <w:color w:val="00B050"/>
              </w:rPr>
            </w:pPr>
            <w:r w:rsidRPr="005B4081">
              <w:t xml:space="preserve">Materiał przeznaczony do </w:t>
            </w:r>
            <w:proofErr w:type="spellStart"/>
            <w:r w:rsidRPr="005B4081">
              <w:t>nasadzeń</w:t>
            </w:r>
            <w:proofErr w:type="spellEnd"/>
            <w:r w:rsidRPr="005B4081">
              <w:t xml:space="preserve"> musi zostać  zaakceptowany przez Zamawiającego przed posadzeniem</w:t>
            </w:r>
            <w:r>
              <w:t>.</w:t>
            </w:r>
            <w:r w:rsidRPr="005B4081">
              <w:t xml:space="preserve"> </w:t>
            </w:r>
            <w:r>
              <w:t>Termin wykonania usługi – do połowy marca 2024 r. Wykonane kompozycje florystyczne pozostaną własnością Zamawiającego.</w:t>
            </w:r>
          </w:p>
        </w:tc>
        <w:tc>
          <w:tcPr>
            <w:tcW w:w="2148" w:type="dxa"/>
          </w:tcPr>
          <w:p w14:paraId="78575AD9" w14:textId="0B334C62" w:rsidR="001D5C5B" w:rsidRDefault="001D5C5B" w:rsidP="00DA2457">
            <w:r>
              <w:lastRenderedPageBreak/>
              <w:t xml:space="preserve">11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  <w:tr w:rsidR="001D5C5B" w:rsidRPr="000A45AD" w14:paraId="1ACFB939" w14:textId="77777777" w:rsidTr="002E7619">
        <w:trPr>
          <w:jc w:val="center"/>
        </w:trPr>
        <w:tc>
          <w:tcPr>
            <w:tcW w:w="1206" w:type="dxa"/>
          </w:tcPr>
          <w:p w14:paraId="06B12C3E" w14:textId="1CE3E59F" w:rsidR="001D5C5B" w:rsidRPr="000A45AD" w:rsidRDefault="00C970BC" w:rsidP="00DA2457">
            <w:r>
              <w:t>2.</w:t>
            </w:r>
          </w:p>
        </w:tc>
        <w:tc>
          <w:tcPr>
            <w:tcW w:w="2267" w:type="dxa"/>
          </w:tcPr>
          <w:p w14:paraId="55FAEBB0" w14:textId="5BFA31CE" w:rsidR="001D5C5B" w:rsidRDefault="001D5C5B" w:rsidP="00DA2457">
            <w:r>
              <w:t>Zewnętrzne oświetlenie fasadowe</w:t>
            </w:r>
          </w:p>
        </w:tc>
        <w:tc>
          <w:tcPr>
            <w:tcW w:w="6443" w:type="dxa"/>
          </w:tcPr>
          <w:p w14:paraId="16309C60" w14:textId="5DA427E8" w:rsidR="001D5C5B" w:rsidRPr="00985900" w:rsidRDefault="001D5C5B" w:rsidP="00DA2457">
            <w:pPr>
              <w:rPr>
                <w:color w:val="00B050"/>
              </w:rPr>
            </w:pPr>
            <w:r>
              <w:t>Wykonanie usługi oświetlenia architektoniczne</w:t>
            </w:r>
            <w:r w:rsidR="00214305">
              <w:t>go</w:t>
            </w:r>
            <w:r>
              <w:t xml:space="preserve"> budynku, dopełniającego otwarcie budynku przy ul. </w:t>
            </w:r>
            <w:proofErr w:type="spellStart"/>
            <w:r>
              <w:t>Gumniskiej</w:t>
            </w:r>
            <w:proofErr w:type="spellEnd"/>
            <w:r>
              <w:t xml:space="preserve"> 30 w dniu 22.03.2024 r.  Oświetlenie typu aranżacyjnego / </w:t>
            </w:r>
            <w:proofErr w:type="spellStart"/>
            <w:r>
              <w:t>eventowego</w:t>
            </w:r>
            <w:proofErr w:type="spellEnd"/>
            <w:r>
              <w:t>, (mobilne) będącego kilkugodzinnym pokazem świateł; sterowane. Oświetlenie dwóch fasad (południowej i północnej) z użyciem minimum 30 źródeł światła, w tym minimum 5 ruchomych. Oświetlenie  powinno stanowić kompozycyjną całość i posiadać scenariusz określający sposób zmieniania się kolorów świateł, sposobu ich wykorzystania i ruchu świateł ruchomych. Wykonawca przedstawi scenariusz i uzgodni go z Zamawiającym. Sekwencja zmiany świateł nie może być krótsza niż 3 minuty. Czas trwania usługi 16:30 do 20:00 Zamawiający zapewni dostęp do zasilania. Wykonawca w dniu otwarcia zamontuje, przeprowadzi pokaz w wyznaczonych godzinach i zdemontuje sprzęt oświetleniowy.</w:t>
            </w:r>
          </w:p>
        </w:tc>
        <w:tc>
          <w:tcPr>
            <w:tcW w:w="2148" w:type="dxa"/>
          </w:tcPr>
          <w:p w14:paraId="61EBD5C1" w14:textId="43EB671D" w:rsidR="001D5C5B" w:rsidRDefault="001D5C5B" w:rsidP="00DA2457"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  <w:tr w:rsidR="001D5C5B" w:rsidRPr="000A45AD" w14:paraId="1E0B6919" w14:textId="77777777" w:rsidTr="002E7619">
        <w:trPr>
          <w:jc w:val="center"/>
        </w:trPr>
        <w:tc>
          <w:tcPr>
            <w:tcW w:w="1206" w:type="dxa"/>
          </w:tcPr>
          <w:p w14:paraId="0C926CAB" w14:textId="3235F65A" w:rsidR="001D5C5B" w:rsidRPr="000A45AD" w:rsidRDefault="00C970BC" w:rsidP="00DA2457">
            <w:r>
              <w:lastRenderedPageBreak/>
              <w:t>3.</w:t>
            </w:r>
          </w:p>
        </w:tc>
        <w:tc>
          <w:tcPr>
            <w:tcW w:w="2267" w:type="dxa"/>
          </w:tcPr>
          <w:p w14:paraId="685F9540" w14:textId="6330E802" w:rsidR="001D5C5B" w:rsidRDefault="001D5C5B" w:rsidP="00DA2457">
            <w:r>
              <w:t>Obsługa nagłośnienia otwarcia TCD</w:t>
            </w:r>
          </w:p>
        </w:tc>
        <w:tc>
          <w:tcPr>
            <w:tcW w:w="6443" w:type="dxa"/>
          </w:tcPr>
          <w:p w14:paraId="35EDB87E" w14:textId="5991052C" w:rsidR="001D5C5B" w:rsidRDefault="001D5C5B" w:rsidP="00DA2457">
            <w:r>
              <w:t>Obsługa nagłośnieni</w:t>
            </w:r>
            <w:r w:rsidR="00136A3F">
              <w:t>a</w:t>
            </w:r>
            <w:r>
              <w:t xml:space="preserve"> uroczystości otwarcia budynku przy ul. </w:t>
            </w:r>
            <w:proofErr w:type="spellStart"/>
            <w:r>
              <w:t>Gumniskiej</w:t>
            </w:r>
            <w:proofErr w:type="spellEnd"/>
            <w:r>
              <w:t xml:space="preserve"> </w:t>
            </w:r>
            <w:r w:rsidRPr="00104917">
              <w:t>30. Nagłośnienie części oficjalnej składającej się z wypowiedzi osób zaproszonych przez Zamawiającego, odbywające się w Sali ok 65 m2. Wymagany system nagłośnieniowy (wzmacniacz, kolumny głośnikowe  oraz trzy mikrofony). Czas trwania usługi 16:30 do 18:00 Zamawiający zapewni dostęp do zasilania. Termin wykonania usługi – 22 marca 2024 r.</w:t>
            </w:r>
            <w:r>
              <w:t xml:space="preserve"> </w:t>
            </w:r>
          </w:p>
        </w:tc>
        <w:tc>
          <w:tcPr>
            <w:tcW w:w="2148" w:type="dxa"/>
          </w:tcPr>
          <w:p w14:paraId="7BCB7BB5" w14:textId="75BA40B9" w:rsidR="001D5C5B" w:rsidRDefault="001D5C5B" w:rsidP="00DA2457"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  <w:tr w:rsidR="001D5C5B" w:rsidRPr="000A45AD" w14:paraId="018958AF" w14:textId="77777777" w:rsidTr="002E7619">
        <w:trPr>
          <w:jc w:val="center"/>
        </w:trPr>
        <w:tc>
          <w:tcPr>
            <w:tcW w:w="1206" w:type="dxa"/>
          </w:tcPr>
          <w:p w14:paraId="36CBB4DB" w14:textId="28E8C3A7" w:rsidR="001D5C5B" w:rsidRPr="000A45AD" w:rsidRDefault="00C970BC" w:rsidP="00DA2457">
            <w:r>
              <w:t>4.</w:t>
            </w:r>
          </w:p>
        </w:tc>
        <w:tc>
          <w:tcPr>
            <w:tcW w:w="2267" w:type="dxa"/>
          </w:tcPr>
          <w:p w14:paraId="3FE6080E" w14:textId="6FCBAADA" w:rsidR="001D5C5B" w:rsidRDefault="001D5C5B" w:rsidP="00DA2457">
            <w:r>
              <w:t>Obsługa techniczna koncertu w dniu otwarcia (nagłośnienie i światło)</w:t>
            </w:r>
          </w:p>
        </w:tc>
        <w:tc>
          <w:tcPr>
            <w:tcW w:w="6443" w:type="dxa"/>
          </w:tcPr>
          <w:p w14:paraId="76CFDA66" w14:textId="147C6330" w:rsidR="001D5C5B" w:rsidRDefault="001D5C5B" w:rsidP="00E95DC5">
            <w:r>
              <w:t xml:space="preserve">Obsługa nagłośnienia koncertu związanego z otwarciem budynku przy ul. </w:t>
            </w:r>
            <w:proofErr w:type="spellStart"/>
            <w:r>
              <w:t>Gumniskiej</w:t>
            </w:r>
            <w:proofErr w:type="spellEnd"/>
            <w:r>
              <w:t xml:space="preserve"> 30. Nagłośnienie: zestaw nagłośnieniowy właściwy do nagłośnienia gitar i wokali: 3 niezależne odsłuchy (monitory sceniczne),  2 mikrofony dynamiczne ze statywami,  1 mikrofon pojemnościowy. Koncert odbywający się w sali ok 65 m2. Czas trwania usługi ok. 18:00 do 20:30 Zamawiający zapewni dostęp do zasilania oraz dostarczy Wykonawcy szczegółowy </w:t>
            </w:r>
            <w:proofErr w:type="spellStart"/>
            <w:r>
              <w:t>rider</w:t>
            </w:r>
            <w:proofErr w:type="spellEnd"/>
            <w:r>
              <w:t xml:space="preserve"> techniczny zespołu. Termin wykonania usługi – 22 marca 2024 r. </w:t>
            </w:r>
          </w:p>
        </w:tc>
        <w:tc>
          <w:tcPr>
            <w:tcW w:w="2148" w:type="dxa"/>
          </w:tcPr>
          <w:p w14:paraId="1EFA68AD" w14:textId="4C5C5DEE" w:rsidR="001D5C5B" w:rsidRDefault="001D5C5B" w:rsidP="00DA2457"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  <w:tr w:rsidR="001D5C5B" w:rsidRPr="000A45AD" w14:paraId="1260B685" w14:textId="77777777" w:rsidTr="002E7619">
        <w:trPr>
          <w:jc w:val="center"/>
        </w:trPr>
        <w:tc>
          <w:tcPr>
            <w:tcW w:w="1206" w:type="dxa"/>
          </w:tcPr>
          <w:p w14:paraId="631D8B07" w14:textId="05EFC08C" w:rsidR="001D5C5B" w:rsidRPr="000A45AD" w:rsidRDefault="00C970BC" w:rsidP="00DA2457">
            <w:r>
              <w:t>5.</w:t>
            </w:r>
          </w:p>
        </w:tc>
        <w:tc>
          <w:tcPr>
            <w:tcW w:w="2267" w:type="dxa"/>
          </w:tcPr>
          <w:p w14:paraId="090BFC56" w14:textId="5CCED899" w:rsidR="001D5C5B" w:rsidRPr="00613045" w:rsidRDefault="001D5C5B" w:rsidP="00DA2457">
            <w:r w:rsidRPr="00613045">
              <w:t>Transmisja otwarcia TCD</w:t>
            </w:r>
          </w:p>
          <w:p w14:paraId="7F6B72F1" w14:textId="32D62825" w:rsidR="001D5C5B" w:rsidRPr="007B00A0" w:rsidRDefault="001D5C5B" w:rsidP="00DA2457">
            <w:pPr>
              <w:rPr>
                <w:color w:val="7F7F7F" w:themeColor="text1" w:themeTint="80"/>
              </w:rPr>
            </w:pPr>
          </w:p>
        </w:tc>
        <w:tc>
          <w:tcPr>
            <w:tcW w:w="6443" w:type="dxa"/>
          </w:tcPr>
          <w:p w14:paraId="58258654" w14:textId="4DB6B2FD" w:rsidR="001D5C5B" w:rsidRPr="007B00A0" w:rsidRDefault="001D5C5B" w:rsidP="00DA2457">
            <w:pPr>
              <w:rPr>
                <w:color w:val="7F7F7F" w:themeColor="text1" w:themeTint="80"/>
              </w:rPr>
            </w:pPr>
            <w:r w:rsidRPr="00613045">
              <w:t xml:space="preserve">Transmisja części oficjalnej uroczystości otwarcia budynku przy ul. </w:t>
            </w:r>
            <w:proofErr w:type="spellStart"/>
            <w:r w:rsidRPr="00613045">
              <w:t>Gumniskiej</w:t>
            </w:r>
            <w:proofErr w:type="spellEnd"/>
            <w:r w:rsidRPr="00613045">
              <w:t xml:space="preserve"> 30 na monitor w </w:t>
            </w:r>
            <w:proofErr w:type="spellStart"/>
            <w:r w:rsidRPr="00613045">
              <w:t>hollu</w:t>
            </w:r>
            <w:proofErr w:type="spellEnd"/>
            <w:r w:rsidRPr="00613045">
              <w:t xml:space="preserve"> budynku. Uzupełniona o plansze informacyjne dot. wydarzenia, Zamawiającego, Funduszy Norweskich. Niezbędne informacje do plansz informacyjnych dostarczy Zamawiający.  Termin wykonania usługi – </w:t>
            </w:r>
            <w:r>
              <w:t>22</w:t>
            </w:r>
            <w:r w:rsidRPr="00613045">
              <w:t xml:space="preserve"> marca 2024 r. </w:t>
            </w:r>
          </w:p>
        </w:tc>
        <w:tc>
          <w:tcPr>
            <w:tcW w:w="2148" w:type="dxa"/>
          </w:tcPr>
          <w:p w14:paraId="329F2B3E" w14:textId="01DAABFA" w:rsidR="001D5C5B" w:rsidRDefault="001D5C5B" w:rsidP="00DA2457"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  <w:tr w:rsidR="001D5C5B" w:rsidRPr="000A45AD" w14:paraId="666D0AF3" w14:textId="77777777" w:rsidTr="002E7619">
        <w:trPr>
          <w:jc w:val="center"/>
        </w:trPr>
        <w:tc>
          <w:tcPr>
            <w:tcW w:w="1206" w:type="dxa"/>
          </w:tcPr>
          <w:p w14:paraId="1C3D6E97" w14:textId="60612853" w:rsidR="001D5C5B" w:rsidRPr="000A45AD" w:rsidRDefault="00C970BC" w:rsidP="00DA2457">
            <w:r>
              <w:t>6.</w:t>
            </w:r>
          </w:p>
        </w:tc>
        <w:tc>
          <w:tcPr>
            <w:tcW w:w="2267" w:type="dxa"/>
          </w:tcPr>
          <w:p w14:paraId="7BC8484E" w14:textId="7A3C8FA1" w:rsidR="001D5C5B" w:rsidRDefault="001D5C5B" w:rsidP="00DA2457">
            <w:r>
              <w:t>Obsługa techniczna prezentacji filmowych w trakcie otwarcia TCD</w:t>
            </w:r>
          </w:p>
        </w:tc>
        <w:tc>
          <w:tcPr>
            <w:tcW w:w="6443" w:type="dxa"/>
          </w:tcPr>
          <w:p w14:paraId="75A2A208" w14:textId="054095C7" w:rsidR="001D5C5B" w:rsidRDefault="001D5C5B" w:rsidP="00DA2457">
            <w:r>
              <w:t xml:space="preserve">Obsługa techniczna prezentacji filmowych. Usługa dotyczy: 1. zapewnienia (dostarczenia) trzech odbiorników tv / monitorów o przekątnej  minimum. 50 cali </w:t>
            </w:r>
            <w:r w:rsidRPr="00215835">
              <w:t xml:space="preserve">(± </w:t>
            </w:r>
            <w:r>
              <w:t>5</w:t>
            </w:r>
            <w:r w:rsidRPr="00215835">
              <w:t xml:space="preserve"> </w:t>
            </w:r>
            <w:r>
              <w:t>cali</w:t>
            </w:r>
            <w:r w:rsidRPr="00215835">
              <w:t>)</w:t>
            </w:r>
            <w:r>
              <w:t xml:space="preserve">, na samodzielnych stojakach, na których zostaną zaprezentowane materiały filmowe dostarczone przez Zamawiającego.  2. zapętlenia prezentacji i zapewnieniu obsługi ich działania w ciągu dwóch dni w godzinach (dzień pierwszy) 11:00-20:00, oraz (dzień drugi) 12:30-19:00. </w:t>
            </w:r>
          </w:p>
          <w:p w14:paraId="4D8AE26E" w14:textId="50D37D1A" w:rsidR="00572695" w:rsidRPr="006E527C" w:rsidRDefault="001D5C5B" w:rsidP="00DA2457">
            <w:r>
              <w:t xml:space="preserve">Telewizory /Monitory będą ustawione w budynku przy ul. </w:t>
            </w:r>
            <w:proofErr w:type="spellStart"/>
            <w:r>
              <w:t>Gumniskiej</w:t>
            </w:r>
            <w:proofErr w:type="spellEnd"/>
            <w:r>
              <w:t xml:space="preserve"> </w:t>
            </w:r>
            <w:r>
              <w:lastRenderedPageBreak/>
              <w:t xml:space="preserve">30 w czasie otwarcia budynku. Termin wykonania usługi – 22 i 23 marca 2024 r. </w:t>
            </w:r>
          </w:p>
        </w:tc>
        <w:tc>
          <w:tcPr>
            <w:tcW w:w="2148" w:type="dxa"/>
          </w:tcPr>
          <w:p w14:paraId="641D66CF" w14:textId="254CF366" w:rsidR="001D5C5B" w:rsidRDefault="001D5C5B" w:rsidP="00DA2457">
            <w:r>
              <w:lastRenderedPageBreak/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</w:tr>
      <w:tr w:rsidR="001D5C5B" w:rsidRPr="000A45AD" w14:paraId="09309BFB" w14:textId="77777777" w:rsidTr="002E7619">
        <w:trPr>
          <w:jc w:val="center"/>
        </w:trPr>
        <w:tc>
          <w:tcPr>
            <w:tcW w:w="1206" w:type="dxa"/>
          </w:tcPr>
          <w:p w14:paraId="54FB275A" w14:textId="77DCD755" w:rsidR="001D5C5B" w:rsidRPr="000A45AD" w:rsidRDefault="00C970BC" w:rsidP="00DA2457">
            <w:r>
              <w:t>7.</w:t>
            </w:r>
          </w:p>
        </w:tc>
        <w:tc>
          <w:tcPr>
            <w:tcW w:w="2267" w:type="dxa"/>
          </w:tcPr>
          <w:p w14:paraId="42217C24" w14:textId="4FCA2609" w:rsidR="001D5C5B" w:rsidRDefault="001D5C5B" w:rsidP="00DA2457">
            <w:r>
              <w:t>Zapewnienie obsługi organizacyjnej / opieki ekspozycji</w:t>
            </w:r>
          </w:p>
        </w:tc>
        <w:tc>
          <w:tcPr>
            <w:tcW w:w="6443" w:type="dxa"/>
          </w:tcPr>
          <w:p w14:paraId="19A43FC1" w14:textId="7EEE27AD" w:rsidR="001D5C5B" w:rsidRDefault="001D5C5B" w:rsidP="00DA2457">
            <w:r>
              <w:t xml:space="preserve">Zapewnienie 5 osób do obsługi organizacyjnej / opieki nad ekspozycją w czasie dwudniowego wydarzenia otwarcia budynku przy ul. </w:t>
            </w:r>
            <w:proofErr w:type="spellStart"/>
            <w:r>
              <w:t>Gumniskiej</w:t>
            </w:r>
            <w:proofErr w:type="spellEnd"/>
            <w:r>
              <w:t xml:space="preserve"> 30. Usługa dotyczy informowania zwiedzających, kierowanie ich ruchem, opieki nad bezpieczeństwem budynku, zwiedzających i </w:t>
            </w:r>
            <w:r w:rsidRPr="00C033A8">
              <w:t xml:space="preserve">ekspozycji. Godziny pracy: dzień pierwszy 15:00 – 21:00, dzień drugi 10:00 – 19:00. Niezbędne kwalifikacje osób do obsługi organizacyjnej: dobra prezencja, łatwość kontaktów </w:t>
            </w:r>
            <w:r>
              <w:t xml:space="preserve">interpersonalnych, zaangażowanie. Obowiązujący strój wizytowy. Termin wykonania usługi – 22 i 23 marca 2024 r. </w:t>
            </w:r>
          </w:p>
        </w:tc>
        <w:tc>
          <w:tcPr>
            <w:tcW w:w="2148" w:type="dxa"/>
          </w:tcPr>
          <w:p w14:paraId="4D2E9E50" w14:textId="4FFBD617" w:rsidR="001D5C5B" w:rsidRDefault="001D5C5B" w:rsidP="00DA2457">
            <w:r>
              <w:t>5 osób przez 2 dni w wyznaczonych godzinach</w:t>
            </w:r>
          </w:p>
        </w:tc>
      </w:tr>
      <w:tr w:rsidR="001D5C5B" w:rsidRPr="000A45AD" w14:paraId="358B8B64" w14:textId="77777777" w:rsidTr="002E7619">
        <w:trPr>
          <w:jc w:val="center"/>
        </w:trPr>
        <w:tc>
          <w:tcPr>
            <w:tcW w:w="1206" w:type="dxa"/>
          </w:tcPr>
          <w:p w14:paraId="71CDEF66" w14:textId="546C7CD3" w:rsidR="001D5C5B" w:rsidRPr="000A45AD" w:rsidRDefault="00C970BC" w:rsidP="00DA2457">
            <w:r>
              <w:t>8.</w:t>
            </w:r>
          </w:p>
        </w:tc>
        <w:tc>
          <w:tcPr>
            <w:tcW w:w="2267" w:type="dxa"/>
          </w:tcPr>
          <w:p w14:paraId="04660F60" w14:textId="70302690" w:rsidR="001D5C5B" w:rsidRDefault="001D5C5B" w:rsidP="00DA2457">
            <w:r>
              <w:t>Konferansjer / prowadzący</w:t>
            </w:r>
          </w:p>
        </w:tc>
        <w:tc>
          <w:tcPr>
            <w:tcW w:w="6443" w:type="dxa"/>
          </w:tcPr>
          <w:p w14:paraId="5A6877F7" w14:textId="2EC30BD1" w:rsidR="001D5C5B" w:rsidRPr="007E346C" w:rsidRDefault="001D5C5B" w:rsidP="00DA2457">
            <w:pPr>
              <w:rPr>
                <w:color w:val="00B050"/>
              </w:rPr>
            </w:pPr>
            <w:r>
              <w:t xml:space="preserve">Zapewnienie Konferansjera / osoby prowadzącej oficjalne otwarcie budynku przy ul. </w:t>
            </w:r>
            <w:proofErr w:type="spellStart"/>
            <w:r>
              <w:t>Gumniskiej</w:t>
            </w:r>
            <w:proofErr w:type="spellEnd"/>
            <w:r>
              <w:t xml:space="preserve"> 30, z udziałem przedstawicieli konsularnych, posłów, przedstawicieli ministerstw i lokalnych władz. Konferansjer prowadził będzie część oficjalną i zapowie koncert</w:t>
            </w:r>
            <w:r w:rsidR="008B775E">
              <w:t xml:space="preserve">, </w:t>
            </w:r>
            <w:r w:rsidR="00136A3F" w:rsidRPr="008B775E">
              <w:t xml:space="preserve">w dniu </w:t>
            </w:r>
            <w:r w:rsidRPr="008B775E">
              <w:t>2</w:t>
            </w:r>
            <w:r>
              <w:t>2 marca w godzinach 17-21</w:t>
            </w:r>
            <w:r w:rsidR="00136A3F">
              <w:t>.</w:t>
            </w:r>
            <w:r>
              <w:t xml:space="preserve"> Scenariusz wydarzenia Zamawiający przedstawi Wykonawcy. Niezbędne kwalifikacje konferansjera: dobra prezencja, dobra dykcja. </w:t>
            </w:r>
            <w:r w:rsidRPr="004F77A7">
              <w:t xml:space="preserve">Umiejętność prowadzenia wydarzenia w języku angielskim. </w:t>
            </w:r>
            <w:r>
              <w:t xml:space="preserve">Obowiązujący strój wizytowy. Termin wykonania usługi – 22 marca 2024 r. </w:t>
            </w:r>
          </w:p>
        </w:tc>
        <w:tc>
          <w:tcPr>
            <w:tcW w:w="2148" w:type="dxa"/>
          </w:tcPr>
          <w:p w14:paraId="74CF315E" w14:textId="70C46228" w:rsidR="001D5C5B" w:rsidRDefault="001D5C5B" w:rsidP="00DA2457">
            <w:r>
              <w:t>1 osoba</w:t>
            </w:r>
          </w:p>
        </w:tc>
      </w:tr>
      <w:tr w:rsidR="001D5C5B" w:rsidRPr="000A45AD" w14:paraId="6DB95420" w14:textId="77777777" w:rsidTr="002576A5">
        <w:trPr>
          <w:trHeight w:val="708"/>
          <w:jc w:val="center"/>
        </w:trPr>
        <w:tc>
          <w:tcPr>
            <w:tcW w:w="1206" w:type="dxa"/>
          </w:tcPr>
          <w:p w14:paraId="6FF1FF34" w14:textId="7ACA90AE" w:rsidR="001D5C5B" w:rsidRPr="000A45AD" w:rsidRDefault="00C970BC" w:rsidP="00DA2457">
            <w:r>
              <w:t>9.</w:t>
            </w:r>
          </w:p>
        </w:tc>
        <w:tc>
          <w:tcPr>
            <w:tcW w:w="2267" w:type="dxa"/>
          </w:tcPr>
          <w:p w14:paraId="31D859B7" w14:textId="5F2196E5" w:rsidR="001D5C5B" w:rsidRDefault="001D5C5B" w:rsidP="00DA2457">
            <w:r>
              <w:t xml:space="preserve">Catering do uroczystości otwarcia budynku przy ul. </w:t>
            </w:r>
            <w:proofErr w:type="spellStart"/>
            <w:r>
              <w:t>Gumniskiej</w:t>
            </w:r>
            <w:proofErr w:type="spellEnd"/>
            <w:r>
              <w:t xml:space="preserve"> 30, w dniu 22 marca 2024</w:t>
            </w:r>
          </w:p>
        </w:tc>
        <w:tc>
          <w:tcPr>
            <w:tcW w:w="6443" w:type="dxa"/>
          </w:tcPr>
          <w:p w14:paraId="52F0DF01" w14:textId="3025D1B5" w:rsidR="001D5C5B" w:rsidRPr="00E6559D" w:rsidRDefault="001D5C5B" w:rsidP="00DA2457">
            <w:pPr>
              <w:tabs>
                <w:tab w:val="left" w:pos="2105"/>
              </w:tabs>
              <w:spacing w:before="7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Organizacja cateringu w trakcie b</w:t>
            </w:r>
            <w:r w:rsidRPr="00E6559D">
              <w:rPr>
                <w:rFonts w:asciiTheme="minorHAnsi" w:hAnsiTheme="minorHAnsi" w:cstheme="minorHAnsi"/>
                <w:u w:val="single"/>
              </w:rPr>
              <w:t>ankiet</w:t>
            </w:r>
            <w:r>
              <w:rPr>
                <w:rFonts w:asciiTheme="minorHAnsi" w:hAnsiTheme="minorHAnsi" w:cstheme="minorHAnsi"/>
                <w:u w:val="single"/>
              </w:rPr>
              <w:t>u</w:t>
            </w:r>
            <w:r w:rsidRPr="00E6559D">
              <w:rPr>
                <w:rFonts w:asciiTheme="minorHAnsi" w:hAnsiTheme="minorHAnsi" w:cstheme="minorHAnsi"/>
                <w:u w:val="single"/>
              </w:rPr>
              <w:t xml:space="preserve"> stojąc</w:t>
            </w:r>
            <w:r>
              <w:rPr>
                <w:rFonts w:asciiTheme="minorHAnsi" w:hAnsiTheme="minorHAnsi" w:cstheme="minorHAnsi"/>
                <w:u w:val="single"/>
              </w:rPr>
              <w:t xml:space="preserve">ego </w:t>
            </w:r>
            <w:r>
              <w:rPr>
                <w:rFonts w:asciiTheme="minorHAnsi" w:hAnsiTheme="minorHAnsi" w:cstheme="minorHAnsi"/>
              </w:rPr>
              <w:t xml:space="preserve">z wykorzystaniem bufetów szwedzkich, </w:t>
            </w:r>
            <w:r w:rsidRPr="00E6559D">
              <w:rPr>
                <w:rFonts w:asciiTheme="minorHAnsi" w:hAnsiTheme="minorHAnsi" w:cstheme="minorHAnsi"/>
              </w:rPr>
              <w:t xml:space="preserve">dla </w:t>
            </w:r>
            <w:r>
              <w:rPr>
                <w:rFonts w:asciiTheme="minorHAnsi" w:hAnsiTheme="minorHAnsi" w:cstheme="minorHAnsi"/>
              </w:rPr>
              <w:t>50</w:t>
            </w:r>
            <w:r w:rsidRPr="00E6559D">
              <w:rPr>
                <w:rFonts w:asciiTheme="minorHAnsi" w:hAnsiTheme="minorHAnsi" w:cstheme="minorHAnsi"/>
              </w:rPr>
              <w:t xml:space="preserve"> osób, składający się z wina, serwisu herbaciano-kawowego (z dodatkami), z wody i soków, bufetu przekąskowego i bufetu słodkiego, owoców</w:t>
            </w:r>
            <w:r>
              <w:rPr>
                <w:rFonts w:asciiTheme="minorHAnsi" w:hAnsiTheme="minorHAnsi" w:cstheme="minorHAnsi"/>
              </w:rPr>
              <w:t xml:space="preserve"> oraz ciepłych dań:</w:t>
            </w:r>
          </w:p>
          <w:p w14:paraId="7DA81B07" w14:textId="7DE4671B" w:rsidR="001D5C5B" w:rsidRDefault="001D5C5B" w:rsidP="00DA2457">
            <w:pPr>
              <w:pStyle w:val="Tekstpodstawowy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6CCC">
              <w:rPr>
                <w:sz w:val="22"/>
                <w:szCs w:val="22"/>
              </w:rPr>
              <w:t>7</w:t>
            </w:r>
            <w:r w:rsidRPr="004E6CCC">
              <w:rPr>
                <w:rFonts w:asciiTheme="minorHAnsi" w:hAnsiTheme="minorHAnsi" w:cstheme="minorHAnsi"/>
                <w:sz w:val="22"/>
                <w:szCs w:val="22"/>
              </w:rPr>
              <w:t>0 lampek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wina białego, półwytrawnego, 20 lampek wina czerwonego, półwytrawnego po minimum 120 ml każda z lampek, </w:t>
            </w:r>
          </w:p>
          <w:p w14:paraId="3521CA70" w14:textId="77777777" w:rsidR="001D5C5B" w:rsidRDefault="001D5C5B" w:rsidP="00DA2457">
            <w:pPr>
              <w:pStyle w:val="Akapitzlist"/>
              <w:widowControl/>
              <w:numPr>
                <w:ilvl w:val="0"/>
                <w:numId w:val="10"/>
              </w:numPr>
              <w:adjustRightInd w:val="0"/>
              <w:contextualSpacing w:val="0"/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lastRenderedPageBreak/>
              <w:t>bufet przekąskowy - tar</w:t>
            </w:r>
            <w:r>
              <w:rPr>
                <w:rFonts w:asciiTheme="minorHAnsi" w:hAnsiTheme="minorHAnsi" w:cstheme="minorHAnsi"/>
              </w:rPr>
              <w:t>ti</w:t>
            </w:r>
            <w:r>
              <w:rPr>
                <w:rFonts w:asciiTheme="minorHAnsi" w:eastAsiaTheme="minorHAnsi" w:hAnsiTheme="minorHAnsi" w:cstheme="minorHAnsi"/>
              </w:rPr>
              <w:t xml:space="preserve">nki (różne wersje - mięsne, wegetariańskie - po 4 szt. na os., mono porcja sałatki greckiej LUB mono porcja sałatki warzywno-makaronowej (łącznie po 1 szt. na os.), </w:t>
            </w:r>
          </w:p>
          <w:p w14:paraId="6C5FFDEE" w14:textId="2D68AA18" w:rsidR="001D5C5B" w:rsidRDefault="001D5C5B" w:rsidP="00DA2457">
            <w:pPr>
              <w:pStyle w:val="Akapitzlist"/>
              <w:widowControl/>
              <w:numPr>
                <w:ilvl w:val="0"/>
                <w:numId w:val="10"/>
              </w:numPr>
              <w:adjustRightInd w:val="0"/>
              <w:contextualSpacing w:val="0"/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bufet słodki - kruche mini babeczki, rożki ucierane o smaku pomarańczowym, rożki ucierane o smaku rumowym, </w:t>
            </w:r>
            <w:r w:rsidRPr="002576A5">
              <w:rPr>
                <w:rFonts w:asciiTheme="minorHAnsi" w:eastAsiaTheme="minorHAnsi" w:hAnsiTheme="minorHAnsi" w:cstheme="minorHAnsi"/>
              </w:rPr>
              <w:t>szarlotka</w:t>
            </w:r>
            <w:r>
              <w:rPr>
                <w:rFonts w:asciiTheme="minorHAnsi" w:eastAsiaTheme="minorHAnsi" w:hAnsiTheme="minorHAnsi" w:cstheme="minorHAnsi"/>
              </w:rPr>
              <w:t xml:space="preserve">  (po 2 szt. na osobę z całego asortymentu), </w:t>
            </w:r>
          </w:p>
          <w:p w14:paraId="399D8C19" w14:textId="783DD862" w:rsidR="001D5C5B" w:rsidRDefault="001D5C5B" w:rsidP="00DA2457">
            <w:pPr>
              <w:pStyle w:val="Tekstpodstawowy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kosze owoców sezonowych (np. banan, jabłko, winogrono, arbuz, kiwi),</w:t>
            </w:r>
            <w:r>
              <w:rPr>
                <w:rStyle w:val="Mocnewyrnion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77A7">
              <w:rPr>
                <w:rStyle w:val="Mocnewyrnion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łącznie</w:t>
            </w:r>
            <w:r>
              <w:rPr>
                <w:rStyle w:val="Mocnewyrnione"/>
              </w:rPr>
              <w:t xml:space="preserve"> </w:t>
            </w:r>
            <w:r w:rsidRPr="004F77A7">
              <w:rPr>
                <w:rStyle w:val="Mocnewyrnion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</w:t>
            </w:r>
            <w:r w:rsidRPr="004F77A7">
              <w:rPr>
                <w:rStyle w:val="Mocnewyrnione"/>
                <w:b w:val="0"/>
                <w:bCs w:val="0"/>
              </w:rPr>
              <w:t>inimum</w:t>
            </w:r>
            <w:r>
              <w:rPr>
                <w:rStyle w:val="Mocnewyrnione"/>
              </w:rPr>
              <w:t xml:space="preserve"> </w:t>
            </w:r>
            <w:r w:rsidRPr="004F77A7">
              <w:rPr>
                <w:rStyle w:val="Mocnewyrnione"/>
                <w:b w:val="0"/>
                <w:bCs w:val="0"/>
              </w:rPr>
              <w:t>10 kg.</w:t>
            </w:r>
          </w:p>
          <w:p w14:paraId="6C145FA4" w14:textId="1FF32D78" w:rsidR="001D5C5B" w:rsidRDefault="001D5C5B" w:rsidP="00DA2457">
            <w:pPr>
              <w:pStyle w:val="Tekstpodstawowy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Mocnewyrnione"/>
                <w:rFonts w:asciiTheme="minorHAnsi" w:hAnsiTheme="minorHAnsi" w:cstheme="minorHAnsi"/>
                <w:sz w:val="22"/>
                <w:szCs w:val="22"/>
              </w:rPr>
              <w:t xml:space="preserve">bufet z napojami zimnymi a.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woda mineralna gazowana i niegazowana (w ilości 50/ 50 %), w szklanych butelkach o pojemności ok. 0,33 l; łącznie 150 butelek. </w:t>
            </w:r>
            <w:r w:rsidRPr="004F77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100pr</w:t>
            </w:r>
            <w:r>
              <w:t>ocentowe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soki owocowe (3 d</w:t>
            </w:r>
            <w:r>
              <w:t xml:space="preserve">owolne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rodzaje) podawane w ekspozyturach bankietowych (po 100 ml na osobę z całego asortymentu), </w:t>
            </w:r>
          </w:p>
          <w:p w14:paraId="64A5F822" w14:textId="2740815E" w:rsidR="001D5C5B" w:rsidRPr="007B41B5" w:rsidRDefault="001D5C5B" w:rsidP="00DA2457">
            <w:pPr>
              <w:pStyle w:val="Tekstpodstawowy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6AD1">
              <w:rPr>
                <w:rStyle w:val="Mocnewyrnione"/>
                <w:rFonts w:asciiTheme="minorHAnsi" w:hAnsiTheme="minorHAnsi" w:cstheme="minorHAnsi"/>
              </w:rPr>
              <w:t xml:space="preserve">bufet kawowo-herbaciany - </w:t>
            </w:r>
            <w:r w:rsidRPr="00E56AD1">
              <w:rPr>
                <w:rFonts w:asciiTheme="minorHAnsi" w:hAnsiTheme="minorHAnsi" w:cstheme="minorHAnsi"/>
              </w:rPr>
              <w:t>kawa</w:t>
            </w:r>
            <w:r w:rsidRPr="00E56AD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6AD1">
              <w:rPr>
                <w:rFonts w:asciiTheme="minorHAnsi" w:hAnsiTheme="minorHAnsi" w:cstheme="minorHAnsi"/>
              </w:rPr>
              <w:t>czarna</w:t>
            </w:r>
            <w:r w:rsidRPr="00E56AD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6AD1">
              <w:rPr>
                <w:rFonts w:asciiTheme="minorHAnsi" w:hAnsiTheme="minorHAnsi" w:cstheme="minorHAnsi"/>
              </w:rPr>
              <w:t>bez</w:t>
            </w:r>
            <w:r w:rsidRPr="00E56AD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6AD1">
              <w:rPr>
                <w:rFonts w:asciiTheme="minorHAnsi" w:hAnsiTheme="minorHAnsi" w:cstheme="minorHAnsi"/>
              </w:rPr>
              <w:t>ograniczeń</w:t>
            </w:r>
            <w:r w:rsidRPr="00E56AD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6AD1">
              <w:rPr>
                <w:rFonts w:asciiTheme="minorHAnsi" w:hAnsiTheme="minorHAnsi" w:cstheme="minorHAnsi"/>
              </w:rPr>
              <w:t>z</w:t>
            </w:r>
            <w:r w:rsidRPr="00E56AD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B41B5">
              <w:rPr>
                <w:rFonts w:asciiTheme="minorHAnsi" w:hAnsiTheme="minorHAnsi" w:cstheme="minorHAnsi"/>
              </w:rPr>
              <w:t>wysokociśnieniowego</w:t>
            </w:r>
            <w:r w:rsidRPr="007B41B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B41B5">
              <w:rPr>
                <w:rFonts w:asciiTheme="minorHAnsi" w:hAnsiTheme="minorHAnsi" w:cstheme="minorHAnsi"/>
              </w:rPr>
              <w:t>ekspresu</w:t>
            </w:r>
            <w:r w:rsidRPr="007B41B5"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</w:rPr>
              <w:t>oraz</w:t>
            </w:r>
            <w:r w:rsidRPr="007B41B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B41B5">
              <w:rPr>
                <w:rFonts w:asciiTheme="minorHAnsi" w:hAnsiTheme="minorHAnsi" w:cstheme="minorHAnsi"/>
              </w:rPr>
              <w:t>herbata</w:t>
            </w:r>
            <w:r w:rsidRPr="007B41B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B41B5">
              <w:rPr>
                <w:rFonts w:asciiTheme="minorHAnsi" w:hAnsiTheme="minorHAnsi" w:cstheme="minorHAnsi"/>
              </w:rPr>
              <w:t xml:space="preserve">w saszetkach </w:t>
            </w:r>
            <w:r>
              <w:rPr>
                <w:rFonts w:asciiTheme="minorHAnsi" w:hAnsiTheme="minorHAnsi" w:cstheme="minorHAnsi"/>
              </w:rPr>
              <w:t>(</w:t>
            </w:r>
            <w:r w:rsidRPr="007B41B5">
              <w:rPr>
                <w:rFonts w:asciiTheme="minorHAnsi" w:hAnsiTheme="minorHAnsi" w:cstheme="minorHAnsi"/>
              </w:rPr>
              <w:t>min. 3 rodzaje, w tym czarna</w:t>
            </w:r>
            <w:r>
              <w:rPr>
                <w:rFonts w:asciiTheme="minorHAnsi" w:hAnsiTheme="minorHAnsi" w:cstheme="minorHAnsi"/>
              </w:rPr>
              <w:t>)</w:t>
            </w:r>
            <w:r w:rsidRPr="007B41B5">
              <w:rPr>
                <w:rFonts w:asciiTheme="minorHAnsi" w:hAnsiTheme="minorHAnsi" w:cstheme="minorHAnsi"/>
              </w:rPr>
              <w:t xml:space="preserve">, parzona wrzątkiem – bez </w:t>
            </w:r>
            <w:r w:rsidRPr="007B41B5">
              <w:rPr>
                <w:rFonts w:asciiTheme="minorHAnsi" w:hAnsiTheme="minorHAnsi" w:cstheme="minorHAnsi"/>
                <w:spacing w:val="-2"/>
              </w:rPr>
              <w:t>ograniczeń,</w:t>
            </w:r>
          </w:p>
          <w:p w14:paraId="398EF63A" w14:textId="482C4360" w:rsidR="001D5C5B" w:rsidRPr="007B41B5" w:rsidRDefault="001D5C5B" w:rsidP="00DA2457">
            <w:pPr>
              <w:pStyle w:val="Tekstpodstawowy"/>
              <w:numPr>
                <w:ilvl w:val="0"/>
                <w:numId w:val="10"/>
              </w:numPr>
              <w:jc w:val="both"/>
              <w:rPr>
                <w:rStyle w:val="Mocnewyrnione"/>
                <w:b w:val="0"/>
                <w:bCs w:val="0"/>
              </w:rPr>
            </w:pPr>
            <w:r w:rsidRPr="007B41B5">
              <w:rPr>
                <w:rStyle w:val="Mocnewyrnione"/>
                <w:rFonts w:asciiTheme="minorHAnsi" w:hAnsiTheme="minorHAnsi" w:cstheme="minorHAnsi"/>
              </w:rPr>
              <w:t>d</w:t>
            </w:r>
            <w:r w:rsidRPr="007B41B5">
              <w:rPr>
                <w:rStyle w:val="Mocnewyrnione"/>
              </w:rPr>
              <w:t>odatkowe dania ciepłe dla 2</w:t>
            </w:r>
            <w:r>
              <w:rPr>
                <w:rStyle w:val="Mocnewyrnione"/>
              </w:rPr>
              <w:t>5</w:t>
            </w:r>
            <w:r w:rsidRPr="007B41B5">
              <w:rPr>
                <w:rStyle w:val="Mocnewyrnione"/>
              </w:rPr>
              <w:t xml:space="preserve"> osób</w:t>
            </w:r>
            <w:r w:rsidRPr="007B41B5">
              <w:rPr>
                <w:rStyle w:val="Mocnewyrnione"/>
                <w:b w:val="0"/>
                <w:bCs w:val="0"/>
              </w:rPr>
              <w:t xml:space="preserve"> przygotowane na godzinę 20:30</w:t>
            </w:r>
            <w:r w:rsidRPr="004F77A7">
              <w:rPr>
                <w:rStyle w:val="Mocnewyrnione"/>
                <w:b w:val="0"/>
                <w:bCs w:val="0"/>
              </w:rPr>
              <w:t xml:space="preserve">. w  dniu 22 marca 2024r. w </w:t>
            </w:r>
            <w:r w:rsidRPr="007B41B5">
              <w:rPr>
                <w:rStyle w:val="Mocnewyrnione"/>
                <w:b w:val="0"/>
                <w:bCs w:val="0"/>
              </w:rPr>
              <w:t>formie „szwedzkiego stołu”, będzie składać dania głównego z możliwością wyboru wersji wegetariańskiej lub mięsnej, w tym:</w:t>
            </w:r>
          </w:p>
          <w:p w14:paraId="6CC63405" w14:textId="6D01109F" w:rsidR="001D5C5B" w:rsidRPr="007B41B5" w:rsidRDefault="001D5C5B" w:rsidP="00DA2457">
            <w:pPr>
              <w:pStyle w:val="Tekstpodstawowy"/>
              <w:numPr>
                <w:ilvl w:val="0"/>
                <w:numId w:val="9"/>
              </w:numPr>
              <w:jc w:val="both"/>
              <w:rPr>
                <w:rStyle w:val="Mocnewyrnione"/>
                <w:b w:val="0"/>
                <w:bCs w:val="0"/>
              </w:rPr>
            </w:pPr>
            <w:r w:rsidRPr="007B41B5">
              <w:rPr>
                <w:rStyle w:val="Mocnewyrnione"/>
                <w:b w:val="0"/>
                <w:bCs w:val="0"/>
              </w:rPr>
              <w:t xml:space="preserve">danie główne </w:t>
            </w:r>
            <w:r>
              <w:rPr>
                <w:rStyle w:val="Mocnewyrnione"/>
                <w:b w:val="0"/>
                <w:bCs w:val="0"/>
              </w:rPr>
              <w:t xml:space="preserve">(jedno danie) </w:t>
            </w:r>
            <w:r w:rsidRPr="007B41B5">
              <w:rPr>
                <w:rStyle w:val="Mocnewyrnione"/>
                <w:b w:val="0"/>
                <w:bCs w:val="0"/>
              </w:rPr>
              <w:t>- co najmniej 3 propozycje</w:t>
            </w:r>
            <w:r>
              <w:rPr>
                <w:rStyle w:val="Mocnewyrnione"/>
                <w:b w:val="0"/>
                <w:bCs w:val="0"/>
              </w:rPr>
              <w:t xml:space="preserve"> </w:t>
            </w:r>
            <w:r w:rsidRPr="004661A0">
              <w:rPr>
                <w:rStyle w:val="Mocnewyrnione"/>
                <w:color w:val="00B050"/>
              </w:rPr>
              <w:t xml:space="preserve"> </w:t>
            </w:r>
            <w:r w:rsidRPr="004661A0">
              <w:rPr>
                <w:rStyle w:val="Mocnewyrnione"/>
                <w:b w:val="0"/>
                <w:bCs w:val="0"/>
                <w:color w:val="00B050"/>
              </w:rPr>
              <w:t xml:space="preserve"> </w:t>
            </w:r>
            <w:r w:rsidRPr="007B41B5">
              <w:rPr>
                <w:rStyle w:val="Mocnewyrnione"/>
                <w:b w:val="0"/>
                <w:bCs w:val="0"/>
              </w:rPr>
              <w:t xml:space="preserve">(co najmniej 390-420 g na osobę, w tym dodatek mięsny, rybny lub jarski nie mniej niż 120-150 g), danie </w:t>
            </w:r>
            <w:r w:rsidRPr="007B41B5">
              <w:rPr>
                <w:rStyle w:val="Mocnewyrnione"/>
                <w:b w:val="0"/>
                <w:bCs w:val="0"/>
              </w:rPr>
              <w:lastRenderedPageBreak/>
              <w:t xml:space="preserve">wegetariańskie (1 rodzaj); </w:t>
            </w:r>
          </w:p>
          <w:p w14:paraId="0AC68F0B" w14:textId="7DBFB2B7" w:rsidR="001D5C5B" w:rsidRPr="007B41B5" w:rsidRDefault="001D5C5B" w:rsidP="00DA2457">
            <w:pPr>
              <w:pStyle w:val="Tekstpodstawowy"/>
              <w:numPr>
                <w:ilvl w:val="0"/>
                <w:numId w:val="9"/>
              </w:numPr>
              <w:jc w:val="both"/>
              <w:rPr>
                <w:rStyle w:val="Mocnewyrnione"/>
                <w:b w:val="0"/>
                <w:bCs w:val="0"/>
              </w:rPr>
            </w:pPr>
            <w:r w:rsidRPr="007B41B5">
              <w:rPr>
                <w:rStyle w:val="Mocnewyrnione"/>
                <w:b w:val="0"/>
                <w:bCs w:val="0"/>
              </w:rPr>
              <w:t xml:space="preserve">dodatki </w:t>
            </w:r>
            <w:r>
              <w:rPr>
                <w:rStyle w:val="Mocnewyrnione"/>
                <w:b w:val="0"/>
                <w:bCs w:val="0"/>
              </w:rPr>
              <w:t xml:space="preserve">skrobiowe </w:t>
            </w:r>
            <w:r w:rsidRPr="007B41B5">
              <w:rPr>
                <w:rStyle w:val="Mocnewyrnione"/>
                <w:b w:val="0"/>
                <w:bCs w:val="0"/>
              </w:rPr>
              <w:t>do wyboru (2 rodzaje, np. ryż zwykły lub ryż z curry, ziemniaki gotowane lub ziemniaki opiekane w ziołach, warzywa gotowane na parze lub warzywa grillowane), co najmniej 150 g na osobę;</w:t>
            </w:r>
          </w:p>
          <w:p w14:paraId="4E2D1D5F" w14:textId="55947577" w:rsidR="001D5C5B" w:rsidRPr="004F77A7" w:rsidRDefault="001D5C5B" w:rsidP="00DA2457">
            <w:pPr>
              <w:pStyle w:val="Tekstpodstawowy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41B5">
              <w:rPr>
                <w:rStyle w:val="Mocnewyrnione"/>
                <w:b w:val="0"/>
                <w:bCs w:val="0"/>
              </w:rPr>
              <w:t xml:space="preserve">sałatki (2 rodzaje), co najmniej 3 propozycje - łącznie co </w:t>
            </w:r>
            <w:r w:rsidRPr="004F77A7">
              <w:rPr>
                <w:rStyle w:val="Mocnewyrnione"/>
                <w:b w:val="0"/>
                <w:bCs w:val="0"/>
              </w:rPr>
              <w:t>najmniej 120 g na osobę,</w:t>
            </w:r>
          </w:p>
          <w:p w14:paraId="33CCAA5E" w14:textId="3C09488E" w:rsidR="001D5C5B" w:rsidRDefault="001D5C5B" w:rsidP="00DA2457">
            <w:pPr>
              <w:pStyle w:val="Tekstpodstawowy"/>
              <w:ind w:left="2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77A7">
              <w:rPr>
                <w:rFonts w:asciiTheme="minorHAnsi" w:hAnsiTheme="minorHAnsi" w:cstheme="minorHAnsi"/>
                <w:sz w:val="22"/>
                <w:szCs w:val="22"/>
              </w:rPr>
              <w:t>Bankiet odbędzie się w</w:t>
            </w:r>
            <w:r w:rsidRPr="004F77A7">
              <w:rPr>
                <w:rFonts w:asciiTheme="minorHAnsi" w:hAnsiTheme="minorHAnsi" w:cstheme="minorHAnsi"/>
              </w:rPr>
              <w:t xml:space="preserve"> budynku przy ul. </w:t>
            </w:r>
            <w:proofErr w:type="spellStart"/>
            <w:r w:rsidRPr="004F77A7">
              <w:rPr>
                <w:rFonts w:asciiTheme="minorHAnsi" w:hAnsiTheme="minorHAnsi" w:cstheme="minorHAnsi"/>
              </w:rPr>
              <w:t>Gumniskiej</w:t>
            </w:r>
            <w:proofErr w:type="spellEnd"/>
            <w:r w:rsidRPr="004F77A7">
              <w:rPr>
                <w:rFonts w:asciiTheme="minorHAnsi" w:hAnsiTheme="minorHAnsi" w:cstheme="minorHAnsi"/>
              </w:rPr>
              <w:t xml:space="preserve"> 30, 22 marca 2024 r.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4F77A7">
              <w:rPr>
                <w:rFonts w:asciiTheme="minorHAnsi" w:hAnsiTheme="minorHAnsi" w:cstheme="minorHAnsi"/>
                <w:sz w:val="22"/>
                <w:szCs w:val="22"/>
              </w:rPr>
              <w:t xml:space="preserve">w godzinach 17:00 – 21:30. Usługa powinna obejmować transport </w:t>
            </w:r>
            <w:r w:rsidRPr="004F77A7">
              <w:t>cateringu (jedzenie, sztućce, zastawa stołowa, szkło itd.)</w:t>
            </w:r>
            <w:r w:rsidRPr="004F77A7">
              <w:rPr>
                <w:rFonts w:asciiTheme="minorHAnsi" w:hAnsiTheme="minorHAnsi" w:cstheme="minorHAnsi"/>
                <w:sz w:val="22"/>
                <w:szCs w:val="22"/>
              </w:rPr>
              <w:t xml:space="preserve"> oraz obsługę </w:t>
            </w:r>
            <w:r w:rsidRPr="00E6559D">
              <w:rPr>
                <w:rFonts w:asciiTheme="minorHAnsi" w:hAnsiTheme="minorHAnsi" w:cstheme="minorHAnsi"/>
                <w:sz w:val="22"/>
                <w:szCs w:val="22"/>
              </w:rPr>
              <w:t>kelnerską w trakcie bankietu, a także sprzątnięcie po zrealizowanej usłudze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(w tym wywóz odpadów)</w:t>
            </w:r>
            <w:r w:rsidRPr="00E6559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Usługa powinna zawierać przygotowanie bufetów, obsługę, przygotowanie metalowych sztućców, zastawę ceramiczną oraz niezbędne szkło, stoły koktajlowe w liczbie </w:t>
            </w:r>
            <w:r w:rsidRPr="004F77A7">
              <w:rPr>
                <w:rFonts w:asciiTheme="minorHAnsi" w:hAnsiTheme="minorHAnsi" w:cstheme="minorHAnsi"/>
                <w:sz w:val="22"/>
                <w:szCs w:val="22"/>
              </w:rPr>
              <w:t>minimum 8 szt. Każdy stół koktajlowy powinien być nakryty obrusem, powinny 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nim stać papierowe serwetki i wazonik z kwiatkiem.</w:t>
            </w:r>
          </w:p>
          <w:p w14:paraId="3D84CE26" w14:textId="2B0D4912" w:rsidR="001D5C5B" w:rsidRDefault="001D5C5B" w:rsidP="00DA2457">
            <w:pPr>
              <w:pStyle w:val="Tekstpodstawowy"/>
              <w:ind w:left="2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Wykonawca przedstawi do uzgodnień z Zamawiającym proponowane menu cateringu. Nastąpi to do minimum 7 dni przed wydarzeniem.</w:t>
            </w:r>
          </w:p>
          <w:p w14:paraId="53F683A4" w14:textId="5C73280F" w:rsidR="001D5C5B" w:rsidRPr="006E527C" w:rsidRDefault="001D5C5B" w:rsidP="006E527C">
            <w:pPr>
              <w:pStyle w:val="Tekstpodstawowy"/>
              <w:ind w:left="2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Termin wykonania usługi – 22 marca 2024 r. </w:t>
            </w:r>
          </w:p>
        </w:tc>
        <w:tc>
          <w:tcPr>
            <w:tcW w:w="2148" w:type="dxa"/>
          </w:tcPr>
          <w:p w14:paraId="33251354" w14:textId="1C6229F7" w:rsidR="001D5C5B" w:rsidRDefault="001D5C5B" w:rsidP="00DA2457">
            <w:proofErr w:type="spellStart"/>
            <w:r>
              <w:lastRenderedPageBreak/>
              <w:t>Kpl</w:t>
            </w:r>
            <w:proofErr w:type="spellEnd"/>
            <w:r>
              <w:t>.</w:t>
            </w:r>
          </w:p>
        </w:tc>
      </w:tr>
    </w:tbl>
    <w:p w14:paraId="1B044069" w14:textId="77777777" w:rsidR="00183C43" w:rsidRPr="009F1F30" w:rsidRDefault="00183C43">
      <w:pPr>
        <w:rPr>
          <w:b/>
          <w:bCs/>
        </w:rPr>
      </w:pPr>
    </w:p>
    <w:sectPr w:rsidR="00183C43" w:rsidRPr="009F1F30" w:rsidSect="001230CC">
      <w:headerReference w:type="default" r:id="rId8"/>
      <w:footerReference w:type="default" r:id="rId9"/>
      <w:pgSz w:w="16838" w:h="11906" w:orient="landscape"/>
      <w:pgMar w:top="1417" w:right="1417" w:bottom="1417" w:left="1417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E1B0A" w14:textId="77777777" w:rsidR="001230CC" w:rsidRDefault="001230CC" w:rsidP="006C6684">
      <w:r>
        <w:separator/>
      </w:r>
    </w:p>
  </w:endnote>
  <w:endnote w:type="continuationSeparator" w:id="0">
    <w:p w14:paraId="15F2AE71" w14:textId="77777777" w:rsidR="001230CC" w:rsidRDefault="001230CC" w:rsidP="006C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21F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0068" w14:textId="77777777" w:rsidR="004F2FFA" w:rsidRPr="001415B7" w:rsidRDefault="004F2FFA" w:rsidP="004F2FFA">
    <w:pPr>
      <w:pStyle w:val="Stopka"/>
      <w:jc w:val="center"/>
      <w:rPr>
        <w:sz w:val="16"/>
        <w:szCs w:val="16"/>
      </w:rPr>
    </w:pPr>
    <w:r w:rsidRPr="001415B7">
      <w:rPr>
        <w:sz w:val="16"/>
        <w:szCs w:val="16"/>
      </w:rPr>
      <w:t>Projekt „Tarnów Nowe Spojrzenie” współfinansowany ze środków Norweskiego Mechanizmu Finansowego w ramach Programu Rozwój Lokalny na lata 2014-2021</w:t>
    </w:r>
  </w:p>
  <w:p w14:paraId="52C87C6F" w14:textId="77777777" w:rsidR="004F2FFA" w:rsidRPr="001415B7" w:rsidRDefault="004F2FFA" w:rsidP="004F2FFA">
    <w:pPr>
      <w:pStyle w:val="Stopka"/>
      <w:jc w:val="center"/>
      <w:rPr>
        <w:sz w:val="16"/>
        <w:szCs w:val="16"/>
      </w:rPr>
    </w:pPr>
    <w:r w:rsidRPr="00E4081E">
      <w:rPr>
        <w:noProof/>
        <w:sz w:val="10"/>
        <w:szCs w:val="10"/>
        <w:lang w:eastAsia="pl-PL"/>
      </w:rPr>
      <w:drawing>
        <wp:inline distT="0" distB="0" distL="0" distR="0" wp14:anchorId="33523461" wp14:editId="73B0449A">
          <wp:extent cx="350520" cy="411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5A8251" w14:textId="77777777" w:rsidR="004F2FFA" w:rsidRPr="001415B7" w:rsidRDefault="004F2FFA" w:rsidP="004F2FFA">
    <w:pPr>
      <w:pStyle w:val="Stopka"/>
      <w:jc w:val="center"/>
      <w:rPr>
        <w:sz w:val="16"/>
        <w:szCs w:val="16"/>
      </w:rPr>
    </w:pPr>
    <w:r w:rsidRPr="001415B7">
      <w:rPr>
        <w:sz w:val="16"/>
        <w:szCs w:val="16"/>
      </w:rPr>
      <w:t>Gmina Miasta Tarnowa</w:t>
    </w:r>
  </w:p>
  <w:p w14:paraId="5B464F04" w14:textId="77777777" w:rsidR="004F2FFA" w:rsidRPr="00A477E6" w:rsidRDefault="004F2FFA" w:rsidP="004F2FFA">
    <w:pPr>
      <w:pStyle w:val="Stopka"/>
      <w:jc w:val="center"/>
      <w:rPr>
        <w:sz w:val="16"/>
        <w:szCs w:val="16"/>
      </w:rPr>
    </w:pPr>
    <w:r w:rsidRPr="001415B7">
      <w:rPr>
        <w:sz w:val="16"/>
        <w:szCs w:val="16"/>
      </w:rPr>
      <w:t>33-100 Tarnów, ul. Mickiewicza 2</w:t>
    </w:r>
  </w:p>
  <w:p w14:paraId="55C6FFA0" w14:textId="445D1FD9" w:rsidR="006C6684" w:rsidRPr="006C6684" w:rsidRDefault="006C6684" w:rsidP="006C6684">
    <w:pPr>
      <w:pStyle w:val="Stopka"/>
      <w:jc w:val="center"/>
      <w:rPr>
        <w:color w:val="4472C4" w:themeColor="accent1"/>
        <w:sz w:val="18"/>
        <w:szCs w:val="18"/>
      </w:rPr>
    </w:pPr>
    <w:r w:rsidRPr="006C6684">
      <w:rPr>
        <w:color w:val="4472C4" w:themeColor="accent1"/>
        <w:sz w:val="18"/>
        <w:szCs w:val="18"/>
      </w:rPr>
      <w:t xml:space="preserve">Strona </w:t>
    </w:r>
    <w:r w:rsidRPr="006C6684">
      <w:rPr>
        <w:color w:val="4472C4" w:themeColor="accent1"/>
        <w:sz w:val="18"/>
        <w:szCs w:val="18"/>
      </w:rPr>
      <w:fldChar w:fldCharType="begin"/>
    </w:r>
    <w:r w:rsidRPr="006C6684">
      <w:rPr>
        <w:color w:val="4472C4" w:themeColor="accent1"/>
        <w:sz w:val="18"/>
        <w:szCs w:val="18"/>
      </w:rPr>
      <w:instrText>PAGE  \* Arabic  \* MERGEFORMAT</w:instrText>
    </w:r>
    <w:r w:rsidRPr="006C6684">
      <w:rPr>
        <w:color w:val="4472C4" w:themeColor="accent1"/>
        <w:sz w:val="18"/>
        <w:szCs w:val="18"/>
      </w:rPr>
      <w:fldChar w:fldCharType="separate"/>
    </w:r>
    <w:r w:rsidR="00B975F4">
      <w:rPr>
        <w:noProof/>
        <w:color w:val="4472C4" w:themeColor="accent1"/>
        <w:sz w:val="18"/>
        <w:szCs w:val="18"/>
      </w:rPr>
      <w:t>1</w:t>
    </w:r>
    <w:r w:rsidRPr="006C6684">
      <w:rPr>
        <w:color w:val="4472C4" w:themeColor="accent1"/>
        <w:sz w:val="18"/>
        <w:szCs w:val="18"/>
      </w:rPr>
      <w:fldChar w:fldCharType="end"/>
    </w:r>
    <w:r w:rsidRPr="006C6684">
      <w:rPr>
        <w:color w:val="4472C4" w:themeColor="accent1"/>
        <w:sz w:val="18"/>
        <w:szCs w:val="18"/>
      </w:rPr>
      <w:t xml:space="preserve"> z </w:t>
    </w:r>
    <w:r w:rsidRPr="006C6684">
      <w:rPr>
        <w:color w:val="4472C4" w:themeColor="accent1"/>
        <w:sz w:val="18"/>
        <w:szCs w:val="18"/>
      </w:rPr>
      <w:fldChar w:fldCharType="begin"/>
    </w:r>
    <w:r w:rsidRPr="006C6684">
      <w:rPr>
        <w:color w:val="4472C4" w:themeColor="accent1"/>
        <w:sz w:val="18"/>
        <w:szCs w:val="18"/>
      </w:rPr>
      <w:instrText>NUMPAGES \ * arabskie \ * MERGEFORMAT</w:instrText>
    </w:r>
    <w:r w:rsidRPr="006C6684">
      <w:rPr>
        <w:color w:val="4472C4" w:themeColor="accent1"/>
        <w:sz w:val="18"/>
        <w:szCs w:val="18"/>
      </w:rPr>
      <w:fldChar w:fldCharType="separate"/>
    </w:r>
    <w:r w:rsidR="00B975F4">
      <w:rPr>
        <w:noProof/>
        <w:color w:val="4472C4" w:themeColor="accent1"/>
        <w:sz w:val="18"/>
        <w:szCs w:val="18"/>
      </w:rPr>
      <w:t>16</w:t>
    </w:r>
    <w:r w:rsidRPr="006C6684">
      <w:rPr>
        <w:color w:val="4472C4" w:themeColor="accent1"/>
        <w:sz w:val="18"/>
        <w:szCs w:val="18"/>
      </w:rPr>
      <w:fldChar w:fldCharType="end"/>
    </w:r>
  </w:p>
  <w:p w14:paraId="61B0ECEF" w14:textId="77777777" w:rsidR="006C6684" w:rsidRDefault="006C66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0003E" w14:textId="77777777" w:rsidR="001230CC" w:rsidRDefault="001230CC" w:rsidP="006C6684">
      <w:r>
        <w:separator/>
      </w:r>
    </w:p>
  </w:footnote>
  <w:footnote w:type="continuationSeparator" w:id="0">
    <w:p w14:paraId="00D4D46D" w14:textId="77777777" w:rsidR="001230CC" w:rsidRDefault="001230CC" w:rsidP="006C6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28AB" w14:textId="588137D7" w:rsidR="004F2FFA" w:rsidRDefault="004F2FFA">
    <w:pPr>
      <w:pStyle w:val="Nagwek"/>
    </w:pPr>
    <w:r>
      <w:rPr>
        <w:noProof/>
        <w:lang w:eastAsia="pl-PL"/>
      </w:rPr>
      <w:drawing>
        <wp:inline distT="0" distB="0" distL="0" distR="0" wp14:anchorId="3E1994D5" wp14:editId="766F95A8">
          <wp:extent cx="647245" cy="725805"/>
          <wp:effectExtent l="0" t="0" r="635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orway_grants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600" cy="76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C52B19" w14:textId="77777777" w:rsidR="004F2FFA" w:rsidRDefault="004F2F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4293"/>
    <w:multiLevelType w:val="hybridMultilevel"/>
    <w:tmpl w:val="96084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1571"/>
    <w:multiLevelType w:val="hybridMultilevel"/>
    <w:tmpl w:val="C49C29CC"/>
    <w:lvl w:ilvl="0" w:tplc="2D5EF850">
      <w:start w:val="4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CAE4524">
      <w:start w:val="1"/>
      <w:numFmt w:val="bullet"/>
      <w:lvlText w:val=""/>
      <w:lvlJc w:val="left"/>
      <w:pPr>
        <w:tabs>
          <w:tab w:val="num" w:pos="855"/>
        </w:tabs>
        <w:ind w:left="1025" w:hanging="174"/>
      </w:pPr>
      <w:rPr>
        <w:rFonts w:ascii="Symbol" w:hAnsi="Symbol" w:hint="default"/>
      </w:rPr>
    </w:lvl>
    <w:lvl w:ilvl="2" w:tplc="1EEEEEB8">
      <w:start w:val="7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20E87"/>
    <w:multiLevelType w:val="hybridMultilevel"/>
    <w:tmpl w:val="9D22ADC0"/>
    <w:lvl w:ilvl="0" w:tplc="11FC71E0">
      <w:start w:val="8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CAE4524">
      <w:start w:val="1"/>
      <w:numFmt w:val="bullet"/>
      <w:lvlText w:val=""/>
      <w:lvlJc w:val="left"/>
      <w:pPr>
        <w:tabs>
          <w:tab w:val="num" w:pos="855"/>
        </w:tabs>
        <w:ind w:left="1025" w:hanging="174"/>
      </w:pPr>
      <w:rPr>
        <w:rFonts w:ascii="Symbol" w:hAnsi="Symbol" w:hint="default"/>
      </w:rPr>
    </w:lvl>
    <w:lvl w:ilvl="2" w:tplc="2D5EF850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D5550"/>
    <w:multiLevelType w:val="hybridMultilevel"/>
    <w:tmpl w:val="725EF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05451"/>
    <w:multiLevelType w:val="hybridMultilevel"/>
    <w:tmpl w:val="BF861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4C35AC"/>
    <w:multiLevelType w:val="multilevel"/>
    <w:tmpl w:val="692E9E14"/>
    <w:lvl w:ilvl="0">
      <w:start w:val="1"/>
      <w:numFmt w:val="lowerLetter"/>
      <w:lvlText w:val="%1."/>
      <w:lvlJc w:val="left"/>
      <w:pPr>
        <w:ind w:left="286" w:hanging="185"/>
      </w:pPr>
      <w:rPr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384" w:hanging="339"/>
      </w:pPr>
      <w:rPr>
        <w:w w:val="100"/>
        <w:lang w:val="pl-PL" w:eastAsia="en-US" w:bidi="ar-SA"/>
      </w:rPr>
    </w:lvl>
    <w:lvl w:ilvl="2">
      <w:start w:val="1"/>
      <w:numFmt w:val="upperRoman"/>
      <w:lvlText w:val="%3."/>
      <w:lvlJc w:val="left"/>
      <w:pPr>
        <w:ind w:left="827" w:hanging="567"/>
      </w:pPr>
      <w:rPr>
        <w:w w:val="100"/>
        <w:lang w:val="pl-PL" w:eastAsia="en-US" w:bidi="ar-SA"/>
      </w:rPr>
    </w:lvl>
    <w:lvl w:ilvl="3">
      <w:start w:val="1"/>
      <w:numFmt w:val="decimal"/>
      <w:lvlText w:val="%4."/>
      <w:lvlJc w:val="left"/>
      <w:pPr>
        <w:ind w:left="621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w w:val="100"/>
        <w:sz w:val="22"/>
        <w:szCs w:val="22"/>
        <w:lang w:val="pl-PL" w:eastAsia="en-US" w:bidi="ar-SA"/>
      </w:rPr>
    </w:lvl>
    <w:lvl w:ilvl="4">
      <w:start w:val="1"/>
      <w:numFmt w:val="decimal"/>
      <w:lvlText w:val="%4.%5."/>
      <w:lvlJc w:val="left"/>
      <w:pPr>
        <w:ind w:left="1425" w:hanging="43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5">
      <w:start w:val="1"/>
      <w:numFmt w:val="decimal"/>
      <w:lvlText w:val="%4.%5.%6."/>
      <w:lvlJc w:val="left"/>
      <w:pPr>
        <w:ind w:left="2585" w:hanging="985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spacing w:val="-1"/>
        <w:w w:val="100"/>
        <w:sz w:val="22"/>
        <w:szCs w:val="22"/>
        <w:lang w:val="pl-PL" w:eastAsia="en-US" w:bidi="ar-SA"/>
      </w:rPr>
    </w:lvl>
    <w:lvl w:ilvl="6">
      <w:start w:val="1"/>
      <w:numFmt w:val="lowerLetter"/>
      <w:lvlText w:val="%7)"/>
      <w:lvlJc w:val="left"/>
      <w:pPr>
        <w:ind w:left="2104" w:hanging="360"/>
      </w:pPr>
      <w:rPr>
        <w:b w:val="0"/>
        <w:bCs/>
        <w:color w:val="auto"/>
      </w:rPr>
    </w:lvl>
    <w:lvl w:ilvl="7">
      <w:numFmt w:val="bullet"/>
      <w:lvlText w:val="o"/>
      <w:lvlJc w:val="left"/>
      <w:pPr>
        <w:ind w:left="26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8">
      <w:numFmt w:val="bullet"/>
      <w:lvlText w:val="•"/>
      <w:lvlJc w:val="left"/>
      <w:pPr>
        <w:ind w:left="2100" w:hanging="360"/>
      </w:pPr>
      <w:rPr>
        <w:lang w:val="pl-PL" w:eastAsia="en-US" w:bidi="ar-SA"/>
      </w:rPr>
    </w:lvl>
  </w:abstractNum>
  <w:abstractNum w:abstractNumId="6" w15:restartNumberingAfterBreak="0">
    <w:nsid w:val="24631105"/>
    <w:multiLevelType w:val="hybridMultilevel"/>
    <w:tmpl w:val="447A50A2"/>
    <w:lvl w:ilvl="0" w:tplc="934C72B6">
      <w:start w:val="1"/>
      <w:numFmt w:val="lowerLetter"/>
      <w:lvlText w:val="%1)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>
      <w:start w:val="1"/>
      <w:numFmt w:val="decimal"/>
      <w:lvlText w:val="%4."/>
      <w:lvlJc w:val="left"/>
      <w:pPr>
        <w:ind w:left="4363" w:hanging="360"/>
      </w:pPr>
    </w:lvl>
    <w:lvl w:ilvl="4" w:tplc="04150019">
      <w:start w:val="1"/>
      <w:numFmt w:val="lowerLetter"/>
      <w:lvlText w:val="%5."/>
      <w:lvlJc w:val="left"/>
      <w:pPr>
        <w:ind w:left="5083" w:hanging="360"/>
      </w:pPr>
    </w:lvl>
    <w:lvl w:ilvl="5" w:tplc="0415001B">
      <w:start w:val="1"/>
      <w:numFmt w:val="lowerRoman"/>
      <w:lvlText w:val="%6."/>
      <w:lvlJc w:val="right"/>
      <w:pPr>
        <w:ind w:left="5803" w:hanging="180"/>
      </w:pPr>
    </w:lvl>
    <w:lvl w:ilvl="6" w:tplc="0415000F">
      <w:start w:val="1"/>
      <w:numFmt w:val="decimal"/>
      <w:lvlText w:val="%7."/>
      <w:lvlJc w:val="left"/>
      <w:pPr>
        <w:ind w:left="6523" w:hanging="360"/>
      </w:pPr>
    </w:lvl>
    <w:lvl w:ilvl="7" w:tplc="04150019">
      <w:start w:val="1"/>
      <w:numFmt w:val="lowerLetter"/>
      <w:lvlText w:val="%8."/>
      <w:lvlJc w:val="left"/>
      <w:pPr>
        <w:ind w:left="7243" w:hanging="360"/>
      </w:pPr>
    </w:lvl>
    <w:lvl w:ilvl="8" w:tplc="0415001B">
      <w:start w:val="1"/>
      <w:numFmt w:val="lowerRoman"/>
      <w:lvlText w:val="%9."/>
      <w:lvlJc w:val="right"/>
      <w:pPr>
        <w:ind w:left="7963" w:hanging="180"/>
      </w:pPr>
    </w:lvl>
  </w:abstractNum>
  <w:abstractNum w:abstractNumId="7" w15:restartNumberingAfterBreak="0">
    <w:nsid w:val="494F1FC7"/>
    <w:multiLevelType w:val="hybridMultilevel"/>
    <w:tmpl w:val="D0F4B41E"/>
    <w:lvl w:ilvl="0" w:tplc="FFFFFFFF">
      <w:numFmt w:val="bullet"/>
      <w:lvlText w:val=""/>
      <w:lvlJc w:val="left"/>
      <w:pPr>
        <w:ind w:left="210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2039" w:hanging="360"/>
      </w:pPr>
    </w:lvl>
    <w:lvl w:ilvl="2" w:tplc="FFFFFFFF">
      <w:numFmt w:val="bullet"/>
      <w:lvlText w:val="•"/>
      <w:lvlJc w:val="left"/>
      <w:pPr>
        <w:ind w:left="3234" w:hanging="361"/>
      </w:pPr>
      <w:rPr>
        <w:lang w:val="pl-PL" w:eastAsia="en-US" w:bidi="ar-SA"/>
      </w:rPr>
    </w:lvl>
    <w:lvl w:ilvl="3" w:tplc="FFFFFFFF">
      <w:numFmt w:val="bullet"/>
      <w:lvlText w:val="•"/>
      <w:lvlJc w:val="left"/>
      <w:pPr>
        <w:ind w:left="4088" w:hanging="361"/>
      </w:pPr>
      <w:rPr>
        <w:lang w:val="pl-PL" w:eastAsia="en-US" w:bidi="ar-SA"/>
      </w:rPr>
    </w:lvl>
    <w:lvl w:ilvl="4" w:tplc="FFFFFFFF">
      <w:numFmt w:val="bullet"/>
      <w:lvlText w:val="•"/>
      <w:lvlJc w:val="left"/>
      <w:pPr>
        <w:ind w:left="4942" w:hanging="361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5796" w:hanging="361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6650" w:hanging="361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7504" w:hanging="361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8358" w:hanging="361"/>
      </w:pPr>
      <w:rPr>
        <w:lang w:val="pl-PL" w:eastAsia="en-US" w:bidi="ar-SA"/>
      </w:rPr>
    </w:lvl>
  </w:abstractNum>
  <w:abstractNum w:abstractNumId="8" w15:restartNumberingAfterBreak="0">
    <w:nsid w:val="4C546DCC"/>
    <w:multiLevelType w:val="hybridMultilevel"/>
    <w:tmpl w:val="1090A3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23597"/>
    <w:multiLevelType w:val="hybridMultilevel"/>
    <w:tmpl w:val="228836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633B2"/>
    <w:multiLevelType w:val="hybridMultilevel"/>
    <w:tmpl w:val="15E2C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63A5D"/>
    <w:multiLevelType w:val="hybridMultilevel"/>
    <w:tmpl w:val="228836E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D187E"/>
    <w:multiLevelType w:val="hybridMultilevel"/>
    <w:tmpl w:val="99E432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074752">
    <w:abstractNumId w:val="12"/>
  </w:num>
  <w:num w:numId="2" w16cid:durableId="13430458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" w16cid:durableId="11113192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7492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5" w16cid:durableId="255239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094189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748312260">
    <w:abstractNumId w:val="3"/>
  </w:num>
  <w:num w:numId="8" w16cid:durableId="211692757">
    <w:abstractNumId w:val="7"/>
  </w:num>
  <w:num w:numId="9" w16cid:durableId="1239710625">
    <w:abstractNumId w:val="11"/>
  </w:num>
  <w:num w:numId="10" w16cid:durableId="1722824815">
    <w:abstractNumId w:val="0"/>
  </w:num>
  <w:num w:numId="11" w16cid:durableId="1422414986">
    <w:abstractNumId w:val="4"/>
  </w:num>
  <w:num w:numId="12" w16cid:durableId="2008441204">
    <w:abstractNumId w:val="8"/>
  </w:num>
  <w:num w:numId="13" w16cid:durableId="1594822337">
    <w:abstractNumId w:val="1"/>
  </w:num>
  <w:num w:numId="14" w16cid:durableId="1079789945">
    <w:abstractNumId w:val="2"/>
  </w:num>
  <w:num w:numId="15" w16cid:durableId="19497724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30"/>
    <w:rsid w:val="0000498D"/>
    <w:rsid w:val="000253AA"/>
    <w:rsid w:val="00031649"/>
    <w:rsid w:val="00036135"/>
    <w:rsid w:val="00040CB5"/>
    <w:rsid w:val="000448A4"/>
    <w:rsid w:val="00064C4E"/>
    <w:rsid w:val="000832E1"/>
    <w:rsid w:val="00083CC8"/>
    <w:rsid w:val="000A45AD"/>
    <w:rsid w:val="000B48D7"/>
    <w:rsid w:val="000C0ECB"/>
    <w:rsid w:val="000C7015"/>
    <w:rsid w:val="000D144C"/>
    <w:rsid w:val="000D3119"/>
    <w:rsid w:val="000D79F0"/>
    <w:rsid w:val="000E0623"/>
    <w:rsid w:val="000E7B14"/>
    <w:rsid w:val="000F5551"/>
    <w:rsid w:val="000F5B8A"/>
    <w:rsid w:val="00101AC2"/>
    <w:rsid w:val="00104917"/>
    <w:rsid w:val="00104F5B"/>
    <w:rsid w:val="001229B6"/>
    <w:rsid w:val="001230CC"/>
    <w:rsid w:val="00126666"/>
    <w:rsid w:val="0013091F"/>
    <w:rsid w:val="00136A3F"/>
    <w:rsid w:val="001423D8"/>
    <w:rsid w:val="001501D1"/>
    <w:rsid w:val="00151274"/>
    <w:rsid w:val="0015203C"/>
    <w:rsid w:val="00155B5C"/>
    <w:rsid w:val="00162D3A"/>
    <w:rsid w:val="0016579E"/>
    <w:rsid w:val="0016602C"/>
    <w:rsid w:val="00166347"/>
    <w:rsid w:val="00181A97"/>
    <w:rsid w:val="0018251C"/>
    <w:rsid w:val="00183C43"/>
    <w:rsid w:val="001908A6"/>
    <w:rsid w:val="001947CE"/>
    <w:rsid w:val="001A39B5"/>
    <w:rsid w:val="001A4668"/>
    <w:rsid w:val="001B0A34"/>
    <w:rsid w:val="001C5554"/>
    <w:rsid w:val="001D203D"/>
    <w:rsid w:val="001D3E6A"/>
    <w:rsid w:val="001D5C5B"/>
    <w:rsid w:val="002035FA"/>
    <w:rsid w:val="00212B63"/>
    <w:rsid w:val="00214305"/>
    <w:rsid w:val="00215835"/>
    <w:rsid w:val="00226181"/>
    <w:rsid w:val="00226FD4"/>
    <w:rsid w:val="002374E1"/>
    <w:rsid w:val="002576A5"/>
    <w:rsid w:val="0027536F"/>
    <w:rsid w:val="00282EBD"/>
    <w:rsid w:val="0028713C"/>
    <w:rsid w:val="00291603"/>
    <w:rsid w:val="002A0A39"/>
    <w:rsid w:val="002A3473"/>
    <w:rsid w:val="002A5883"/>
    <w:rsid w:val="002A6296"/>
    <w:rsid w:val="002B64D2"/>
    <w:rsid w:val="002B6D35"/>
    <w:rsid w:val="002C079C"/>
    <w:rsid w:val="002C39E1"/>
    <w:rsid w:val="002C49E0"/>
    <w:rsid w:val="002D5633"/>
    <w:rsid w:val="002E6002"/>
    <w:rsid w:val="002E7619"/>
    <w:rsid w:val="003025EC"/>
    <w:rsid w:val="003064DC"/>
    <w:rsid w:val="00307927"/>
    <w:rsid w:val="00314DA1"/>
    <w:rsid w:val="003219ED"/>
    <w:rsid w:val="0032360F"/>
    <w:rsid w:val="00336EEA"/>
    <w:rsid w:val="003370F4"/>
    <w:rsid w:val="00341D8B"/>
    <w:rsid w:val="0034390F"/>
    <w:rsid w:val="00350714"/>
    <w:rsid w:val="00360A17"/>
    <w:rsid w:val="00361196"/>
    <w:rsid w:val="00367FBC"/>
    <w:rsid w:val="00377413"/>
    <w:rsid w:val="00393F5B"/>
    <w:rsid w:val="00394C8F"/>
    <w:rsid w:val="00395817"/>
    <w:rsid w:val="003A3C3F"/>
    <w:rsid w:val="003A5A99"/>
    <w:rsid w:val="003C4BFE"/>
    <w:rsid w:val="003C5F1F"/>
    <w:rsid w:val="003D524F"/>
    <w:rsid w:val="003E0A56"/>
    <w:rsid w:val="003F1699"/>
    <w:rsid w:val="003F2491"/>
    <w:rsid w:val="003F7CAF"/>
    <w:rsid w:val="00407794"/>
    <w:rsid w:val="00407E7E"/>
    <w:rsid w:val="00412226"/>
    <w:rsid w:val="0041658E"/>
    <w:rsid w:val="004234E4"/>
    <w:rsid w:val="00425A37"/>
    <w:rsid w:val="00433458"/>
    <w:rsid w:val="004340F8"/>
    <w:rsid w:val="00436653"/>
    <w:rsid w:val="00443824"/>
    <w:rsid w:val="00446A8F"/>
    <w:rsid w:val="004475D5"/>
    <w:rsid w:val="00454F97"/>
    <w:rsid w:val="00465A4C"/>
    <w:rsid w:val="004661A0"/>
    <w:rsid w:val="004741F4"/>
    <w:rsid w:val="0048211A"/>
    <w:rsid w:val="00492EF8"/>
    <w:rsid w:val="004942FC"/>
    <w:rsid w:val="004A08B4"/>
    <w:rsid w:val="004A74B9"/>
    <w:rsid w:val="004C7E98"/>
    <w:rsid w:val="004D24AE"/>
    <w:rsid w:val="004D2899"/>
    <w:rsid w:val="004D4AF2"/>
    <w:rsid w:val="004D4C6C"/>
    <w:rsid w:val="004D757D"/>
    <w:rsid w:val="004E6CCC"/>
    <w:rsid w:val="004F2FFA"/>
    <w:rsid w:val="004F77A7"/>
    <w:rsid w:val="00501B3A"/>
    <w:rsid w:val="00513BA0"/>
    <w:rsid w:val="00513D5B"/>
    <w:rsid w:val="0052247E"/>
    <w:rsid w:val="00531924"/>
    <w:rsid w:val="00534C3A"/>
    <w:rsid w:val="0054085C"/>
    <w:rsid w:val="00541B0A"/>
    <w:rsid w:val="005521E1"/>
    <w:rsid w:val="0057015A"/>
    <w:rsid w:val="00572695"/>
    <w:rsid w:val="00593AB5"/>
    <w:rsid w:val="0059792E"/>
    <w:rsid w:val="005B4081"/>
    <w:rsid w:val="005C401E"/>
    <w:rsid w:val="005C728F"/>
    <w:rsid w:val="005C72CB"/>
    <w:rsid w:val="005C76E9"/>
    <w:rsid w:val="005D524A"/>
    <w:rsid w:val="005E5829"/>
    <w:rsid w:val="005F514E"/>
    <w:rsid w:val="005F5C7F"/>
    <w:rsid w:val="005F5D61"/>
    <w:rsid w:val="00613045"/>
    <w:rsid w:val="00614EBF"/>
    <w:rsid w:val="00620DA9"/>
    <w:rsid w:val="0063074E"/>
    <w:rsid w:val="0063189D"/>
    <w:rsid w:val="00632FA6"/>
    <w:rsid w:val="006359EF"/>
    <w:rsid w:val="0064149B"/>
    <w:rsid w:val="006437C1"/>
    <w:rsid w:val="0065420D"/>
    <w:rsid w:val="00671265"/>
    <w:rsid w:val="00674D83"/>
    <w:rsid w:val="00674E00"/>
    <w:rsid w:val="00675A0B"/>
    <w:rsid w:val="00690397"/>
    <w:rsid w:val="00691B78"/>
    <w:rsid w:val="00693B6E"/>
    <w:rsid w:val="006A68E7"/>
    <w:rsid w:val="006B2915"/>
    <w:rsid w:val="006C6684"/>
    <w:rsid w:val="006C75B5"/>
    <w:rsid w:val="006E2537"/>
    <w:rsid w:val="006E4E91"/>
    <w:rsid w:val="006E527C"/>
    <w:rsid w:val="00704B65"/>
    <w:rsid w:val="00724E50"/>
    <w:rsid w:val="007406CC"/>
    <w:rsid w:val="0074722C"/>
    <w:rsid w:val="007506AA"/>
    <w:rsid w:val="00755CE8"/>
    <w:rsid w:val="00757778"/>
    <w:rsid w:val="007673AD"/>
    <w:rsid w:val="00780B99"/>
    <w:rsid w:val="00785BD7"/>
    <w:rsid w:val="007913F4"/>
    <w:rsid w:val="00794B88"/>
    <w:rsid w:val="007972B6"/>
    <w:rsid w:val="007A24DD"/>
    <w:rsid w:val="007B00A0"/>
    <w:rsid w:val="007B41B5"/>
    <w:rsid w:val="007B4F3A"/>
    <w:rsid w:val="007C02DE"/>
    <w:rsid w:val="007C63CF"/>
    <w:rsid w:val="007C7F9B"/>
    <w:rsid w:val="007E0C38"/>
    <w:rsid w:val="007E346C"/>
    <w:rsid w:val="007F4618"/>
    <w:rsid w:val="007F6575"/>
    <w:rsid w:val="007F66B8"/>
    <w:rsid w:val="00815B31"/>
    <w:rsid w:val="008258DC"/>
    <w:rsid w:val="00840472"/>
    <w:rsid w:val="00845115"/>
    <w:rsid w:val="00854501"/>
    <w:rsid w:val="00855F0A"/>
    <w:rsid w:val="008653DF"/>
    <w:rsid w:val="008969CC"/>
    <w:rsid w:val="008A4275"/>
    <w:rsid w:val="008A6EB6"/>
    <w:rsid w:val="008B513C"/>
    <w:rsid w:val="008B59B3"/>
    <w:rsid w:val="008B6ABF"/>
    <w:rsid w:val="008B775E"/>
    <w:rsid w:val="008D08EC"/>
    <w:rsid w:val="008D2194"/>
    <w:rsid w:val="008D2A51"/>
    <w:rsid w:val="008D4EDF"/>
    <w:rsid w:val="008E2FE1"/>
    <w:rsid w:val="008E7F6E"/>
    <w:rsid w:val="008F0F22"/>
    <w:rsid w:val="008F38B8"/>
    <w:rsid w:val="008F7DA1"/>
    <w:rsid w:val="0090648A"/>
    <w:rsid w:val="00907B72"/>
    <w:rsid w:val="009103F2"/>
    <w:rsid w:val="00916194"/>
    <w:rsid w:val="0092338C"/>
    <w:rsid w:val="00930486"/>
    <w:rsid w:val="0093742A"/>
    <w:rsid w:val="009375DB"/>
    <w:rsid w:val="00944E4F"/>
    <w:rsid w:val="009479B6"/>
    <w:rsid w:val="00970A51"/>
    <w:rsid w:val="009735AB"/>
    <w:rsid w:val="009805A0"/>
    <w:rsid w:val="00985783"/>
    <w:rsid w:val="00985900"/>
    <w:rsid w:val="00993448"/>
    <w:rsid w:val="009A0B9A"/>
    <w:rsid w:val="009B2B4B"/>
    <w:rsid w:val="009C3AFA"/>
    <w:rsid w:val="009C5FAF"/>
    <w:rsid w:val="009D3209"/>
    <w:rsid w:val="009D5F11"/>
    <w:rsid w:val="009F1F30"/>
    <w:rsid w:val="00A10271"/>
    <w:rsid w:val="00A1378D"/>
    <w:rsid w:val="00A20E08"/>
    <w:rsid w:val="00A22542"/>
    <w:rsid w:val="00A268BF"/>
    <w:rsid w:val="00A41E27"/>
    <w:rsid w:val="00A520EC"/>
    <w:rsid w:val="00A5575F"/>
    <w:rsid w:val="00A57A86"/>
    <w:rsid w:val="00A67ADD"/>
    <w:rsid w:val="00A7544E"/>
    <w:rsid w:val="00A77A32"/>
    <w:rsid w:val="00A90162"/>
    <w:rsid w:val="00A917E9"/>
    <w:rsid w:val="00AB1444"/>
    <w:rsid w:val="00AB211C"/>
    <w:rsid w:val="00AB3C68"/>
    <w:rsid w:val="00AC1411"/>
    <w:rsid w:val="00AD4BC1"/>
    <w:rsid w:val="00AF0C4E"/>
    <w:rsid w:val="00AF33C9"/>
    <w:rsid w:val="00B17F55"/>
    <w:rsid w:val="00B2029F"/>
    <w:rsid w:val="00B45C1D"/>
    <w:rsid w:val="00B506F4"/>
    <w:rsid w:val="00B60704"/>
    <w:rsid w:val="00B62D93"/>
    <w:rsid w:val="00B65F2E"/>
    <w:rsid w:val="00B678DC"/>
    <w:rsid w:val="00B802C2"/>
    <w:rsid w:val="00B92D56"/>
    <w:rsid w:val="00B93CEC"/>
    <w:rsid w:val="00B975F4"/>
    <w:rsid w:val="00BA23F6"/>
    <w:rsid w:val="00BB3CBF"/>
    <w:rsid w:val="00BD1772"/>
    <w:rsid w:val="00BD256B"/>
    <w:rsid w:val="00BF267F"/>
    <w:rsid w:val="00BF3CFD"/>
    <w:rsid w:val="00BF46EE"/>
    <w:rsid w:val="00C033A8"/>
    <w:rsid w:val="00C04A3A"/>
    <w:rsid w:val="00C13306"/>
    <w:rsid w:val="00C242E9"/>
    <w:rsid w:val="00C3254F"/>
    <w:rsid w:val="00C41ED8"/>
    <w:rsid w:val="00C533DE"/>
    <w:rsid w:val="00C53B8D"/>
    <w:rsid w:val="00C54B39"/>
    <w:rsid w:val="00C65170"/>
    <w:rsid w:val="00C6777C"/>
    <w:rsid w:val="00C72F0F"/>
    <w:rsid w:val="00C740A9"/>
    <w:rsid w:val="00C76110"/>
    <w:rsid w:val="00C80DB1"/>
    <w:rsid w:val="00C90A26"/>
    <w:rsid w:val="00C935EB"/>
    <w:rsid w:val="00C970BC"/>
    <w:rsid w:val="00CA739C"/>
    <w:rsid w:val="00CA7D58"/>
    <w:rsid w:val="00CC03C1"/>
    <w:rsid w:val="00CC3A06"/>
    <w:rsid w:val="00CC44E3"/>
    <w:rsid w:val="00CC5FAA"/>
    <w:rsid w:val="00CD592B"/>
    <w:rsid w:val="00CD6D1A"/>
    <w:rsid w:val="00CD6EF4"/>
    <w:rsid w:val="00CE3740"/>
    <w:rsid w:val="00CE3CB3"/>
    <w:rsid w:val="00CE5090"/>
    <w:rsid w:val="00CF2A5C"/>
    <w:rsid w:val="00D11D13"/>
    <w:rsid w:val="00D338EA"/>
    <w:rsid w:val="00D34D1C"/>
    <w:rsid w:val="00D4433E"/>
    <w:rsid w:val="00D529F4"/>
    <w:rsid w:val="00D57EA1"/>
    <w:rsid w:val="00D767A6"/>
    <w:rsid w:val="00D77A1C"/>
    <w:rsid w:val="00D824D3"/>
    <w:rsid w:val="00D959D6"/>
    <w:rsid w:val="00D97B22"/>
    <w:rsid w:val="00DA2457"/>
    <w:rsid w:val="00DA4A13"/>
    <w:rsid w:val="00DB24B7"/>
    <w:rsid w:val="00DB6BA7"/>
    <w:rsid w:val="00DC0594"/>
    <w:rsid w:val="00DC640E"/>
    <w:rsid w:val="00DD64A0"/>
    <w:rsid w:val="00DE0F37"/>
    <w:rsid w:val="00DE2156"/>
    <w:rsid w:val="00DE353B"/>
    <w:rsid w:val="00DE5EAC"/>
    <w:rsid w:val="00DF53E4"/>
    <w:rsid w:val="00DF5812"/>
    <w:rsid w:val="00E07924"/>
    <w:rsid w:val="00E15A62"/>
    <w:rsid w:val="00E23F94"/>
    <w:rsid w:val="00E27ABB"/>
    <w:rsid w:val="00E307F4"/>
    <w:rsid w:val="00E323FD"/>
    <w:rsid w:val="00E3398F"/>
    <w:rsid w:val="00E5437B"/>
    <w:rsid w:val="00E55EFE"/>
    <w:rsid w:val="00E56AD1"/>
    <w:rsid w:val="00E6559D"/>
    <w:rsid w:val="00E672EF"/>
    <w:rsid w:val="00E70C57"/>
    <w:rsid w:val="00E73855"/>
    <w:rsid w:val="00E7638A"/>
    <w:rsid w:val="00E842C6"/>
    <w:rsid w:val="00E85294"/>
    <w:rsid w:val="00E95DC5"/>
    <w:rsid w:val="00E9697A"/>
    <w:rsid w:val="00EA3C92"/>
    <w:rsid w:val="00EB6D34"/>
    <w:rsid w:val="00EC0E20"/>
    <w:rsid w:val="00ED3264"/>
    <w:rsid w:val="00ED4052"/>
    <w:rsid w:val="00ED545C"/>
    <w:rsid w:val="00EF03B6"/>
    <w:rsid w:val="00EF1716"/>
    <w:rsid w:val="00F020E4"/>
    <w:rsid w:val="00F0529D"/>
    <w:rsid w:val="00F052A4"/>
    <w:rsid w:val="00F14C79"/>
    <w:rsid w:val="00F16929"/>
    <w:rsid w:val="00F36864"/>
    <w:rsid w:val="00F37504"/>
    <w:rsid w:val="00F4519C"/>
    <w:rsid w:val="00F51AE2"/>
    <w:rsid w:val="00F677D8"/>
    <w:rsid w:val="00F7009D"/>
    <w:rsid w:val="00F70AA7"/>
    <w:rsid w:val="00F844B5"/>
    <w:rsid w:val="00F90CEF"/>
    <w:rsid w:val="00F95940"/>
    <w:rsid w:val="00F960A8"/>
    <w:rsid w:val="00FA0AAD"/>
    <w:rsid w:val="00FA354C"/>
    <w:rsid w:val="00FA76D9"/>
    <w:rsid w:val="00FD1918"/>
    <w:rsid w:val="00FD79D1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32A9B"/>
  <w15:chartTrackingRefBased/>
  <w15:docId w15:val="{40982429-0323-45EE-BF79-849E829D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F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0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D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4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6602C"/>
    <w:pPr>
      <w:ind w:left="720"/>
      <w:contextualSpacing/>
    </w:pPr>
  </w:style>
  <w:style w:type="table" w:styleId="Tabela-Siatka">
    <w:name w:val="Table Grid"/>
    <w:basedOn w:val="Standardowy"/>
    <w:uiPriority w:val="39"/>
    <w:rsid w:val="000A4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92D5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4234E4"/>
    <w:rPr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34E4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9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9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927"/>
    <w:rPr>
      <w:rFonts w:ascii="Calibri" w:eastAsia="Calibri" w:hAnsi="Calibri" w:cs="Calibri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9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927"/>
    <w:rPr>
      <w:rFonts w:ascii="Calibri" w:eastAsia="Calibri" w:hAnsi="Calibri" w:cs="Calibri"/>
      <w:b/>
      <w:bCs/>
      <w:kern w:val="0"/>
      <w:sz w:val="20"/>
      <w:szCs w:val="20"/>
    </w:rPr>
  </w:style>
  <w:style w:type="character" w:customStyle="1" w:styleId="Mocnewyrnione">
    <w:name w:val="Mocne wyróżnione"/>
    <w:qFormat/>
    <w:rsid w:val="00E6559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C6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6684"/>
    <w:rPr>
      <w:rFonts w:ascii="Calibri" w:eastAsia="Calibri" w:hAnsi="Calibri" w:cs="Calibri"/>
      <w:kern w:val="0"/>
    </w:rPr>
  </w:style>
  <w:style w:type="paragraph" w:styleId="Stopka">
    <w:name w:val="footer"/>
    <w:basedOn w:val="Normalny"/>
    <w:link w:val="StopkaZnak"/>
    <w:uiPriority w:val="99"/>
    <w:unhideWhenUsed/>
    <w:rsid w:val="006C6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6684"/>
    <w:rPr>
      <w:rFonts w:ascii="Calibri" w:eastAsia="Calibri" w:hAnsi="Calibri" w:cs="Calibri"/>
      <w:kern w:val="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433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4433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4433E"/>
    <w:rPr>
      <w:b/>
      <w:bCs/>
    </w:rPr>
  </w:style>
  <w:style w:type="character" w:styleId="Hipercze">
    <w:name w:val="Hyperlink"/>
    <w:basedOn w:val="Domylnaczcionkaakapitu"/>
    <w:uiPriority w:val="99"/>
    <w:unhideWhenUsed/>
    <w:rsid w:val="00D4433E"/>
    <w:rPr>
      <w:color w:val="0000FF"/>
      <w:u w:val="single"/>
    </w:rPr>
  </w:style>
  <w:style w:type="paragraph" w:styleId="Poprawka">
    <w:name w:val="Revision"/>
    <w:hidden/>
    <w:uiPriority w:val="99"/>
    <w:semiHidden/>
    <w:rsid w:val="00C6777C"/>
    <w:pPr>
      <w:spacing w:after="0" w:line="240" w:lineRule="auto"/>
    </w:pPr>
    <w:rPr>
      <w:rFonts w:ascii="Calibri" w:eastAsia="Calibri" w:hAnsi="Calibri" w:cs="Calibri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E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EB6"/>
    <w:rPr>
      <w:rFonts w:ascii="Segoe UI" w:eastAsia="Calibri" w:hAnsi="Segoe UI" w:cs="Segoe UI"/>
      <w:kern w:val="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30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3306"/>
    <w:rPr>
      <w:rFonts w:ascii="Calibri" w:eastAsia="Calibri" w:hAnsi="Calibri" w:cs="Calibri"/>
      <w:kern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30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dostepnosc-cyfrowa/jak-dbac-o-dostepnosc-cyfrowa-w-umowach-i-zamowieniach-publiczn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łęboki cień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3742</Words>
  <Characters>22457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marek.karpinski@umt.tarnow.pl</dc:creator>
  <cp:keywords/>
  <dc:description/>
  <cp:lastModifiedBy>UMT</cp:lastModifiedBy>
  <cp:revision>10</cp:revision>
  <cp:lastPrinted>2024-01-31T14:46:00Z</cp:lastPrinted>
  <dcterms:created xsi:type="dcterms:W3CDTF">2024-01-31T12:20:00Z</dcterms:created>
  <dcterms:modified xsi:type="dcterms:W3CDTF">2024-02-06T07:20:00Z</dcterms:modified>
</cp:coreProperties>
</file>