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8254" w14:textId="2E905F70" w:rsidR="00CD6555" w:rsidRPr="00CD6555" w:rsidRDefault="00CD6555" w:rsidP="00CD6555">
      <w:pPr>
        <w:shd w:val="clear" w:color="auto" w:fill="FFFFFF"/>
        <w:spacing w:before="538"/>
        <w:ind w:left="14"/>
        <w:jc w:val="right"/>
        <w:rPr>
          <w:rFonts w:ascii="Arial" w:hAnsi="Arial" w:cs="Arial"/>
          <w:spacing w:val="-6"/>
          <w:sz w:val="22"/>
          <w:szCs w:val="22"/>
        </w:rPr>
      </w:pPr>
      <w:bookmarkStart w:id="0" w:name="_Hlk104278447"/>
      <w:r w:rsidRPr="00CD6555">
        <w:rPr>
          <w:rFonts w:ascii="Arial" w:hAnsi="Arial" w:cs="Arial"/>
          <w:spacing w:val="-6"/>
          <w:sz w:val="22"/>
          <w:szCs w:val="22"/>
        </w:rPr>
        <w:t>Załącznik nr 4.1 do SWZ - opis przedmiotu zamówienia. Cześć 1</w:t>
      </w:r>
    </w:p>
    <w:p w14:paraId="5567A494" w14:textId="539018E9" w:rsidR="00D25C15" w:rsidRPr="00452EE8" w:rsidRDefault="00D25C15" w:rsidP="00EB2F8A">
      <w:pPr>
        <w:shd w:val="clear" w:color="auto" w:fill="FFFFFF"/>
        <w:spacing w:before="538"/>
        <w:ind w:left="14"/>
        <w:jc w:val="center"/>
        <w:rPr>
          <w:rFonts w:ascii="Arial" w:hAnsi="Arial" w:cs="Arial"/>
          <w:spacing w:val="-6"/>
          <w:sz w:val="22"/>
          <w:szCs w:val="22"/>
        </w:rPr>
      </w:pPr>
      <w:r w:rsidRPr="00452EE8">
        <w:rPr>
          <w:rFonts w:ascii="Arial" w:hAnsi="Arial" w:cs="Arial"/>
          <w:b/>
          <w:bCs/>
          <w:spacing w:val="-6"/>
          <w:sz w:val="22"/>
          <w:szCs w:val="22"/>
        </w:rPr>
        <w:t>Opis przedmiotu zamówienia</w:t>
      </w:r>
    </w:p>
    <w:p w14:paraId="1E9C41F4" w14:textId="6E513AF8" w:rsidR="00E2202B" w:rsidRPr="00452EE8" w:rsidRDefault="00E2202B" w:rsidP="00EB2F8A">
      <w:pPr>
        <w:shd w:val="clear" w:color="auto" w:fill="FFFFFF"/>
        <w:spacing w:before="538"/>
        <w:ind w:left="14"/>
        <w:jc w:val="center"/>
        <w:rPr>
          <w:rFonts w:ascii="Arial" w:hAnsi="Arial" w:cs="Arial"/>
          <w:spacing w:val="-6"/>
          <w:sz w:val="22"/>
          <w:szCs w:val="22"/>
        </w:rPr>
      </w:pPr>
      <w:r w:rsidRPr="00452EE8">
        <w:rPr>
          <w:rFonts w:ascii="Arial" w:hAnsi="Arial" w:cs="Arial"/>
          <w:spacing w:val="-6"/>
          <w:sz w:val="22"/>
          <w:szCs w:val="22"/>
        </w:rPr>
        <w:t xml:space="preserve">Zamawiający zastrzega sobie prawo sprawdzenia zgodności oferowanego sprzętu wskazanego </w:t>
      </w:r>
      <w:r w:rsidR="001D0F25">
        <w:rPr>
          <w:rFonts w:ascii="Arial" w:hAnsi="Arial" w:cs="Arial"/>
          <w:spacing w:val="-6"/>
          <w:sz w:val="22"/>
          <w:szCs w:val="22"/>
        </w:rPr>
        <w:br/>
      </w:r>
      <w:r w:rsidRPr="00452EE8">
        <w:rPr>
          <w:rFonts w:ascii="Arial" w:hAnsi="Arial" w:cs="Arial"/>
          <w:spacing w:val="-6"/>
          <w:sz w:val="22"/>
          <w:szCs w:val="22"/>
        </w:rPr>
        <w:t>w załączniku nr.1 do oferty / umowy w oparciu o informacje zamieszczone na stronie internetowej producenta.</w:t>
      </w:r>
    </w:p>
    <w:p w14:paraId="12BF147D" w14:textId="77777777" w:rsidR="00EB2F8A" w:rsidRPr="00452EE8" w:rsidRDefault="00EB2F8A" w:rsidP="00EB2F8A">
      <w:pPr>
        <w:autoSpaceDN w:val="0"/>
        <w:rPr>
          <w:rFonts w:ascii="Arial" w:hAnsi="Arial" w:cs="Arial"/>
          <w:b/>
          <w:sz w:val="22"/>
          <w:szCs w:val="22"/>
        </w:rPr>
      </w:pPr>
    </w:p>
    <w:p w14:paraId="4781CDF0" w14:textId="11FDF69F" w:rsidR="00EB2F8A" w:rsidRPr="00452EE8" w:rsidRDefault="00B44C63" w:rsidP="00805230">
      <w:pPr>
        <w:pStyle w:val="Akapitzlist"/>
        <w:numPr>
          <w:ilvl w:val="0"/>
          <w:numId w:val="3"/>
        </w:numPr>
        <w:autoSpaceDN w:val="0"/>
        <w:rPr>
          <w:rFonts w:ascii="Arial" w:hAnsi="Arial" w:cs="Arial"/>
          <w:b/>
          <w:sz w:val="22"/>
          <w:szCs w:val="22"/>
        </w:rPr>
      </w:pPr>
      <w:r w:rsidRPr="00B44C63">
        <w:rPr>
          <w:rFonts w:ascii="Arial" w:hAnsi="Arial" w:cs="Arial"/>
          <w:b/>
          <w:sz w:val="22"/>
          <w:szCs w:val="22"/>
        </w:rPr>
        <w:t>Przełącznik</w:t>
      </w:r>
      <w:r w:rsidR="000679A1">
        <w:rPr>
          <w:rFonts w:ascii="Arial" w:hAnsi="Arial" w:cs="Arial"/>
          <w:b/>
          <w:sz w:val="22"/>
          <w:szCs w:val="22"/>
        </w:rPr>
        <w:t>i</w:t>
      </w:r>
      <w:r w:rsidRPr="00B44C63">
        <w:rPr>
          <w:rFonts w:ascii="Arial" w:hAnsi="Arial" w:cs="Arial"/>
          <w:b/>
          <w:sz w:val="22"/>
          <w:szCs w:val="22"/>
        </w:rPr>
        <w:t xml:space="preserve"> sieciow</w:t>
      </w:r>
      <w:r w:rsidR="000679A1">
        <w:rPr>
          <w:rFonts w:ascii="Arial" w:hAnsi="Arial" w:cs="Arial"/>
          <w:b/>
          <w:sz w:val="22"/>
          <w:szCs w:val="22"/>
        </w:rPr>
        <w:t>e</w:t>
      </w:r>
      <w:r w:rsidRPr="00B44C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4C63">
        <w:rPr>
          <w:rFonts w:ascii="Arial" w:hAnsi="Arial" w:cs="Arial"/>
          <w:b/>
          <w:sz w:val="22"/>
          <w:szCs w:val="22"/>
        </w:rPr>
        <w:t>zarządzaln</w:t>
      </w:r>
      <w:r w:rsidR="000679A1">
        <w:rPr>
          <w:rFonts w:ascii="Arial" w:hAnsi="Arial" w:cs="Arial"/>
          <w:b/>
          <w:sz w:val="22"/>
          <w:szCs w:val="22"/>
        </w:rPr>
        <w:t>e</w:t>
      </w:r>
      <w:proofErr w:type="spellEnd"/>
      <w:r w:rsidR="00EB1AAE">
        <w:rPr>
          <w:rFonts w:ascii="Arial" w:hAnsi="Arial" w:cs="Arial"/>
          <w:b/>
          <w:sz w:val="22"/>
          <w:szCs w:val="22"/>
        </w:rPr>
        <w:t xml:space="preserve"> </w:t>
      </w:r>
      <w:r w:rsidR="00EB2F8A" w:rsidRPr="00452EE8">
        <w:rPr>
          <w:rFonts w:ascii="Arial" w:hAnsi="Arial" w:cs="Arial"/>
          <w:b/>
          <w:sz w:val="22"/>
          <w:szCs w:val="22"/>
        </w:rPr>
        <w:t xml:space="preserve">–  </w:t>
      </w:r>
      <w:r w:rsidR="00ED130D" w:rsidRPr="00452EE8">
        <w:rPr>
          <w:rFonts w:ascii="Arial" w:hAnsi="Arial" w:cs="Arial"/>
          <w:b/>
          <w:sz w:val="22"/>
          <w:szCs w:val="22"/>
        </w:rPr>
        <w:t>10</w:t>
      </w:r>
      <w:r w:rsidR="00EB2F8A" w:rsidRPr="00452EE8">
        <w:rPr>
          <w:rFonts w:ascii="Arial" w:hAnsi="Arial" w:cs="Arial"/>
          <w:b/>
          <w:sz w:val="22"/>
          <w:szCs w:val="22"/>
        </w:rPr>
        <w:t xml:space="preserve"> szt.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B2F8A" w:rsidRPr="00452EE8" w14:paraId="58C5960F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bookmarkEnd w:id="0"/>
          <w:p w14:paraId="5546574C" w14:textId="77777777" w:rsidR="00EB2F8A" w:rsidRPr="00452EE8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E15E" w14:textId="77777777" w:rsidR="00EB2F8A" w:rsidRPr="00452EE8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Wymagania minimalne</w:t>
            </w:r>
          </w:p>
        </w:tc>
      </w:tr>
      <w:tr w:rsidR="00EB2F8A" w:rsidRPr="00452EE8" w14:paraId="007E6680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A9F28" w14:textId="0EEAD4C3" w:rsidR="00EB2F8A" w:rsidRPr="00452EE8" w:rsidRDefault="00EB2F8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Typ </w:t>
            </w:r>
            <w:r w:rsidR="00ED130D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przełącznika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895FA" w14:textId="2C190952" w:rsidR="00EB2F8A" w:rsidRPr="00452EE8" w:rsidRDefault="00ED130D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Zarządzalny</w:t>
            </w:r>
            <w:proofErr w:type="spellEnd"/>
          </w:p>
        </w:tc>
      </w:tr>
      <w:tr w:rsidR="00EB2F8A" w:rsidRPr="00452EE8" w14:paraId="5051D931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EE557" w14:textId="39856358" w:rsidR="00EB2F8A" w:rsidRPr="00452EE8" w:rsidRDefault="00285E32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Warstwa przełączania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0EDDB" w14:textId="0E9A5612" w:rsidR="00EB2F8A" w:rsidRPr="00452EE8" w:rsidRDefault="00ED130D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L2</w:t>
            </w:r>
          </w:p>
        </w:tc>
      </w:tr>
      <w:tr w:rsidR="007556FB" w:rsidRPr="00452EE8" w14:paraId="6EA393CC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20435" w14:textId="157F7A67" w:rsidR="007556FB" w:rsidRPr="00452EE8" w:rsidRDefault="007556FB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Standardy komunikacyjne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828D7" w14:textId="260BEAAA" w:rsidR="007556FB" w:rsidRPr="00452EE8" w:rsidRDefault="008F5874" w:rsidP="00491E64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IEEE 802.3 10BASE-T Ethernet, IEEE 802.3u 100BASE-TX Ethernet, IEEE 802.3ab 1000BASE-T Ethernet, IEEE 802.3z 1000BASE-X, IEEE 802.3af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IEEE 802.3at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plus, IEEE 802.3az EEE, IEEE 802.3x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flow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control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IEEE 802.3ad, IEEE 802.1AB, IEEE 802.1D (STP), IEEE 802.1w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Rapid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Spanning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Tree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Protocol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(RSTP), IEEE 802.1s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Multiple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Spanning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Tree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Protocol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(MSTP), IEEE 802.1Q VLAN, IEEE 802.1p Class of Service (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CoS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prioritization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IEEE 802.1X port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authentication</w:t>
            </w:r>
            <w:proofErr w:type="spellEnd"/>
          </w:p>
        </w:tc>
      </w:tr>
      <w:tr w:rsidR="00AD687A" w:rsidRPr="00452EE8" w14:paraId="69CBF933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ECC50" w14:textId="73185017" w:rsidR="00AD687A" w:rsidRPr="00452EE8" w:rsidRDefault="00AD687A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Typ obudowy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F321" w14:textId="40EB779D" w:rsidR="00AD687A" w:rsidRPr="00452EE8" w:rsidRDefault="00AD687A" w:rsidP="00EB2F8A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Rack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wysokość 1U</w:t>
            </w:r>
          </w:p>
        </w:tc>
      </w:tr>
      <w:tr w:rsidR="00391D9F" w:rsidRPr="00452EE8" w14:paraId="49213364" w14:textId="77777777" w:rsidTr="006F69E2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98B5" w14:textId="4C64566C" w:rsidR="00391D9F" w:rsidRPr="00452EE8" w:rsidRDefault="00391D9F" w:rsidP="006F69E2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Porty</w:t>
            </w:r>
          </w:p>
        </w:tc>
      </w:tr>
      <w:tr w:rsidR="00EB2F8A" w:rsidRPr="00452EE8" w14:paraId="229065D6" w14:textId="77777777" w:rsidTr="006F69E2">
        <w:trPr>
          <w:trHeight w:val="5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9276D" w14:textId="54B249E9" w:rsidR="00EB2F8A" w:rsidRPr="00452EE8" w:rsidRDefault="00036939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Liczba portów RJ45 </w:t>
            </w:r>
            <w:r w:rsidRPr="00452E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10/100/1000 </w:t>
            </w:r>
            <w:proofErr w:type="spellStart"/>
            <w:r w:rsidRPr="00452EE8">
              <w:rPr>
                <w:rFonts w:ascii="Arial" w:hAnsi="Arial" w:cs="Arial"/>
                <w:b/>
                <w:bCs/>
                <w:sz w:val="22"/>
                <w:szCs w:val="22"/>
              </w:rPr>
              <w:t>MBit</w:t>
            </w:r>
            <w:proofErr w:type="spellEnd"/>
            <w:r w:rsidRPr="00452EE8"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4CCF" w14:textId="0D4C0FC4" w:rsidR="00EB2F8A" w:rsidRPr="00452EE8" w:rsidRDefault="00036939" w:rsidP="00092850">
            <w:pPr>
              <w:widowControl w:val="0"/>
              <w:suppressAutoHyphens w:val="0"/>
              <w:spacing w:after="24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48</w:t>
            </w:r>
          </w:p>
        </w:tc>
      </w:tr>
      <w:tr w:rsidR="00B36C87" w:rsidRPr="00452EE8" w14:paraId="172802C7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CE88D" w14:textId="5ACF0193" w:rsidR="00B36C87" w:rsidRPr="00452EE8" w:rsidRDefault="00036939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bookmarkStart w:id="1" w:name="_Hlk113946953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Ilość slotów Modułu SFP+</w:t>
            </w:r>
            <w:r w:rsidR="00285E32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10G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6EF9" w14:textId="4C9EAFCF" w:rsidR="00353203" w:rsidRPr="00452EE8" w:rsidRDefault="00036939" w:rsidP="002763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3809E9" w:rsidRPr="00452EE8" w14:paraId="5418466D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9E34E" w14:textId="48DA534B" w:rsidR="003809E9" w:rsidRPr="00452EE8" w:rsidRDefault="003809E9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Liczba portów </w:t>
            </w:r>
            <w:proofErr w:type="spellStart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PoE</w:t>
            </w:r>
            <w:proofErr w:type="spellEnd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PoE</w:t>
            </w:r>
            <w:proofErr w:type="spellEnd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2A2A" w14:textId="56E99848" w:rsidR="003809E9" w:rsidRPr="00452EE8" w:rsidRDefault="003809E9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48</w:t>
            </w:r>
          </w:p>
        </w:tc>
      </w:tr>
      <w:tr w:rsidR="003809E9" w:rsidRPr="00452EE8" w14:paraId="4B6107ED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E72C6" w14:textId="4E223BFE" w:rsidR="003809E9" w:rsidRPr="00452EE8" w:rsidRDefault="007556FB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Całkowita łączna moc zasilania </w:t>
            </w:r>
            <w:proofErr w:type="spellStart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PoE</w:t>
            </w:r>
            <w:proofErr w:type="spellEnd"/>
            <w:r w:rsidR="007B070A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W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CC08" w14:textId="12644C3A" w:rsidR="003809E9" w:rsidRPr="00452EE8" w:rsidRDefault="007556FB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370</w:t>
            </w:r>
          </w:p>
        </w:tc>
      </w:tr>
      <w:tr w:rsidR="00D058A3" w:rsidRPr="00452EE8" w14:paraId="5CF74FAB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2639B" w14:textId="0F705006" w:rsidR="00D058A3" w:rsidRPr="00452EE8" w:rsidRDefault="00D058A3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Port Konsoli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381" w14:textId="62BAC06F" w:rsidR="00D058A3" w:rsidRPr="00452EE8" w:rsidRDefault="00D058A3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4021E" w:rsidRPr="00452EE8" w14:paraId="14AC6A8A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424BB" w14:textId="37B2440E" w:rsidR="0024021E" w:rsidRPr="00452EE8" w:rsidRDefault="0024021E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Funkcje bezpieczeństwa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156A" w14:textId="365393D7" w:rsidR="0024021E" w:rsidRPr="00452EE8" w:rsidRDefault="0024021E" w:rsidP="00491E64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DHCP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client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DHCP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server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Lista kontrolna dostępu (ACL), IGMP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snooping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HTTPS,SSH, Radius, TACACS+, Filtrowanie adresów MAC,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Storm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control</w:t>
            </w:r>
            <w:proofErr w:type="spellEnd"/>
          </w:p>
        </w:tc>
      </w:tr>
      <w:tr w:rsidR="00FC66E2" w:rsidRPr="00452EE8" w14:paraId="5AFA1F99" w14:textId="77777777" w:rsidTr="00EF197A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599F" w14:textId="482E7CEE" w:rsidR="00FC66E2" w:rsidRPr="00452EE8" w:rsidRDefault="00513C90" w:rsidP="00513C90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Wydajność</w:t>
            </w:r>
          </w:p>
        </w:tc>
      </w:tr>
      <w:tr w:rsidR="007B070A" w:rsidRPr="00452EE8" w14:paraId="731029C8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1C12E" w14:textId="29B8FEDF" w:rsidR="007B070A" w:rsidRPr="00452EE8" w:rsidRDefault="007B070A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Przepustowość</w:t>
            </w:r>
            <w:r w:rsidR="00D378F3" w:rsidRPr="00452E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378F3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Mpps</w:t>
            </w:r>
            <w:proofErr w:type="spellEnd"/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6FC" w14:textId="36CF856B" w:rsidR="007B070A" w:rsidRPr="00452EE8" w:rsidRDefault="00B1412B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130</w:t>
            </w:r>
          </w:p>
        </w:tc>
      </w:tr>
      <w:bookmarkEnd w:id="1"/>
      <w:tr w:rsidR="00EB2F8A" w:rsidRPr="00452EE8" w14:paraId="4428C096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F84E8" w14:textId="53394283" w:rsidR="00EB2F8A" w:rsidRPr="00452EE8" w:rsidRDefault="00036939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Przepustowość przełączania</w:t>
            </w:r>
            <w:r w:rsidR="00285E32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5E32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Gbit</w:t>
            </w:r>
            <w:proofErr w:type="spellEnd"/>
            <w:r w:rsidR="00285E32"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3EBE" w14:textId="5FBFBEEE" w:rsidR="0040715E" w:rsidRPr="00452EE8" w:rsidRDefault="00036939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176   </w:t>
            </w:r>
          </w:p>
        </w:tc>
      </w:tr>
      <w:tr w:rsidR="007B070A" w:rsidRPr="00452EE8" w14:paraId="73BD5CCA" w14:textId="77777777" w:rsidTr="00AA4281">
        <w:trPr>
          <w:trHeight w:val="5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FD6E4" w14:textId="2F62BE4B" w:rsidR="007B070A" w:rsidRPr="00452EE8" w:rsidRDefault="007B070A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Pamięci bufora pakietów MB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CB5C" w14:textId="5FB4CCF1" w:rsidR="007B070A" w:rsidRPr="00452EE8" w:rsidRDefault="007B070A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1,5 </w:t>
            </w:r>
          </w:p>
        </w:tc>
      </w:tr>
      <w:tr w:rsidR="00DE31CA" w:rsidRPr="00452EE8" w14:paraId="741EB328" w14:textId="77777777" w:rsidTr="00F9641D">
        <w:trPr>
          <w:trHeight w:val="5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357B7" w14:textId="339BA39C" w:rsidR="00DE31CA" w:rsidRPr="00452EE8" w:rsidRDefault="00DE31CA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Rozmiar tabeli adresów MAC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E463" w14:textId="5F87A987" w:rsidR="00DE31CA" w:rsidRPr="00452EE8" w:rsidRDefault="00FB01BE" w:rsidP="00353203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16000</w:t>
            </w:r>
          </w:p>
        </w:tc>
      </w:tr>
      <w:tr w:rsidR="0024021E" w:rsidRPr="00452EE8" w14:paraId="34A77CC0" w14:textId="77777777" w:rsidTr="00F9641D">
        <w:trPr>
          <w:trHeight w:val="5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183D4" w14:textId="568776D0" w:rsidR="0024021E" w:rsidRPr="00452EE8" w:rsidRDefault="0024021E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Inne Funkcjonalności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3A47" w14:textId="78C81419" w:rsidR="0024021E" w:rsidRPr="00452EE8" w:rsidRDefault="0024021E" w:rsidP="00491E64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VLAN,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QoS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Link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Aggregation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Fizyczne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stakowanie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(Hardware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stacking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), Web </w:t>
            </w:r>
            <w:proofErr w:type="spellStart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interface</w:t>
            </w:r>
            <w:proofErr w:type="spellEnd"/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</w:p>
        </w:tc>
      </w:tr>
      <w:tr w:rsidR="00EE61DC" w:rsidRPr="00452EE8" w14:paraId="2EBEE68B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1E64E" w14:textId="4C85423A" w:rsidR="00EE61DC" w:rsidRPr="00452EE8" w:rsidRDefault="00FE772D" w:rsidP="00EB2F8A">
            <w:pPr>
              <w:suppressAutoHyphens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Dodatki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67F" w14:textId="29EEC696" w:rsidR="00EE61DC" w:rsidRPr="00452EE8" w:rsidRDefault="00FE772D" w:rsidP="00491E64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Zestaw montażowy </w:t>
            </w:r>
            <w:r w:rsidR="000E2C0E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postaci uchwytów lub szyn umożliwi</w:t>
            </w:r>
            <w:r w:rsidR="009829BE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ający</w:t>
            </w:r>
            <w:r w:rsidR="000E2C0E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9125F4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montaż w szafie typu </w:t>
            </w:r>
            <w:proofErr w:type="spellStart"/>
            <w:r w:rsidR="009125F4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rack</w:t>
            </w:r>
            <w:proofErr w:type="spellEnd"/>
          </w:p>
        </w:tc>
      </w:tr>
      <w:tr w:rsidR="00B736C9" w:rsidRPr="00452EE8" w14:paraId="69D41346" w14:textId="77777777" w:rsidTr="00C105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114D3" w14:textId="77777777" w:rsidR="00B736C9" w:rsidRPr="00452EE8" w:rsidRDefault="00B736C9" w:rsidP="00B736C9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2" w:name="_Hlk104279118"/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159" w14:textId="098BDCB6" w:rsidR="00B736C9" w:rsidRPr="00452EE8" w:rsidRDefault="00240D9B" w:rsidP="003D71A7">
            <w:pPr>
              <w:suppressAutoHyphens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Co najmniej </w:t>
            </w:r>
            <w:r w:rsidR="00845CE2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36</w:t>
            </w: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452EE8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miesięcy</w:t>
            </w: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gwarancji realizowan</w:t>
            </w:r>
            <w:r w:rsidR="009956EA"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ej</w:t>
            </w:r>
            <w:r w:rsidRPr="00452E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3D71A7" w:rsidRPr="003D71A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 miejscu instalacji sprzętu lub wysyłkowo na koszt producenta lub </w:t>
            </w:r>
            <w:r w:rsidR="003D71A7" w:rsidRPr="003D71A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Wykonawcy, z czasem reakcji do następnego dnia roboczego od przyjęcia zgłoszenia, z możliwością </w:t>
            </w:r>
            <w:r w:rsidR="0022327C" w:rsidRPr="00F246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zgłaszania awarii poprzez infolinię telefoniczną, stronę internetową producenta lub przez stronę internetową autoryzowanego partnera</w:t>
            </w:r>
            <w:r w:rsidR="003D71A7" w:rsidRPr="003D71A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Serwis musi być realizowany przez Producenta lub Autoryzowanego Partnera Serwisowego Producenta.</w:t>
            </w:r>
          </w:p>
        </w:tc>
      </w:tr>
      <w:tr w:rsidR="00B736C9" w:rsidRPr="00452EE8" w14:paraId="3CCC74EC" w14:textId="77777777" w:rsidTr="0036044E">
        <w:trPr>
          <w:trHeight w:val="52"/>
        </w:trPr>
        <w:tc>
          <w:tcPr>
            <w:tcW w:w="2689" w:type="dxa"/>
            <w:shd w:val="clear" w:color="auto" w:fill="auto"/>
          </w:tcPr>
          <w:p w14:paraId="07F44CA9" w14:textId="77777777" w:rsidR="00B736C9" w:rsidRPr="00452EE8" w:rsidRDefault="00B736C9" w:rsidP="00B736C9">
            <w:pPr>
              <w:suppressAutoHyphens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52EE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Wsparcie techniczne</w:t>
            </w:r>
          </w:p>
        </w:tc>
        <w:tc>
          <w:tcPr>
            <w:tcW w:w="6371" w:type="dxa"/>
            <w:shd w:val="clear" w:color="auto" w:fill="auto"/>
          </w:tcPr>
          <w:p w14:paraId="3F8A6EE1" w14:textId="3948D069" w:rsidR="00B40CDF" w:rsidRPr="00452EE8" w:rsidRDefault="003D71A7" w:rsidP="00491E6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D71A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Maksymalny czas naprawy nie może przekroczyć 14 dni</w:t>
            </w:r>
            <w:r w:rsidR="004B0D5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="004B0D55" w:rsidRPr="004B0D5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liczonego od dnia przyjęcia zgłoszenia.</w:t>
            </w:r>
          </w:p>
        </w:tc>
      </w:tr>
      <w:bookmarkEnd w:id="2"/>
    </w:tbl>
    <w:p w14:paraId="3780947D" w14:textId="329AC10F" w:rsidR="000A3471" w:rsidRPr="00452EE8" w:rsidRDefault="000A3471" w:rsidP="000A3471">
      <w:pPr>
        <w:rPr>
          <w:rFonts w:ascii="Arial" w:hAnsi="Arial" w:cs="Arial"/>
          <w:sz w:val="22"/>
          <w:szCs w:val="22"/>
        </w:rPr>
      </w:pPr>
    </w:p>
    <w:sectPr w:rsidR="000A3471" w:rsidRPr="00452EE8" w:rsidSect="00C06F3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943A" w14:textId="77777777" w:rsidR="00CC516D" w:rsidRDefault="00CC516D" w:rsidP="00B32572">
      <w:r>
        <w:separator/>
      </w:r>
    </w:p>
  </w:endnote>
  <w:endnote w:type="continuationSeparator" w:id="0">
    <w:p w14:paraId="4E838B0D" w14:textId="77777777" w:rsidR="00CC516D" w:rsidRDefault="00CC516D" w:rsidP="00B3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scoSansTT">
    <w:altName w:val="Cisco Sans 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6B59" w14:textId="77777777" w:rsidR="00CC516D" w:rsidRDefault="00CC516D" w:rsidP="00B32572">
      <w:r>
        <w:separator/>
      </w:r>
    </w:p>
  </w:footnote>
  <w:footnote w:type="continuationSeparator" w:id="0">
    <w:p w14:paraId="018FB636" w14:textId="77777777" w:rsidR="00CC516D" w:rsidRDefault="00CC516D" w:rsidP="00B3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8BB0" w14:textId="3AAE9DD2" w:rsidR="00B32572" w:rsidRDefault="00B32572">
    <w:pPr>
      <w:pStyle w:val="Nagwek"/>
    </w:pPr>
    <w:r>
      <w:rPr>
        <w:noProof/>
      </w:rPr>
      <w:drawing>
        <wp:inline distT="0" distB="0" distL="0" distR="0" wp14:anchorId="289A63CF" wp14:editId="3B294E53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D42"/>
    <w:multiLevelType w:val="hybridMultilevel"/>
    <w:tmpl w:val="14823988"/>
    <w:lvl w:ilvl="0" w:tplc="C7744A1C">
      <w:start w:val="1"/>
      <w:numFmt w:val="decimal"/>
      <w:lvlText w:val="%1."/>
      <w:lvlJc w:val="left"/>
      <w:pPr>
        <w:ind w:left="73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080719A1"/>
    <w:multiLevelType w:val="multilevel"/>
    <w:tmpl w:val="C2E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D7338"/>
    <w:multiLevelType w:val="hybridMultilevel"/>
    <w:tmpl w:val="85EC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2B35"/>
    <w:multiLevelType w:val="hybridMultilevel"/>
    <w:tmpl w:val="80689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2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098337">
    <w:abstractNumId w:val="0"/>
  </w:num>
  <w:num w:numId="3" w16cid:durableId="217471330">
    <w:abstractNumId w:val="2"/>
  </w:num>
  <w:num w:numId="4" w16cid:durableId="214313147">
    <w:abstractNumId w:val="1"/>
  </w:num>
  <w:num w:numId="5" w16cid:durableId="139605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8A"/>
    <w:rsid w:val="00005B75"/>
    <w:rsid w:val="00013BDE"/>
    <w:rsid w:val="00023E68"/>
    <w:rsid w:val="00025551"/>
    <w:rsid w:val="000325CC"/>
    <w:rsid w:val="00034226"/>
    <w:rsid w:val="00036939"/>
    <w:rsid w:val="00042D71"/>
    <w:rsid w:val="00066B40"/>
    <w:rsid w:val="000679A1"/>
    <w:rsid w:val="00085E5A"/>
    <w:rsid w:val="00092850"/>
    <w:rsid w:val="000A312B"/>
    <w:rsid w:val="000A3471"/>
    <w:rsid w:val="000C43D7"/>
    <w:rsid w:val="000E2C0E"/>
    <w:rsid w:val="000E6B89"/>
    <w:rsid w:val="00106E05"/>
    <w:rsid w:val="00111737"/>
    <w:rsid w:val="001508C2"/>
    <w:rsid w:val="00152F0C"/>
    <w:rsid w:val="001717A3"/>
    <w:rsid w:val="00171B0A"/>
    <w:rsid w:val="0019752F"/>
    <w:rsid w:val="001C579F"/>
    <w:rsid w:val="001C6827"/>
    <w:rsid w:val="001D0F25"/>
    <w:rsid w:val="001F0C10"/>
    <w:rsid w:val="0022327C"/>
    <w:rsid w:val="00232617"/>
    <w:rsid w:val="00234210"/>
    <w:rsid w:val="0024021E"/>
    <w:rsid w:val="00240D9B"/>
    <w:rsid w:val="00256F03"/>
    <w:rsid w:val="00275648"/>
    <w:rsid w:val="00276303"/>
    <w:rsid w:val="00277115"/>
    <w:rsid w:val="0028317E"/>
    <w:rsid w:val="00285E32"/>
    <w:rsid w:val="002970CD"/>
    <w:rsid w:val="002B0188"/>
    <w:rsid w:val="002B21DE"/>
    <w:rsid w:val="002C02F4"/>
    <w:rsid w:val="002D134A"/>
    <w:rsid w:val="002E7E68"/>
    <w:rsid w:val="003101B3"/>
    <w:rsid w:val="00330F95"/>
    <w:rsid w:val="00353203"/>
    <w:rsid w:val="0036044E"/>
    <w:rsid w:val="00362668"/>
    <w:rsid w:val="00364950"/>
    <w:rsid w:val="003809E9"/>
    <w:rsid w:val="0038179B"/>
    <w:rsid w:val="00391D9F"/>
    <w:rsid w:val="003940AA"/>
    <w:rsid w:val="003A1305"/>
    <w:rsid w:val="003A5885"/>
    <w:rsid w:val="003D6FE2"/>
    <w:rsid w:val="003D71A7"/>
    <w:rsid w:val="003E7321"/>
    <w:rsid w:val="0040715E"/>
    <w:rsid w:val="00432CCD"/>
    <w:rsid w:val="00442247"/>
    <w:rsid w:val="00450A50"/>
    <w:rsid w:val="00451F02"/>
    <w:rsid w:val="00452EE8"/>
    <w:rsid w:val="00456873"/>
    <w:rsid w:val="00472364"/>
    <w:rsid w:val="00490F10"/>
    <w:rsid w:val="00491D66"/>
    <w:rsid w:val="00491E64"/>
    <w:rsid w:val="004A3B4A"/>
    <w:rsid w:val="004B0D55"/>
    <w:rsid w:val="004E2317"/>
    <w:rsid w:val="004F23B5"/>
    <w:rsid w:val="004F7F2A"/>
    <w:rsid w:val="0050114A"/>
    <w:rsid w:val="00513C90"/>
    <w:rsid w:val="005214CC"/>
    <w:rsid w:val="00525621"/>
    <w:rsid w:val="0052665F"/>
    <w:rsid w:val="00532420"/>
    <w:rsid w:val="00541459"/>
    <w:rsid w:val="00542CDD"/>
    <w:rsid w:val="00555961"/>
    <w:rsid w:val="0056302A"/>
    <w:rsid w:val="005A499F"/>
    <w:rsid w:val="005B781E"/>
    <w:rsid w:val="005C24DC"/>
    <w:rsid w:val="005D66E4"/>
    <w:rsid w:val="00610B36"/>
    <w:rsid w:val="006156A7"/>
    <w:rsid w:val="0062059F"/>
    <w:rsid w:val="0062275C"/>
    <w:rsid w:val="00630E5C"/>
    <w:rsid w:val="0063667E"/>
    <w:rsid w:val="00643A34"/>
    <w:rsid w:val="00644229"/>
    <w:rsid w:val="00645039"/>
    <w:rsid w:val="00652651"/>
    <w:rsid w:val="00662FE3"/>
    <w:rsid w:val="00673A90"/>
    <w:rsid w:val="00686002"/>
    <w:rsid w:val="006A1945"/>
    <w:rsid w:val="006B64B2"/>
    <w:rsid w:val="006B732F"/>
    <w:rsid w:val="006E2333"/>
    <w:rsid w:val="006F69E2"/>
    <w:rsid w:val="00715F31"/>
    <w:rsid w:val="00723B7B"/>
    <w:rsid w:val="00723ED2"/>
    <w:rsid w:val="00737530"/>
    <w:rsid w:val="00751F67"/>
    <w:rsid w:val="007556FB"/>
    <w:rsid w:val="00767E0B"/>
    <w:rsid w:val="00772636"/>
    <w:rsid w:val="00776B8B"/>
    <w:rsid w:val="00781781"/>
    <w:rsid w:val="00785611"/>
    <w:rsid w:val="007902DC"/>
    <w:rsid w:val="007B070A"/>
    <w:rsid w:val="007E4164"/>
    <w:rsid w:val="007E7A67"/>
    <w:rsid w:val="007E7F55"/>
    <w:rsid w:val="007F512E"/>
    <w:rsid w:val="00805230"/>
    <w:rsid w:val="0081643E"/>
    <w:rsid w:val="008207E2"/>
    <w:rsid w:val="008447D7"/>
    <w:rsid w:val="00845A55"/>
    <w:rsid w:val="00845CE2"/>
    <w:rsid w:val="008526AB"/>
    <w:rsid w:val="00855879"/>
    <w:rsid w:val="008579D6"/>
    <w:rsid w:val="008603C9"/>
    <w:rsid w:val="008B274A"/>
    <w:rsid w:val="008B7E85"/>
    <w:rsid w:val="008C085A"/>
    <w:rsid w:val="008D02E8"/>
    <w:rsid w:val="008D0512"/>
    <w:rsid w:val="008F5874"/>
    <w:rsid w:val="008F5D7F"/>
    <w:rsid w:val="00912566"/>
    <w:rsid w:val="009125F4"/>
    <w:rsid w:val="00931A1B"/>
    <w:rsid w:val="00947740"/>
    <w:rsid w:val="009713F6"/>
    <w:rsid w:val="009829BE"/>
    <w:rsid w:val="00990E26"/>
    <w:rsid w:val="009956EA"/>
    <w:rsid w:val="009B4A91"/>
    <w:rsid w:val="009C0DD0"/>
    <w:rsid w:val="009D2E7B"/>
    <w:rsid w:val="009E5D07"/>
    <w:rsid w:val="009F39E4"/>
    <w:rsid w:val="00A11BC5"/>
    <w:rsid w:val="00A42221"/>
    <w:rsid w:val="00A87A5B"/>
    <w:rsid w:val="00A97A9D"/>
    <w:rsid w:val="00AA4281"/>
    <w:rsid w:val="00AA4775"/>
    <w:rsid w:val="00AC5880"/>
    <w:rsid w:val="00AD687A"/>
    <w:rsid w:val="00AD7E34"/>
    <w:rsid w:val="00AE200A"/>
    <w:rsid w:val="00B05EF2"/>
    <w:rsid w:val="00B1412B"/>
    <w:rsid w:val="00B32572"/>
    <w:rsid w:val="00B36C87"/>
    <w:rsid w:val="00B40CDF"/>
    <w:rsid w:val="00B415FE"/>
    <w:rsid w:val="00B42B38"/>
    <w:rsid w:val="00B44C63"/>
    <w:rsid w:val="00B67533"/>
    <w:rsid w:val="00B72963"/>
    <w:rsid w:val="00B736C9"/>
    <w:rsid w:val="00B86379"/>
    <w:rsid w:val="00BB3E15"/>
    <w:rsid w:val="00BC4248"/>
    <w:rsid w:val="00BE7489"/>
    <w:rsid w:val="00C00C32"/>
    <w:rsid w:val="00C04398"/>
    <w:rsid w:val="00C06F31"/>
    <w:rsid w:val="00C1052D"/>
    <w:rsid w:val="00C11BE6"/>
    <w:rsid w:val="00C17911"/>
    <w:rsid w:val="00C239E1"/>
    <w:rsid w:val="00C420F2"/>
    <w:rsid w:val="00C87D4B"/>
    <w:rsid w:val="00C96573"/>
    <w:rsid w:val="00CA46EA"/>
    <w:rsid w:val="00CA68B9"/>
    <w:rsid w:val="00CB16D7"/>
    <w:rsid w:val="00CB4D41"/>
    <w:rsid w:val="00CC26F3"/>
    <w:rsid w:val="00CC516D"/>
    <w:rsid w:val="00CD3A6B"/>
    <w:rsid w:val="00CD6555"/>
    <w:rsid w:val="00CE61BA"/>
    <w:rsid w:val="00CF658E"/>
    <w:rsid w:val="00CF67AB"/>
    <w:rsid w:val="00D0074D"/>
    <w:rsid w:val="00D058A3"/>
    <w:rsid w:val="00D229F9"/>
    <w:rsid w:val="00D25C15"/>
    <w:rsid w:val="00D378F3"/>
    <w:rsid w:val="00D47F1A"/>
    <w:rsid w:val="00D6726B"/>
    <w:rsid w:val="00DA462D"/>
    <w:rsid w:val="00DB1AD6"/>
    <w:rsid w:val="00DC625A"/>
    <w:rsid w:val="00DE31CA"/>
    <w:rsid w:val="00DE3521"/>
    <w:rsid w:val="00DE557D"/>
    <w:rsid w:val="00E110BB"/>
    <w:rsid w:val="00E14D53"/>
    <w:rsid w:val="00E2202B"/>
    <w:rsid w:val="00E30AC4"/>
    <w:rsid w:val="00E334DF"/>
    <w:rsid w:val="00E51CD2"/>
    <w:rsid w:val="00E92BCD"/>
    <w:rsid w:val="00EA7DEF"/>
    <w:rsid w:val="00EB1AAE"/>
    <w:rsid w:val="00EB2F8A"/>
    <w:rsid w:val="00ED130D"/>
    <w:rsid w:val="00ED4C71"/>
    <w:rsid w:val="00EE61DC"/>
    <w:rsid w:val="00EF077D"/>
    <w:rsid w:val="00F2410D"/>
    <w:rsid w:val="00F37362"/>
    <w:rsid w:val="00F42F1F"/>
    <w:rsid w:val="00F72FA2"/>
    <w:rsid w:val="00F73F8E"/>
    <w:rsid w:val="00F9641D"/>
    <w:rsid w:val="00FB01BE"/>
    <w:rsid w:val="00FC431D"/>
    <w:rsid w:val="00FC66E2"/>
    <w:rsid w:val="00FD0604"/>
    <w:rsid w:val="00FD175C"/>
    <w:rsid w:val="00FE772D"/>
    <w:rsid w:val="00FF276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1B22"/>
  <w15:chartTrackingRefBased/>
  <w15:docId w15:val="{8DE0B2D2-4418-4FF0-8BEB-A591E2A4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B415FE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B415FE"/>
    <w:pPr>
      <w:widowControl w:val="0"/>
      <w:suppressAutoHyphens w:val="0"/>
      <w:spacing w:after="100" w:line="360" w:lineRule="auto"/>
      <w:ind w:firstLine="400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052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2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5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94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9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9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0D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DD0"/>
    <w:rPr>
      <w:color w:val="605E5C"/>
      <w:shd w:val="clear" w:color="auto" w:fill="E1DFDD"/>
    </w:rPr>
  </w:style>
  <w:style w:type="paragraph" w:customStyle="1" w:styleId="Default">
    <w:name w:val="Default"/>
    <w:rsid w:val="00AA4775"/>
    <w:pPr>
      <w:autoSpaceDE w:val="0"/>
      <w:autoSpaceDN w:val="0"/>
      <w:adjustRightInd w:val="0"/>
      <w:spacing w:after="0" w:line="240" w:lineRule="auto"/>
    </w:pPr>
    <w:rPr>
      <w:rFonts w:ascii="CiscoSansTT" w:hAnsi="CiscoSansTT" w:cs="CiscoSansT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F021-5CCA-45D0-9CB0-D147307C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L.Fajfer</dc:creator>
  <cp:keywords/>
  <dc:description/>
  <cp:lastModifiedBy>L.Fajfer</cp:lastModifiedBy>
  <cp:revision>46</cp:revision>
  <cp:lastPrinted>2022-09-13T12:13:00Z</cp:lastPrinted>
  <dcterms:created xsi:type="dcterms:W3CDTF">2022-09-13T12:27:00Z</dcterms:created>
  <dcterms:modified xsi:type="dcterms:W3CDTF">2023-05-26T12:08:00Z</dcterms:modified>
</cp:coreProperties>
</file>