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631EB89E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53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FBEC44C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C1BC6">
        <w:rPr>
          <w:rFonts w:ascii="Arial" w:hAnsi="Arial" w:cs="Arial"/>
          <w:b/>
          <w:bCs/>
          <w:sz w:val="22"/>
          <w:szCs w:val="22"/>
        </w:rPr>
        <w:t>produktów medycznych i implantów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DC1BC6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>z art. 108 ust. 1 pkt 5 ustawy Pzp</w:t>
      </w:r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DC1BC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>w zakresie wynikającym z art. 108 ust. 1 pkt 5 ustawy Pzp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DC1BC6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283</cp:revision>
  <cp:lastPrinted>2022-05-19T11:26:00Z</cp:lastPrinted>
  <dcterms:created xsi:type="dcterms:W3CDTF">2021-03-08T08:17:00Z</dcterms:created>
  <dcterms:modified xsi:type="dcterms:W3CDTF">2024-06-25T07:01:00Z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