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AD" w:rsidRPr="0086260C" w:rsidRDefault="003939AD" w:rsidP="00C437FD">
      <w:pPr>
        <w:spacing w:before="120" w:after="120" w:line="120" w:lineRule="atLeast"/>
        <w:jc w:val="both"/>
        <w:rPr>
          <w:rFonts w:ascii="Cambria" w:hAnsi="Cambria"/>
          <w:sz w:val="28"/>
        </w:rPr>
      </w:pPr>
    </w:p>
    <w:p w:rsidR="003939AD" w:rsidRPr="0086260C" w:rsidRDefault="003939AD" w:rsidP="00C437FD">
      <w:pPr>
        <w:spacing w:before="120" w:after="120" w:line="120" w:lineRule="atLeast"/>
        <w:jc w:val="both"/>
        <w:rPr>
          <w:rFonts w:ascii="Cambria" w:hAnsi="Cambria"/>
          <w:sz w:val="28"/>
        </w:rPr>
      </w:pPr>
      <w:r w:rsidRPr="0086260C">
        <w:rPr>
          <w:rFonts w:ascii="Cambria" w:hAnsi="Cambria"/>
          <w:sz w:val="28"/>
        </w:rPr>
        <w:t xml:space="preserve">    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939AD" w:rsidRPr="0086260C" w:rsidTr="0086260C">
        <w:tc>
          <w:tcPr>
            <w:tcW w:w="9356" w:type="dxa"/>
          </w:tcPr>
          <w:p w:rsidR="003939AD" w:rsidRPr="0086260C" w:rsidRDefault="003939AD" w:rsidP="00C437FD">
            <w:pPr>
              <w:spacing w:before="120" w:after="120"/>
              <w:jc w:val="center"/>
              <w:rPr>
                <w:rFonts w:ascii="Cambria" w:hAnsi="Cambria"/>
              </w:rPr>
            </w:pPr>
            <w:r w:rsidRPr="0086260C">
              <w:rPr>
                <w:rFonts w:ascii="Cambria" w:hAnsi="Cambria"/>
              </w:rPr>
              <w:t>Powiatowy Zarząd Dróg w Mławie,</w:t>
            </w:r>
          </w:p>
          <w:p w:rsidR="003939AD" w:rsidRPr="0086260C" w:rsidRDefault="003939AD" w:rsidP="00C437FD">
            <w:pPr>
              <w:spacing w:before="120" w:after="120"/>
              <w:jc w:val="center"/>
              <w:rPr>
                <w:rFonts w:ascii="Cambria" w:hAnsi="Cambria"/>
              </w:rPr>
            </w:pPr>
            <w:r w:rsidRPr="0086260C">
              <w:rPr>
                <w:rFonts w:ascii="Cambria" w:hAnsi="Cambria"/>
              </w:rPr>
              <w:t>06-500 Mława, ul. S. Roweckiego „Grota” 10</w:t>
            </w:r>
          </w:p>
        </w:tc>
      </w:tr>
    </w:tbl>
    <w:p w:rsidR="003939AD" w:rsidRPr="0086260C" w:rsidRDefault="003939AD" w:rsidP="00C437FD">
      <w:pPr>
        <w:spacing w:before="120" w:after="120" w:line="120" w:lineRule="atLeast"/>
        <w:jc w:val="both"/>
        <w:rPr>
          <w:rFonts w:ascii="Cambria" w:hAnsi="Cambria"/>
        </w:rPr>
      </w:pPr>
      <w:r w:rsidRPr="0086260C">
        <w:rPr>
          <w:rFonts w:ascii="Cambria" w:hAnsi="Cambria"/>
        </w:rPr>
        <w:t xml:space="preserve">       </w:t>
      </w: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pStyle w:val="Nagwek4"/>
        <w:spacing w:before="120" w:after="120"/>
        <w:ind w:left="0"/>
        <w:jc w:val="center"/>
        <w:rPr>
          <w:rFonts w:ascii="Cambria" w:hAnsi="Cambria"/>
          <w:b/>
          <w:bCs/>
          <w:sz w:val="32"/>
          <w:u w:val="none"/>
        </w:rPr>
      </w:pPr>
      <w:r w:rsidRPr="0086260C">
        <w:rPr>
          <w:rFonts w:ascii="Cambria" w:hAnsi="Cambria"/>
          <w:b/>
          <w:bCs/>
          <w:sz w:val="32"/>
          <w:u w:val="none"/>
        </w:rPr>
        <w:t>SZCZEGÓŁOWA SPECYFIKACJA TECHNICZNA</w:t>
      </w: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sz w:val="32"/>
        </w:rPr>
      </w:pPr>
      <w:r w:rsidRPr="0086260C">
        <w:rPr>
          <w:rFonts w:ascii="Cambria" w:hAnsi="Cambria"/>
          <w:b/>
          <w:sz w:val="32"/>
        </w:rPr>
        <w:t>D-05.03.0</w:t>
      </w:r>
      <w:r>
        <w:rPr>
          <w:rFonts w:ascii="Cambria" w:hAnsi="Cambria"/>
          <w:b/>
          <w:sz w:val="32"/>
        </w:rPr>
        <w:t>8</w:t>
      </w: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sz w:val="32"/>
        </w:rPr>
      </w:pPr>
      <w:r w:rsidRPr="0086260C">
        <w:rPr>
          <w:rFonts w:ascii="Cambria" w:hAnsi="Cambria"/>
          <w:b/>
          <w:sz w:val="32"/>
        </w:rPr>
        <w:t xml:space="preserve">NAWIERZCHNIE </w:t>
      </w:r>
      <w:r>
        <w:rPr>
          <w:rFonts w:ascii="Cambria" w:hAnsi="Cambria"/>
          <w:b/>
          <w:sz w:val="32"/>
        </w:rPr>
        <w:t>PODWÓJNIE</w:t>
      </w:r>
      <w:r w:rsidRPr="0086260C">
        <w:rPr>
          <w:rFonts w:ascii="Cambria" w:hAnsi="Cambria"/>
          <w:b/>
          <w:sz w:val="32"/>
        </w:rPr>
        <w:t xml:space="preserve"> POWIERZCHNIOWO UTRWALANE</w:t>
      </w: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86260C" w:rsidRDefault="003939AD" w:rsidP="00C437F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</w:rPr>
      </w:pPr>
    </w:p>
    <w:p w:rsidR="003939AD" w:rsidRPr="007D6FF3" w:rsidRDefault="003939AD" w:rsidP="00C437FD">
      <w:pPr>
        <w:spacing w:before="120" w:after="120" w:line="240" w:lineRule="atLeast"/>
        <w:ind w:left="567" w:hanging="567"/>
        <w:jc w:val="center"/>
        <w:rPr>
          <w:rFonts w:ascii="Cambria" w:hAnsi="Cambria"/>
          <w:w w:val="90"/>
        </w:rPr>
      </w:pPr>
      <w:r w:rsidRPr="0086260C">
        <w:rPr>
          <w:rFonts w:ascii="Cambria" w:hAnsi="Cambria"/>
          <w:w w:val="90"/>
        </w:rPr>
        <w:t xml:space="preserve">Mława, </w:t>
      </w:r>
      <w:r>
        <w:rPr>
          <w:rFonts w:ascii="Cambria" w:hAnsi="Cambria"/>
          <w:w w:val="90"/>
        </w:rPr>
        <w:t>czerwiec</w:t>
      </w:r>
      <w:r w:rsidRPr="0086260C">
        <w:rPr>
          <w:rFonts w:ascii="Cambria" w:hAnsi="Cambria"/>
          <w:w w:val="90"/>
        </w:rPr>
        <w:t xml:space="preserve"> 20</w:t>
      </w:r>
      <w:r>
        <w:rPr>
          <w:rFonts w:ascii="Cambria" w:hAnsi="Cambria"/>
          <w:w w:val="90"/>
        </w:rPr>
        <w:t>21</w:t>
      </w:r>
      <w:r w:rsidRPr="0086260C">
        <w:rPr>
          <w:rFonts w:ascii="Cambria" w:hAnsi="Cambria"/>
          <w:w w:val="90"/>
        </w:rPr>
        <w:t xml:space="preserve"> r.</w:t>
      </w:r>
    </w:p>
    <w:p w:rsidR="003939AD" w:rsidRPr="00801AF0" w:rsidRDefault="003939AD" w:rsidP="001817DC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lastRenderedPageBreak/>
        <w:t xml:space="preserve">WSTĘP </w:t>
      </w:r>
    </w:p>
    <w:p w:rsidR="003939AD" w:rsidRPr="0086260C" w:rsidRDefault="003939AD" w:rsidP="001817DC">
      <w:pPr>
        <w:numPr>
          <w:ilvl w:val="1"/>
          <w:numId w:val="12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Przedmiot SST</w:t>
      </w:r>
    </w:p>
    <w:p w:rsidR="003939AD" w:rsidRDefault="003939AD" w:rsidP="001817DC">
      <w:pPr>
        <w:spacing w:before="120" w:after="120"/>
        <w:jc w:val="both"/>
        <w:rPr>
          <w:rFonts w:ascii="Cambria" w:hAnsi="Cambria"/>
        </w:rPr>
      </w:pPr>
      <w:r w:rsidRPr="0086260C">
        <w:rPr>
          <w:rFonts w:ascii="Cambria" w:hAnsi="Cambria"/>
        </w:rPr>
        <w:t xml:space="preserve">Przedmiotem niniejszej SST są wymagania techniczne dotyczące wykonania i odbioru robót związanych z wykonaniem </w:t>
      </w:r>
      <w:r w:rsidRPr="0086260C">
        <w:rPr>
          <w:rFonts w:ascii="Cambria" w:hAnsi="Cambria"/>
          <w:bCs/>
        </w:rPr>
        <w:t xml:space="preserve">odnowy nawierzchni bitumicznych </w:t>
      </w:r>
      <w:r>
        <w:rPr>
          <w:rFonts w:ascii="Cambria" w:hAnsi="Cambria"/>
          <w:bCs/>
        </w:rPr>
        <w:t>po</w:t>
      </w:r>
      <w:r w:rsidRPr="0086260C">
        <w:rPr>
          <w:rFonts w:ascii="Cambria" w:hAnsi="Cambria"/>
          <w:bCs/>
        </w:rPr>
        <w:t xml:space="preserve">przez </w:t>
      </w:r>
      <w:r>
        <w:rPr>
          <w:rFonts w:ascii="Cambria" w:hAnsi="Cambria"/>
          <w:bCs/>
        </w:rPr>
        <w:t>podwójne</w:t>
      </w:r>
      <w:r w:rsidRPr="0086260C">
        <w:rPr>
          <w:rFonts w:ascii="Cambria" w:hAnsi="Cambria"/>
          <w:bCs/>
        </w:rPr>
        <w:t xml:space="preserve"> powierzchniowe utrwalenie nawierzchni bitumicznej na drogach powiatowych </w:t>
      </w:r>
      <w:r w:rsidRPr="0086260C">
        <w:rPr>
          <w:rFonts w:ascii="Cambria" w:hAnsi="Cambria"/>
        </w:rPr>
        <w:t>będących w administracji Powiatowego Zarządu Dróg w Mławie.</w:t>
      </w:r>
    </w:p>
    <w:p w:rsidR="003939AD" w:rsidRDefault="003939AD" w:rsidP="001817DC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Podwójne powierzchniowe utrwalenie zostanie wykonane na następujących odcinkach dróg powiatowych:</w:t>
      </w:r>
    </w:p>
    <w:p w:rsidR="003939AD" w:rsidRPr="00500650" w:rsidRDefault="003939AD" w:rsidP="00500650">
      <w:pPr>
        <w:numPr>
          <w:ilvl w:val="0"/>
          <w:numId w:val="37"/>
        </w:numPr>
        <w:spacing w:before="120" w:after="120"/>
        <w:jc w:val="both"/>
        <w:rPr>
          <w:rFonts w:ascii="Cambria" w:hAnsi="Cambria"/>
          <w:bCs/>
        </w:rPr>
      </w:pPr>
      <w:r w:rsidRPr="00500650">
        <w:rPr>
          <w:rFonts w:ascii="Cambria" w:hAnsi="Cambria"/>
          <w:bCs/>
        </w:rPr>
        <w:t>Droga powiatowa Nr 2341W</w:t>
      </w:r>
      <w:r>
        <w:rPr>
          <w:rFonts w:ascii="Cambria" w:hAnsi="Cambria"/>
          <w:bCs/>
        </w:rPr>
        <w:t xml:space="preserve"> na odcinku </w:t>
      </w:r>
      <w:r w:rsidRPr="00500650">
        <w:rPr>
          <w:rFonts w:ascii="Cambria" w:hAnsi="Cambria"/>
          <w:bCs/>
        </w:rPr>
        <w:t>od km 3+738 do km 9+032</w:t>
      </w:r>
    </w:p>
    <w:p w:rsidR="003939AD" w:rsidRPr="00500650" w:rsidRDefault="003939AD" w:rsidP="00500650">
      <w:pPr>
        <w:numPr>
          <w:ilvl w:val="0"/>
          <w:numId w:val="37"/>
        </w:numPr>
        <w:spacing w:before="120" w:after="120"/>
        <w:jc w:val="both"/>
        <w:rPr>
          <w:rFonts w:ascii="Cambria" w:hAnsi="Cambria"/>
          <w:bCs/>
        </w:rPr>
      </w:pPr>
      <w:r w:rsidRPr="00500650">
        <w:rPr>
          <w:rFonts w:ascii="Cambria" w:hAnsi="Cambria"/>
          <w:bCs/>
        </w:rPr>
        <w:t>Droga powiatowa Nr 2344W</w:t>
      </w:r>
      <w:r>
        <w:rPr>
          <w:rFonts w:ascii="Cambria" w:hAnsi="Cambria"/>
          <w:bCs/>
        </w:rPr>
        <w:t xml:space="preserve">na odcinku </w:t>
      </w:r>
      <w:r w:rsidRPr="00500650">
        <w:rPr>
          <w:rFonts w:ascii="Cambria" w:hAnsi="Cambria"/>
          <w:bCs/>
        </w:rPr>
        <w:t>od km  0+912 do km 1+956</w:t>
      </w:r>
    </w:p>
    <w:p w:rsidR="003939AD" w:rsidRPr="00500650" w:rsidRDefault="003939AD" w:rsidP="00500650">
      <w:pPr>
        <w:numPr>
          <w:ilvl w:val="0"/>
          <w:numId w:val="37"/>
        </w:numPr>
        <w:spacing w:before="120" w:after="120"/>
        <w:jc w:val="both"/>
        <w:rPr>
          <w:rFonts w:ascii="Cambria" w:hAnsi="Cambria"/>
          <w:bCs/>
        </w:rPr>
      </w:pPr>
      <w:r w:rsidRPr="00500650">
        <w:rPr>
          <w:rFonts w:ascii="Cambria" w:hAnsi="Cambria"/>
          <w:bCs/>
        </w:rPr>
        <w:t>Droga powiatowa Nr 2346W</w:t>
      </w:r>
      <w:r>
        <w:rPr>
          <w:rFonts w:ascii="Cambria" w:hAnsi="Cambria"/>
          <w:bCs/>
        </w:rPr>
        <w:t xml:space="preserve"> na odcinku </w:t>
      </w:r>
      <w:r w:rsidRPr="00500650">
        <w:rPr>
          <w:rFonts w:ascii="Cambria" w:hAnsi="Cambria"/>
          <w:bCs/>
        </w:rPr>
        <w:t xml:space="preserve">od km 0+197 do km 0+455               </w:t>
      </w:r>
      <w:r>
        <w:rPr>
          <w:rFonts w:ascii="Cambria" w:hAnsi="Cambria"/>
          <w:bCs/>
        </w:rPr>
        <w:t xml:space="preserve">                             </w:t>
      </w:r>
    </w:p>
    <w:p w:rsidR="003939AD" w:rsidRPr="0086260C" w:rsidRDefault="003939AD" w:rsidP="001817DC">
      <w:pPr>
        <w:numPr>
          <w:ilvl w:val="1"/>
          <w:numId w:val="12"/>
        </w:numPr>
        <w:spacing w:before="120" w:after="120"/>
        <w:ind w:right="-11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Zakres stosowania SST</w:t>
      </w:r>
    </w:p>
    <w:p w:rsidR="003939AD" w:rsidRPr="0086260C" w:rsidRDefault="003939AD" w:rsidP="00500650">
      <w:pPr>
        <w:spacing w:before="120" w:after="120" w:line="240" w:lineRule="atLeast"/>
        <w:jc w:val="both"/>
        <w:rPr>
          <w:rFonts w:ascii="Cambria" w:hAnsi="Cambria"/>
        </w:rPr>
      </w:pPr>
      <w:r w:rsidRPr="0086260C">
        <w:rPr>
          <w:rFonts w:ascii="Cambria" w:hAnsi="Cambria"/>
        </w:rPr>
        <w:t>Niniejsza SST jest stosowana jako Dokument Przetargowy i Kontraktowy przy zleceniu robót wymienionych w pkt. 1.1.</w:t>
      </w:r>
    </w:p>
    <w:p w:rsidR="003939AD" w:rsidRPr="0086260C" w:rsidRDefault="003939AD" w:rsidP="001817DC">
      <w:pPr>
        <w:numPr>
          <w:ilvl w:val="1"/>
          <w:numId w:val="12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Zakres robót objętych SST</w:t>
      </w:r>
    </w:p>
    <w:p w:rsidR="003939AD" w:rsidRDefault="003939AD" w:rsidP="001817DC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</w:rPr>
      </w:pPr>
      <w:r w:rsidRPr="0086260C">
        <w:rPr>
          <w:rFonts w:ascii="Cambria" w:hAnsi="Cambria"/>
        </w:rPr>
        <w:t xml:space="preserve">Zakres robót objętych niniejszą specyfikacją (SST) obejmuje wykonanie </w:t>
      </w:r>
      <w:r>
        <w:rPr>
          <w:rFonts w:ascii="Cambria" w:hAnsi="Cambria"/>
        </w:rPr>
        <w:t>podwójnego</w:t>
      </w:r>
      <w:r w:rsidRPr="0086260C">
        <w:rPr>
          <w:rFonts w:ascii="Cambria" w:hAnsi="Cambria"/>
        </w:rPr>
        <w:t xml:space="preserve"> powierzchniowego utrwalenia nawierzchni dró</w:t>
      </w:r>
      <w:r w:rsidR="00801AF0">
        <w:rPr>
          <w:rFonts w:ascii="Cambria" w:hAnsi="Cambria"/>
        </w:rPr>
        <w:t>g powiatowych w lokalizacjach i </w:t>
      </w:r>
      <w:r w:rsidRPr="0086260C">
        <w:rPr>
          <w:rFonts w:ascii="Cambria" w:hAnsi="Cambria"/>
        </w:rPr>
        <w:t>zakresach podanych w opisie przedmiotu zamówienia</w:t>
      </w:r>
      <w:r>
        <w:rPr>
          <w:rFonts w:ascii="Cambria" w:hAnsi="Cambria"/>
        </w:rPr>
        <w:t xml:space="preserve"> na następujących odcinkach:</w:t>
      </w:r>
    </w:p>
    <w:p w:rsidR="003939AD" w:rsidRPr="00500650" w:rsidRDefault="003939AD" w:rsidP="00500650">
      <w:pPr>
        <w:numPr>
          <w:ilvl w:val="0"/>
          <w:numId w:val="41"/>
        </w:numPr>
        <w:tabs>
          <w:tab w:val="clear" w:pos="615"/>
          <w:tab w:val="num" w:pos="284"/>
        </w:tabs>
        <w:spacing w:before="120" w:after="120"/>
        <w:ind w:hanging="331"/>
        <w:jc w:val="both"/>
        <w:rPr>
          <w:rFonts w:ascii="Cambria" w:hAnsi="Cambria"/>
          <w:bCs/>
        </w:rPr>
      </w:pPr>
      <w:r w:rsidRPr="00500650">
        <w:rPr>
          <w:rFonts w:ascii="Cambria" w:hAnsi="Cambria"/>
          <w:bCs/>
        </w:rPr>
        <w:t>Droga powiatowa Nr 2341W</w:t>
      </w:r>
      <w:r>
        <w:rPr>
          <w:rFonts w:ascii="Cambria" w:hAnsi="Cambria"/>
          <w:bCs/>
        </w:rPr>
        <w:t xml:space="preserve"> na odcinku </w:t>
      </w:r>
      <w:r w:rsidRPr="00500650">
        <w:rPr>
          <w:rFonts w:ascii="Cambria" w:hAnsi="Cambria"/>
          <w:bCs/>
        </w:rPr>
        <w:t>od km 3+738 do km 9+032</w:t>
      </w:r>
    </w:p>
    <w:p w:rsidR="003939AD" w:rsidRPr="00500650" w:rsidRDefault="003939AD" w:rsidP="00500650">
      <w:pPr>
        <w:numPr>
          <w:ilvl w:val="0"/>
          <w:numId w:val="41"/>
        </w:numPr>
        <w:tabs>
          <w:tab w:val="clear" w:pos="615"/>
          <w:tab w:val="num" w:pos="284"/>
        </w:tabs>
        <w:spacing w:before="120" w:after="120"/>
        <w:ind w:hanging="331"/>
        <w:jc w:val="both"/>
        <w:rPr>
          <w:rFonts w:ascii="Cambria" w:hAnsi="Cambria"/>
          <w:bCs/>
        </w:rPr>
      </w:pPr>
      <w:r w:rsidRPr="00500650">
        <w:rPr>
          <w:rFonts w:ascii="Cambria" w:hAnsi="Cambria"/>
          <w:bCs/>
        </w:rPr>
        <w:t>Droga powiatowa Nr 2344W</w:t>
      </w:r>
      <w:r>
        <w:rPr>
          <w:rFonts w:ascii="Cambria" w:hAnsi="Cambria"/>
          <w:bCs/>
        </w:rPr>
        <w:t xml:space="preserve">na odcinku </w:t>
      </w:r>
      <w:r w:rsidRPr="00500650">
        <w:rPr>
          <w:rFonts w:ascii="Cambria" w:hAnsi="Cambria"/>
          <w:bCs/>
        </w:rPr>
        <w:t>od km  0+912 do km 1+956</w:t>
      </w:r>
    </w:p>
    <w:p w:rsidR="003939AD" w:rsidRPr="00500650" w:rsidRDefault="003939AD" w:rsidP="00500650">
      <w:pPr>
        <w:numPr>
          <w:ilvl w:val="0"/>
          <w:numId w:val="41"/>
        </w:numPr>
        <w:tabs>
          <w:tab w:val="clear" w:pos="615"/>
          <w:tab w:val="num" w:pos="284"/>
        </w:tabs>
        <w:spacing w:before="120" w:after="120"/>
        <w:ind w:hanging="331"/>
        <w:jc w:val="both"/>
        <w:rPr>
          <w:rFonts w:ascii="Cambria" w:hAnsi="Cambria"/>
          <w:bCs/>
        </w:rPr>
      </w:pPr>
      <w:r w:rsidRPr="00500650">
        <w:rPr>
          <w:rFonts w:ascii="Cambria" w:hAnsi="Cambria"/>
          <w:bCs/>
        </w:rPr>
        <w:t>Droga powiatowa Nr 2346W</w:t>
      </w:r>
      <w:r>
        <w:rPr>
          <w:rFonts w:ascii="Cambria" w:hAnsi="Cambria"/>
          <w:bCs/>
        </w:rPr>
        <w:t xml:space="preserve"> na odcinku </w:t>
      </w:r>
      <w:r w:rsidRPr="00500650">
        <w:rPr>
          <w:rFonts w:ascii="Cambria" w:hAnsi="Cambria"/>
          <w:bCs/>
        </w:rPr>
        <w:t xml:space="preserve">od km 0+197 do km 0+455               </w:t>
      </w:r>
      <w:r>
        <w:rPr>
          <w:rFonts w:ascii="Cambria" w:hAnsi="Cambria"/>
          <w:bCs/>
        </w:rPr>
        <w:t xml:space="preserve">                             </w:t>
      </w:r>
    </w:p>
    <w:p w:rsidR="003939AD" w:rsidRDefault="003939AD" w:rsidP="00500650">
      <w:pPr>
        <w:numPr>
          <w:ilvl w:val="1"/>
          <w:numId w:val="4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 xml:space="preserve">Określenia podstawowe </w:t>
      </w:r>
    </w:p>
    <w:p w:rsidR="003939AD" w:rsidRPr="006262D8" w:rsidRDefault="003939AD" w:rsidP="00500650">
      <w:pPr>
        <w:numPr>
          <w:ilvl w:val="2"/>
          <w:numId w:val="41"/>
        </w:numPr>
        <w:spacing w:before="120" w:after="120" w:line="24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  <w:bCs/>
        </w:rPr>
        <w:t>Podwójne</w:t>
      </w:r>
      <w:r w:rsidRPr="0086260C">
        <w:rPr>
          <w:rFonts w:ascii="Cambria" w:hAnsi="Cambria"/>
          <w:b/>
          <w:bCs/>
        </w:rPr>
        <w:t xml:space="preserve"> powierzchniowe utrwalenie nawierzchni</w:t>
      </w:r>
    </w:p>
    <w:p w:rsidR="003939AD" w:rsidRPr="0024364D" w:rsidRDefault="003939AD" w:rsidP="001817D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24364D">
        <w:rPr>
          <w:rFonts w:ascii="Cambria" w:hAnsi="Cambria"/>
        </w:rPr>
        <w:t>Podwójne powierzchniowe utrwalenie nawierzchni jest zabiegiem utrzymaniowym polegającym na kolejnym rozło</w:t>
      </w:r>
      <w:r>
        <w:rPr>
          <w:rFonts w:ascii="Cambria" w:hAnsi="Cambria"/>
        </w:rPr>
        <w:t>ż</w:t>
      </w:r>
      <w:r w:rsidRPr="0024364D">
        <w:rPr>
          <w:rFonts w:ascii="Cambria" w:hAnsi="Cambria"/>
        </w:rPr>
        <w:t>eniu:</w:t>
      </w:r>
    </w:p>
    <w:p w:rsidR="003939AD" w:rsidRPr="0024364D" w:rsidRDefault="003939AD" w:rsidP="001817D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24364D">
        <w:rPr>
          <w:rFonts w:ascii="Cambria" w:hAnsi="Cambria"/>
        </w:rPr>
        <w:t>- warstwy lepiszcza,</w:t>
      </w:r>
    </w:p>
    <w:p w:rsidR="003939AD" w:rsidRPr="0024364D" w:rsidRDefault="003939AD" w:rsidP="001817D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24364D">
        <w:rPr>
          <w:rFonts w:ascii="Cambria" w:hAnsi="Cambria"/>
        </w:rPr>
        <w:t>- warstwy kruszywa,</w:t>
      </w:r>
    </w:p>
    <w:p w:rsidR="003939AD" w:rsidRPr="0024364D" w:rsidRDefault="003939AD" w:rsidP="001817D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24364D">
        <w:rPr>
          <w:rFonts w:ascii="Cambria" w:hAnsi="Cambria"/>
        </w:rPr>
        <w:t>- drugiej warstwy lepiszcza,</w:t>
      </w:r>
    </w:p>
    <w:p w:rsidR="003939AD" w:rsidRPr="0024364D" w:rsidRDefault="003939AD" w:rsidP="001817D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24364D">
        <w:rPr>
          <w:rFonts w:ascii="Cambria" w:hAnsi="Cambria"/>
        </w:rPr>
        <w:t>- warstwy drobniejszego kruszywa.</w:t>
      </w:r>
      <w:r w:rsidRPr="0014158B">
        <w:t xml:space="preserve"> </w:t>
      </w:r>
    </w:p>
    <w:p w:rsidR="003939AD" w:rsidRDefault="005A4511" w:rsidP="001817DC">
      <w:pPr>
        <w:spacing w:before="120" w:after="120" w:line="240" w:lineRule="atLeast"/>
        <w:jc w:val="both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809875" cy="1038225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39AD" w:rsidRDefault="003939AD" w:rsidP="001817DC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3939AD" w:rsidRDefault="003939AD" w:rsidP="001817DC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3939AD" w:rsidRPr="0086260C" w:rsidRDefault="003939AD" w:rsidP="001817DC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3939AD" w:rsidRDefault="003939AD" w:rsidP="00500650">
      <w:pPr>
        <w:numPr>
          <w:ilvl w:val="2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Materiały</w:t>
      </w:r>
    </w:p>
    <w:p w:rsidR="003939AD" w:rsidRPr="00364D50" w:rsidRDefault="003939AD" w:rsidP="00500650">
      <w:pPr>
        <w:numPr>
          <w:ilvl w:val="3"/>
          <w:numId w:val="41"/>
        </w:numPr>
        <w:spacing w:before="120" w:after="120" w:line="240" w:lineRule="atLeast"/>
        <w:jc w:val="both"/>
        <w:rPr>
          <w:rFonts w:ascii="Cambria" w:hAnsi="Cambria"/>
          <w:u w:val="single"/>
        </w:rPr>
      </w:pPr>
      <w:r w:rsidRPr="00364D50">
        <w:rPr>
          <w:rFonts w:ascii="Cambria" w:hAnsi="Cambria"/>
          <w:u w:val="single"/>
        </w:rPr>
        <w:t>Asfaltowa emulsja kationowa – jest to lepiszcze bitumiczne w postaci    zawiesiny  rozproszonego asfaltu w wodzie, otrzymana z zastosowaniem emulgatora  kationowego odpowiadająca PN-EN 13808:2013-10.</w:t>
      </w:r>
    </w:p>
    <w:p w:rsidR="003939AD" w:rsidRPr="0086260C" w:rsidRDefault="003939AD" w:rsidP="00500650">
      <w:pPr>
        <w:numPr>
          <w:ilvl w:val="3"/>
          <w:numId w:val="41"/>
        </w:numPr>
        <w:tabs>
          <w:tab w:val="num" w:pos="2160"/>
        </w:tabs>
        <w:spacing w:before="120" w:after="120" w:line="240" w:lineRule="atLeast"/>
        <w:jc w:val="both"/>
        <w:rPr>
          <w:rFonts w:ascii="Cambria" w:hAnsi="Cambria"/>
          <w:b/>
          <w:bCs/>
        </w:rPr>
      </w:pPr>
      <w:r w:rsidRPr="0086260C">
        <w:rPr>
          <w:rFonts w:ascii="Cambria" w:hAnsi="Cambria"/>
        </w:rPr>
        <w:t xml:space="preserve">Grys – kruszywo uzyskane w procesie przeróbki skały litej; łamane granulowane o wielkości ziaren od </w:t>
      </w:r>
      <w:r>
        <w:rPr>
          <w:rFonts w:ascii="Cambria" w:hAnsi="Cambria"/>
        </w:rPr>
        <w:t>5</w:t>
      </w:r>
      <w:r w:rsidRPr="0086260C">
        <w:rPr>
          <w:rFonts w:ascii="Cambria" w:hAnsi="Cambria"/>
        </w:rPr>
        <w:t xml:space="preserve"> do </w:t>
      </w:r>
      <w:smartTag w:uri="urn:schemas-microsoft-com:office:smarttags" w:element="metricconverter">
        <w:smartTagPr>
          <w:attr w:name="ProductID" w:val="8 mm"/>
        </w:smartTagPr>
        <w:r>
          <w:rPr>
            <w:rFonts w:ascii="Cambria" w:hAnsi="Cambria"/>
          </w:rPr>
          <w:t>8</w:t>
        </w:r>
        <w:r w:rsidRPr="0086260C">
          <w:rPr>
            <w:rFonts w:ascii="Cambria" w:hAnsi="Cambria"/>
          </w:rPr>
          <w:t xml:space="preserve"> mm</w:t>
        </w:r>
      </w:smartTag>
      <w:r>
        <w:rPr>
          <w:rFonts w:ascii="Cambria" w:hAnsi="Cambria"/>
        </w:rPr>
        <w:t xml:space="preserve"> oraz od 8 do </w:t>
      </w:r>
      <w:smartTag w:uri="urn:schemas-microsoft-com:office:smarttags" w:element="metricconverter">
        <w:smartTagPr>
          <w:attr w:name="ProductID" w:val="11 mm"/>
        </w:smartTagPr>
        <w:r>
          <w:rPr>
            <w:rFonts w:ascii="Cambria" w:hAnsi="Cambria"/>
          </w:rPr>
          <w:t>11 mm</w:t>
        </w:r>
      </w:smartTag>
      <w:r w:rsidRPr="0086260C">
        <w:rPr>
          <w:rFonts w:ascii="Cambria" w:hAnsi="Cambria"/>
        </w:rPr>
        <w:t>.</w:t>
      </w:r>
    </w:p>
    <w:p w:rsidR="003939AD" w:rsidRDefault="003939AD" w:rsidP="001817DC">
      <w:pPr>
        <w:spacing w:before="120" w:after="120" w:line="240" w:lineRule="atLeast"/>
        <w:ind w:left="720"/>
        <w:jc w:val="both"/>
        <w:rPr>
          <w:rFonts w:ascii="Cambria" w:hAnsi="Cambria"/>
          <w:b/>
          <w:color w:val="000000"/>
          <w:sz w:val="26"/>
          <w:szCs w:val="26"/>
          <w:u w:val="thick"/>
        </w:rPr>
      </w:pPr>
      <w:r w:rsidRPr="0086260C">
        <w:rPr>
          <w:rFonts w:ascii="Cambria" w:hAnsi="Cambria"/>
          <w:b/>
          <w:color w:val="000000"/>
          <w:sz w:val="26"/>
          <w:szCs w:val="26"/>
          <w:u w:val="thick"/>
        </w:rPr>
        <w:t>Nie dopuszcza się stosowania grysów kamiennych bazaltowych.</w:t>
      </w:r>
    </w:p>
    <w:p w:rsidR="003939AD" w:rsidRDefault="003939AD" w:rsidP="001817DC">
      <w:pPr>
        <w:spacing w:before="120" w:after="120" w:line="240" w:lineRule="atLeast"/>
        <w:ind w:left="720"/>
        <w:jc w:val="both"/>
        <w:rPr>
          <w:rFonts w:ascii="Cambria" w:hAnsi="Cambria"/>
          <w:b/>
          <w:color w:val="000000"/>
          <w:sz w:val="26"/>
          <w:szCs w:val="26"/>
          <w:u w:val="thick"/>
        </w:rPr>
      </w:pPr>
    </w:p>
    <w:p w:rsidR="003939AD" w:rsidRDefault="003939AD" w:rsidP="00500650">
      <w:pPr>
        <w:numPr>
          <w:ilvl w:val="2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Pozostałe określenia</w:t>
      </w:r>
    </w:p>
    <w:p w:rsidR="003939AD" w:rsidRPr="00364D50" w:rsidRDefault="003939AD" w:rsidP="00364D50">
      <w:pPr>
        <w:autoSpaceDE w:val="0"/>
        <w:autoSpaceDN w:val="0"/>
        <w:adjustRightInd w:val="0"/>
        <w:spacing w:before="120" w:after="240"/>
        <w:jc w:val="both"/>
        <w:rPr>
          <w:rFonts w:ascii="Cambria" w:hAnsi="Cambria"/>
          <w:bCs/>
        </w:rPr>
      </w:pPr>
      <w:r w:rsidRPr="00C437FD">
        <w:rPr>
          <w:rFonts w:ascii="Cambria" w:hAnsi="Cambria"/>
          <w:bCs/>
        </w:rPr>
        <w:t>Pozostałe określenia podstawowe</w:t>
      </w:r>
      <w:r>
        <w:rPr>
          <w:rFonts w:ascii="Cambria" w:hAnsi="Cambria"/>
          <w:bCs/>
        </w:rPr>
        <w:t xml:space="preserve"> są zgodne z polskimi normami i z definicjami podanymi w SST-D-M-00.00.00 „Wymagania ogólne” punkt 1.4</w:t>
      </w:r>
    </w:p>
    <w:p w:rsidR="003939AD" w:rsidRPr="00C437FD" w:rsidRDefault="003939AD" w:rsidP="00500650">
      <w:pPr>
        <w:numPr>
          <w:ilvl w:val="1"/>
          <w:numId w:val="4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Ogólne wymagania dotyczące robót</w:t>
      </w:r>
    </w:p>
    <w:p w:rsidR="003939AD" w:rsidRDefault="003939AD" w:rsidP="001817DC">
      <w:pPr>
        <w:spacing w:before="120" w:after="120"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t>Wyko</w:t>
      </w:r>
      <w:r w:rsidRPr="0086260C">
        <w:rPr>
          <w:rFonts w:ascii="Cambria" w:hAnsi="Cambria"/>
        </w:rPr>
        <w:t>nawca robót jest odpowiedzialny za ja</w:t>
      </w:r>
      <w:r>
        <w:rPr>
          <w:rFonts w:ascii="Cambria" w:hAnsi="Cambria"/>
        </w:rPr>
        <w:t>kość zastosowanych materiałów i </w:t>
      </w:r>
      <w:r w:rsidRPr="0086260C">
        <w:rPr>
          <w:rFonts w:ascii="Cambria" w:hAnsi="Cambria"/>
        </w:rPr>
        <w:t>wykonanych robót, ich zgodność z wymaganiami podstawowymi w niniejszej SST.</w:t>
      </w:r>
      <w:r>
        <w:rPr>
          <w:rFonts w:ascii="Cambria" w:hAnsi="Cambria"/>
        </w:rPr>
        <w:t xml:space="preserve"> Ogólne wymagania dotyczące robót podano w SST D-M-00.00.00 „Wymagania ogólne” punkt 1.5.</w:t>
      </w:r>
    </w:p>
    <w:p w:rsidR="003939AD" w:rsidRDefault="003939AD" w:rsidP="001817DC">
      <w:pPr>
        <w:spacing w:before="120" w:after="120" w:line="240" w:lineRule="atLeast"/>
        <w:jc w:val="both"/>
        <w:rPr>
          <w:rFonts w:ascii="Cambria" w:hAnsi="Cambria"/>
        </w:rPr>
      </w:pPr>
    </w:p>
    <w:p w:rsidR="003939AD" w:rsidRPr="00364D50" w:rsidRDefault="003939AD" w:rsidP="001817DC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MATERIAŁY</w:t>
      </w:r>
    </w:p>
    <w:p w:rsidR="003939AD" w:rsidRDefault="003939AD" w:rsidP="001817DC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 xml:space="preserve">Ogólne wymagania dotyczące materiałów </w:t>
      </w:r>
    </w:p>
    <w:p w:rsidR="003939AD" w:rsidRPr="0086260C" w:rsidRDefault="003939AD" w:rsidP="001817DC">
      <w:pPr>
        <w:spacing w:before="120" w:after="120" w:line="240" w:lineRule="atLeast"/>
        <w:jc w:val="both"/>
        <w:rPr>
          <w:rFonts w:ascii="Cambria" w:hAnsi="Cambria"/>
        </w:rPr>
      </w:pPr>
      <w:r w:rsidRPr="0086260C">
        <w:rPr>
          <w:rFonts w:ascii="Cambria" w:hAnsi="Cambria"/>
        </w:rPr>
        <w:t>Ogólne wymagania dotyczące materiałów, ich pozy</w:t>
      </w:r>
      <w:r>
        <w:rPr>
          <w:rFonts w:ascii="Cambria" w:hAnsi="Cambria"/>
        </w:rPr>
        <w:t>skiwanie i składowanie podano w </w:t>
      </w:r>
      <w:r w:rsidRPr="0086260C">
        <w:rPr>
          <w:rFonts w:ascii="Cambria" w:hAnsi="Cambria"/>
        </w:rPr>
        <w:t>SST D-M-00.00.00. „Wymagania ogólne” punkt 2.</w:t>
      </w:r>
    </w:p>
    <w:p w:rsidR="003939AD" w:rsidRDefault="003939AD" w:rsidP="001817DC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Kruszywo</w:t>
      </w:r>
    </w:p>
    <w:p w:rsidR="003939AD" w:rsidRDefault="003939AD" w:rsidP="001817DC">
      <w:pPr>
        <w:numPr>
          <w:ilvl w:val="2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Wymagania dotyczące kruszywa</w:t>
      </w:r>
    </w:p>
    <w:p w:rsidR="003939AD" w:rsidRPr="0086260C" w:rsidRDefault="003939AD" w:rsidP="001817DC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Do powierzchniowego utrwalenia należy stosować gry</w:t>
      </w:r>
      <w:r>
        <w:rPr>
          <w:rFonts w:ascii="Cambria" w:hAnsi="Cambria"/>
          <w:iCs/>
          <w:sz w:val="24"/>
        </w:rPr>
        <w:t>sy kamienne granitowe płukane o </w:t>
      </w:r>
      <w:r w:rsidRPr="0086260C">
        <w:rPr>
          <w:rFonts w:ascii="Cambria" w:hAnsi="Cambria"/>
          <w:iCs/>
          <w:sz w:val="24"/>
        </w:rPr>
        <w:t xml:space="preserve">frakcji </w:t>
      </w:r>
      <w:r w:rsidRPr="0086260C">
        <w:rPr>
          <w:rFonts w:ascii="Cambria" w:hAnsi="Cambria"/>
          <w:sz w:val="24"/>
          <w:szCs w:val="24"/>
        </w:rPr>
        <w:t xml:space="preserve">od </w:t>
      </w:r>
      <w:r>
        <w:rPr>
          <w:rFonts w:ascii="Cambria" w:hAnsi="Cambria"/>
          <w:sz w:val="24"/>
          <w:szCs w:val="24"/>
        </w:rPr>
        <w:t>5</w:t>
      </w:r>
      <w:r w:rsidRPr="0086260C">
        <w:rPr>
          <w:rFonts w:ascii="Cambria" w:hAnsi="Cambria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8 mm"/>
        </w:smartTagPr>
        <w:r>
          <w:rPr>
            <w:rFonts w:ascii="Cambria" w:hAnsi="Cambria"/>
            <w:sz w:val="24"/>
            <w:szCs w:val="24"/>
          </w:rPr>
          <w:t>8</w:t>
        </w:r>
        <w:r w:rsidRPr="0086260C">
          <w:rPr>
            <w:rFonts w:ascii="Cambria" w:hAnsi="Cambria"/>
            <w:sz w:val="24"/>
            <w:szCs w:val="24"/>
          </w:rPr>
          <w:t xml:space="preserve"> mm</w:t>
        </w:r>
      </w:smartTag>
      <w:r w:rsidRPr="0086260C">
        <w:rPr>
          <w:rFonts w:ascii="Cambria" w:hAnsi="Cambria"/>
          <w:iCs/>
          <w:sz w:val="24"/>
        </w:rPr>
        <w:t xml:space="preserve"> </w:t>
      </w:r>
      <w:r>
        <w:rPr>
          <w:rFonts w:ascii="Cambria" w:hAnsi="Cambria"/>
          <w:iCs/>
          <w:sz w:val="24"/>
        </w:rPr>
        <w:t xml:space="preserve">i od 8 do </w:t>
      </w:r>
      <w:smartTag w:uri="urn:schemas-microsoft-com:office:smarttags" w:element="metricconverter">
        <w:smartTagPr>
          <w:attr w:name="ProductID" w:val="11 mm"/>
        </w:smartTagPr>
        <w:r>
          <w:rPr>
            <w:rFonts w:ascii="Cambria" w:hAnsi="Cambria"/>
            <w:iCs/>
            <w:sz w:val="24"/>
          </w:rPr>
          <w:t>11 mm</w:t>
        </w:r>
      </w:smartTag>
      <w:r>
        <w:rPr>
          <w:rFonts w:ascii="Cambria" w:hAnsi="Cambria"/>
          <w:iCs/>
          <w:sz w:val="24"/>
        </w:rPr>
        <w:t xml:space="preserve">. </w:t>
      </w:r>
      <w:r w:rsidRPr="0086260C">
        <w:rPr>
          <w:rFonts w:ascii="Cambria" w:hAnsi="Cambria"/>
          <w:iCs/>
          <w:sz w:val="24"/>
        </w:rPr>
        <w:t>kl. I gat .I, spełniające wymagania normy PN–EN 13043</w:t>
      </w:r>
      <w:r>
        <w:rPr>
          <w:rFonts w:ascii="Cambria" w:hAnsi="Cambria"/>
          <w:iCs/>
          <w:sz w:val="24"/>
        </w:rPr>
        <w:t>:2004</w:t>
      </w:r>
      <w:r w:rsidRPr="0086260C">
        <w:rPr>
          <w:rFonts w:ascii="Cambria" w:hAnsi="Cambria"/>
          <w:iCs/>
          <w:sz w:val="24"/>
        </w:rPr>
        <w:t xml:space="preserve"> oraz posiadające orzeczenie laboratoryjne wydane przez uprawnione laboratorium drogowe. Grysy używane do powierzchniowego utrwalenia nawierzchni powinny być czyste i suche. W związku z tym kruszyw</w:t>
      </w:r>
      <w:r>
        <w:rPr>
          <w:rFonts w:ascii="Cambria" w:hAnsi="Cambria"/>
          <w:iCs/>
          <w:sz w:val="24"/>
        </w:rPr>
        <w:t>o nie powinno być składowane na </w:t>
      </w:r>
      <w:r w:rsidRPr="0086260C">
        <w:rPr>
          <w:rFonts w:ascii="Cambria" w:hAnsi="Cambria"/>
          <w:iCs/>
          <w:sz w:val="24"/>
        </w:rPr>
        <w:t>poboczach, lecz dowożone bezpośrednio środkiem transportu i wbudowane.</w:t>
      </w:r>
    </w:p>
    <w:p w:rsidR="003939AD" w:rsidRDefault="003939AD" w:rsidP="001817DC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>
        <w:rPr>
          <w:rFonts w:ascii="Cambria" w:hAnsi="Cambria"/>
          <w:iCs/>
          <w:sz w:val="24"/>
        </w:rPr>
        <w:t>Kruszywo przeznaczone do wbudowania powinno spełniać wymagania zawarte w Tabeli</w:t>
      </w:r>
      <w:r w:rsidRPr="0086260C">
        <w:rPr>
          <w:rFonts w:ascii="Cambria" w:hAnsi="Cambria"/>
          <w:iCs/>
          <w:sz w:val="24"/>
        </w:rPr>
        <w:t xml:space="preserve"> 26 „Wymagane właściwości kruszywa grubego do powierzchniowych utrwaleń” z Wymagań Technicznych WT-1 </w:t>
      </w:r>
      <w:r>
        <w:rPr>
          <w:rFonts w:ascii="Cambria" w:hAnsi="Cambria"/>
          <w:iCs/>
          <w:sz w:val="24"/>
        </w:rPr>
        <w:t xml:space="preserve">2014 </w:t>
      </w:r>
      <w:r w:rsidRPr="0086260C">
        <w:rPr>
          <w:rFonts w:ascii="Cambria" w:hAnsi="Cambria"/>
          <w:iCs/>
          <w:sz w:val="24"/>
        </w:rPr>
        <w:t>„Kruszywa do mieszanek mineralno – asfaltowych i powierzchniowych utrwaleń na drogach krajowych”</w:t>
      </w:r>
      <w:r>
        <w:rPr>
          <w:rFonts w:ascii="Cambria" w:hAnsi="Cambria"/>
          <w:iCs/>
          <w:sz w:val="24"/>
        </w:rPr>
        <w:t>.</w:t>
      </w:r>
    </w:p>
    <w:p w:rsidR="003939AD" w:rsidRDefault="003939AD" w:rsidP="001817DC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>
        <w:rPr>
          <w:rFonts w:ascii="Cambria" w:hAnsi="Cambria"/>
          <w:iCs/>
          <w:sz w:val="24"/>
        </w:rPr>
        <w:t>Tablica 1 Wymagane właściwości kruszywa grubego do powierzchniowych utrwaleń.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2268"/>
      </w:tblGrid>
      <w:tr w:rsidR="003939AD" w:rsidRPr="00AA5B7C" w:rsidTr="00E77F07">
        <w:tc>
          <w:tcPr>
            <w:tcW w:w="4536" w:type="dxa"/>
            <w:vMerge w:val="restart"/>
            <w:vAlign w:val="center"/>
          </w:tcPr>
          <w:p w:rsidR="003939AD" w:rsidRPr="00E77F07" w:rsidRDefault="003939AD" w:rsidP="00E77F07">
            <w:pPr>
              <w:tabs>
                <w:tab w:val="left" w:pos="1924"/>
              </w:tabs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</w:rPr>
              <w:t>Właściwości kruszywa</w:t>
            </w:r>
          </w:p>
        </w:tc>
        <w:tc>
          <w:tcPr>
            <w:tcW w:w="4536" w:type="dxa"/>
            <w:gridSpan w:val="2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</w:rPr>
              <w:t>Wymagania w zależności od kategorii ruchu</w:t>
            </w:r>
          </w:p>
        </w:tc>
      </w:tr>
      <w:tr w:rsidR="003939AD" w:rsidRPr="00AA5B7C" w:rsidTr="00E77F07">
        <w:tc>
          <w:tcPr>
            <w:tcW w:w="4536" w:type="dxa"/>
            <w:vMerge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KR1÷KR2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KR3÷KR4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Uziarnienie według PN-EN 933-1, kategoria nie niższa niż: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G</w:t>
            </w:r>
            <w:r w:rsidRPr="00E77F07">
              <w:rPr>
                <w:rFonts w:ascii="Cambria" w:hAnsi="Cambria" w:cs="Arial"/>
                <w:sz w:val="12"/>
                <w:szCs w:val="12"/>
              </w:rPr>
              <w:t>C</w:t>
            </w:r>
            <w:r w:rsidRPr="00E77F07">
              <w:rPr>
                <w:rFonts w:ascii="Cambria" w:hAnsi="Cambria" w:cs="Arial"/>
                <w:sz w:val="19"/>
                <w:szCs w:val="19"/>
              </w:rPr>
              <w:t>90/20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G</w:t>
            </w:r>
            <w:r w:rsidRPr="00E77F07">
              <w:rPr>
                <w:rFonts w:ascii="Cambria" w:hAnsi="Cambria" w:cs="Arial"/>
                <w:sz w:val="12"/>
                <w:szCs w:val="12"/>
              </w:rPr>
              <w:t>C</w:t>
            </w:r>
            <w:r w:rsidRPr="00E77F07">
              <w:rPr>
                <w:rFonts w:ascii="Cambria" w:hAnsi="Cambria" w:cs="Arial"/>
                <w:sz w:val="19"/>
                <w:szCs w:val="19"/>
              </w:rPr>
              <w:t>90/10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Tolerancja uziarnienia, wymagane kategorie: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G</w:t>
            </w:r>
            <w:r w:rsidRPr="00E77F07">
              <w:rPr>
                <w:rFonts w:ascii="Cambria" w:hAnsi="Cambria" w:cs="Arial"/>
                <w:sz w:val="12"/>
                <w:szCs w:val="12"/>
              </w:rPr>
              <w:t xml:space="preserve">25/15, </w:t>
            </w:r>
            <w:r w:rsidRPr="00E77F07">
              <w:rPr>
                <w:rFonts w:ascii="Cambria" w:hAnsi="Cambria" w:cs="Arial"/>
                <w:sz w:val="19"/>
                <w:szCs w:val="19"/>
              </w:rPr>
              <w:t>G</w:t>
            </w:r>
            <w:r w:rsidRPr="00E77F07">
              <w:rPr>
                <w:rFonts w:ascii="Cambria" w:hAnsi="Cambria" w:cs="Arial"/>
                <w:sz w:val="12"/>
                <w:szCs w:val="12"/>
              </w:rPr>
              <w:t>20/15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G</w:t>
            </w:r>
            <w:r w:rsidRPr="00E77F07">
              <w:rPr>
                <w:rFonts w:ascii="Cambria" w:hAnsi="Cambria" w:cs="Arial"/>
                <w:sz w:val="12"/>
                <w:szCs w:val="12"/>
              </w:rPr>
              <w:t xml:space="preserve">25/15, </w:t>
            </w:r>
            <w:r w:rsidRPr="00E77F07">
              <w:rPr>
                <w:rFonts w:ascii="Cambria" w:hAnsi="Cambria" w:cs="Arial"/>
                <w:sz w:val="19"/>
                <w:szCs w:val="19"/>
              </w:rPr>
              <w:t>G</w:t>
            </w:r>
            <w:r w:rsidRPr="00E77F07">
              <w:rPr>
                <w:rFonts w:ascii="Cambria" w:hAnsi="Cambria" w:cs="Arial"/>
                <w:sz w:val="12"/>
                <w:szCs w:val="12"/>
              </w:rPr>
              <w:t>20/15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Zawartość pyłów według PN-EN 933-1, kategoria nie wyższa niż: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f</w:t>
            </w:r>
            <w:r w:rsidRPr="00E77F07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f</w:t>
            </w:r>
            <w:r w:rsidRPr="00E77F07">
              <w:rPr>
                <w:rFonts w:ascii="Cambria" w:hAnsi="Cambria" w:cs="Arial"/>
                <w:sz w:val="12"/>
                <w:szCs w:val="12"/>
              </w:rPr>
              <w:t>0,5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Kształt kruszywa według PN-EN 933-3 lub według PN-EN 933-4, kategoria nie wyższa niż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FI</w:t>
            </w:r>
            <w:r w:rsidRPr="00E77F07">
              <w:rPr>
                <w:rFonts w:ascii="Cambria" w:hAnsi="Cambria" w:cs="Arial"/>
                <w:sz w:val="12"/>
                <w:szCs w:val="12"/>
              </w:rPr>
              <w:t>25</w:t>
            </w:r>
            <w:r w:rsidRPr="00E77F07">
              <w:rPr>
                <w:rFonts w:ascii="Cambria" w:hAnsi="Cambria" w:cs="Arial"/>
                <w:sz w:val="19"/>
                <w:szCs w:val="19"/>
              </w:rPr>
              <w:t xml:space="preserve"> lub SI</w:t>
            </w:r>
            <w:r w:rsidRPr="00E77F07">
              <w:rPr>
                <w:rFonts w:ascii="Cambria" w:hAnsi="Cambria" w:cs="Arial"/>
                <w:sz w:val="12"/>
                <w:szCs w:val="12"/>
              </w:rPr>
              <w:t>25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FI</w:t>
            </w:r>
            <w:r w:rsidRPr="00E77F07">
              <w:rPr>
                <w:rFonts w:ascii="Cambria" w:hAnsi="Cambria" w:cs="Arial"/>
                <w:sz w:val="12"/>
                <w:szCs w:val="12"/>
              </w:rPr>
              <w:t>20</w:t>
            </w:r>
            <w:r w:rsidRPr="00E77F07">
              <w:rPr>
                <w:rFonts w:ascii="Cambria" w:hAnsi="Cambria" w:cs="Arial"/>
                <w:sz w:val="19"/>
                <w:szCs w:val="19"/>
              </w:rPr>
              <w:t xml:space="preserve"> lub SI</w:t>
            </w:r>
            <w:r w:rsidRPr="00E77F07">
              <w:rPr>
                <w:rFonts w:ascii="Cambria" w:hAnsi="Cambria" w:cs="Arial"/>
                <w:sz w:val="12"/>
                <w:szCs w:val="12"/>
              </w:rPr>
              <w:t>20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Procentowa zawartość ziaren o powierzchni przekruszonej i łamanej w kruszywie grubym według PN-EN 933-5, kategoria nie niższa niż: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C</w:t>
            </w:r>
            <w:r w:rsidRPr="00E77F07">
              <w:rPr>
                <w:rFonts w:ascii="Cambria" w:hAnsi="Cambria" w:cs="Arial"/>
                <w:sz w:val="12"/>
                <w:szCs w:val="12"/>
              </w:rPr>
              <w:t>90/1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C</w:t>
            </w:r>
            <w:r w:rsidRPr="00E77F07">
              <w:rPr>
                <w:rFonts w:ascii="Cambria" w:hAnsi="Cambria" w:cs="Arial"/>
                <w:sz w:val="12"/>
                <w:szCs w:val="12"/>
              </w:rPr>
              <w:t>100/0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Odporność kruszywa na rozdrabnianie według normy PN-EN 1097-2, rozdział 5, badana na kruszywie o wymiarze 10/14; kategoria nie wyższa niż: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LA</w:t>
            </w:r>
            <w:r w:rsidRPr="00E77F07">
              <w:rPr>
                <w:rFonts w:ascii="Cambria" w:hAnsi="Cambria" w:cs="Arial"/>
                <w:sz w:val="12"/>
                <w:szCs w:val="12"/>
              </w:rPr>
              <w:t>25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LA</w:t>
            </w:r>
            <w:r w:rsidRPr="00E77F07">
              <w:rPr>
                <w:rFonts w:ascii="Cambria" w:hAnsi="Cambria" w:cs="Arial"/>
                <w:sz w:val="12"/>
                <w:szCs w:val="12"/>
              </w:rPr>
              <w:t>20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Odporność na polerowanie kruszywa (badana na normowej frakcji kruszywa do mieszanki mineralno-asfaltowej) według PN-EN 1097-8, kategoria nie niższa niż: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PSV</w:t>
            </w:r>
            <w:r w:rsidRPr="00E77F07">
              <w:rPr>
                <w:rFonts w:ascii="Cambria" w:hAnsi="Cambria" w:cs="Arial"/>
                <w:sz w:val="12"/>
                <w:szCs w:val="12"/>
              </w:rPr>
              <w:t>44</w:t>
            </w:r>
          </w:p>
        </w:tc>
        <w:tc>
          <w:tcPr>
            <w:tcW w:w="2268" w:type="dxa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PSV</w:t>
            </w:r>
            <w:r w:rsidRPr="00E77F07">
              <w:rPr>
                <w:rFonts w:ascii="Cambria" w:hAnsi="Cambria" w:cs="Arial"/>
                <w:sz w:val="12"/>
                <w:szCs w:val="12"/>
              </w:rPr>
              <w:t>50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Gęstość ziaren według PN-EN 1097-6, rozdział 7, 8 lub 9:</w:t>
            </w:r>
          </w:p>
        </w:tc>
        <w:tc>
          <w:tcPr>
            <w:tcW w:w="4536" w:type="dxa"/>
            <w:gridSpan w:val="2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deklarowana przez producenta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lastRenderedPageBreak/>
              <w:t>Nasiąkliwość według PN-EN 1097-6, rozdz. 7, 8 lub 9:</w:t>
            </w:r>
          </w:p>
        </w:tc>
        <w:tc>
          <w:tcPr>
            <w:tcW w:w="4536" w:type="dxa"/>
            <w:gridSpan w:val="2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deklarowana przez producenta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Mrozoodporność według PN-EN 1367-6 w 1% NaCl, wartość F</w:t>
            </w:r>
            <w:r w:rsidRPr="00E77F07">
              <w:rPr>
                <w:rFonts w:ascii="Cambria" w:hAnsi="Cambria" w:cs="Arial"/>
                <w:sz w:val="11"/>
                <w:szCs w:val="11"/>
              </w:rPr>
              <w:t>NaCl</w:t>
            </w:r>
            <w:r w:rsidRPr="00E77F07">
              <w:rPr>
                <w:rFonts w:ascii="Cambria" w:hAnsi="Cambria" w:cs="Arial"/>
                <w:sz w:val="18"/>
                <w:szCs w:val="18"/>
              </w:rPr>
              <w:t xml:space="preserve"> nie wyższa niż:</w:t>
            </w:r>
          </w:p>
        </w:tc>
        <w:tc>
          <w:tcPr>
            <w:tcW w:w="4536" w:type="dxa"/>
            <w:gridSpan w:val="2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7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„Zgorzel słoneczna” bazaltu według PN-EN 1367-3, wymagana kategoria:</w:t>
            </w:r>
          </w:p>
        </w:tc>
        <w:tc>
          <w:tcPr>
            <w:tcW w:w="4536" w:type="dxa"/>
            <w:gridSpan w:val="2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SB</w:t>
            </w:r>
            <w:r w:rsidRPr="00E77F07">
              <w:rPr>
                <w:rFonts w:ascii="Cambria" w:hAnsi="Cambria" w:cs="Arial"/>
                <w:sz w:val="12"/>
                <w:szCs w:val="12"/>
              </w:rPr>
              <w:t>LA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Skład chemiczny - uproszczony opis petrograficzny według PN-EN 932-3:</w:t>
            </w:r>
          </w:p>
        </w:tc>
        <w:tc>
          <w:tcPr>
            <w:tcW w:w="4536" w:type="dxa"/>
            <w:gridSpan w:val="2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deklarowany przez producenta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Grube zanieczyszczenia lekkie według PN-EN 1744-1 p.14.2, kategoria nie wyższa niż:</w:t>
            </w:r>
          </w:p>
        </w:tc>
        <w:tc>
          <w:tcPr>
            <w:tcW w:w="4536" w:type="dxa"/>
            <w:gridSpan w:val="2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m</w:t>
            </w:r>
            <w:r w:rsidRPr="00E77F07">
              <w:rPr>
                <w:rFonts w:ascii="Cambria" w:hAnsi="Cambria" w:cs="Arial"/>
                <w:sz w:val="12"/>
                <w:szCs w:val="12"/>
              </w:rPr>
              <w:t>LPC</w:t>
            </w:r>
            <w:r w:rsidRPr="00E77F07">
              <w:rPr>
                <w:rFonts w:ascii="Cambria" w:hAnsi="Cambria" w:cs="Arial"/>
                <w:sz w:val="19"/>
                <w:szCs w:val="19"/>
              </w:rPr>
              <w:t>0,1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Rozpad krzemianu dwuwapniowego w kruszywie z żużla wielkopiecowego chłodzonego powietrzem według PN-EN 1744-1, p. 19.1:</w:t>
            </w:r>
          </w:p>
        </w:tc>
        <w:tc>
          <w:tcPr>
            <w:tcW w:w="4536" w:type="dxa"/>
            <w:gridSpan w:val="2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wymagana odporność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Rozpad związków żelaza w kruszywie z żużla wielkopiecowego chłodzonego powietrzem według PN-EN 1744-1, p. 19.2:</w:t>
            </w:r>
          </w:p>
        </w:tc>
        <w:tc>
          <w:tcPr>
            <w:tcW w:w="4536" w:type="dxa"/>
            <w:gridSpan w:val="2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wymagana odporność</w:t>
            </w:r>
          </w:p>
        </w:tc>
      </w:tr>
      <w:tr w:rsidR="003939AD" w:rsidRPr="00AA5B7C" w:rsidTr="00E77F07">
        <w:tc>
          <w:tcPr>
            <w:tcW w:w="4536" w:type="dxa"/>
            <w:vAlign w:val="center"/>
          </w:tcPr>
          <w:p w:rsidR="003939AD" w:rsidRPr="00E77F07" w:rsidRDefault="003939AD" w:rsidP="00C10E7D">
            <w:pPr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8"/>
                <w:szCs w:val="18"/>
              </w:rPr>
              <w:t>Stałość objętości kruszywa z żużla stalowniczego według PN-EN 1744-1, p. 19.3; kategoria nie wyższa niż:</w:t>
            </w:r>
          </w:p>
        </w:tc>
        <w:tc>
          <w:tcPr>
            <w:tcW w:w="4536" w:type="dxa"/>
            <w:gridSpan w:val="2"/>
            <w:vAlign w:val="center"/>
          </w:tcPr>
          <w:p w:rsidR="003939AD" w:rsidRPr="00E77F07" w:rsidRDefault="003939AD" w:rsidP="00E77F07">
            <w:pPr>
              <w:jc w:val="center"/>
              <w:rPr>
                <w:rFonts w:ascii="Cambria" w:hAnsi="Cambria"/>
              </w:rPr>
            </w:pPr>
            <w:r w:rsidRPr="00E77F07">
              <w:rPr>
                <w:rFonts w:ascii="Cambria" w:hAnsi="Cambria" w:cs="Arial"/>
                <w:sz w:val="19"/>
                <w:szCs w:val="19"/>
              </w:rPr>
              <w:t>V</w:t>
            </w:r>
            <w:r w:rsidRPr="00E77F07">
              <w:rPr>
                <w:rFonts w:ascii="Cambria" w:hAnsi="Cambria" w:cs="Arial"/>
                <w:sz w:val="12"/>
                <w:szCs w:val="12"/>
              </w:rPr>
              <w:t>3,5</w:t>
            </w:r>
          </w:p>
        </w:tc>
      </w:tr>
    </w:tbl>
    <w:p w:rsidR="003939AD" w:rsidRDefault="003939AD" w:rsidP="001817DC">
      <w:pPr>
        <w:numPr>
          <w:ilvl w:val="2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Składowanie kruszyw</w:t>
      </w:r>
    </w:p>
    <w:p w:rsidR="003939AD" w:rsidRPr="004B0632" w:rsidRDefault="003939AD" w:rsidP="001817DC">
      <w:pPr>
        <w:spacing w:before="120" w:after="120"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t>Wykonawca zapewni składowanie kruszyw na składowiskach zlokalizowanych jak najbliżej wykonywanego odcinka powierzchniowego utrwalenia. nie dopuszcza się składowania kruszywa na poboczu drogi.</w:t>
      </w:r>
    </w:p>
    <w:p w:rsidR="003939AD" w:rsidRDefault="003939AD" w:rsidP="001817DC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Lepiszcza</w:t>
      </w:r>
    </w:p>
    <w:p w:rsidR="003939AD" w:rsidRPr="0086260C" w:rsidRDefault="003939AD" w:rsidP="001817DC">
      <w:pPr>
        <w:pStyle w:val="Tekstpodstawowy"/>
        <w:spacing w:before="120" w:after="120"/>
        <w:jc w:val="both"/>
        <w:rPr>
          <w:rFonts w:ascii="Cambria" w:hAnsi="Cambria"/>
          <w:iCs/>
          <w:color w:val="FF6600"/>
          <w:sz w:val="24"/>
        </w:rPr>
      </w:pPr>
      <w:r w:rsidRPr="0086260C">
        <w:rPr>
          <w:rFonts w:ascii="Cambria" w:hAnsi="Cambria"/>
          <w:iCs/>
          <w:sz w:val="24"/>
        </w:rPr>
        <w:t xml:space="preserve">Do powierzchniowego utrwalenia należy zastosować </w:t>
      </w:r>
      <w:r w:rsidR="00801AF0">
        <w:rPr>
          <w:rFonts w:ascii="Cambria" w:hAnsi="Cambria"/>
          <w:iCs/>
          <w:sz w:val="24"/>
        </w:rPr>
        <w:t xml:space="preserve">modyfikowaną </w:t>
      </w:r>
      <w:r w:rsidRPr="0086260C">
        <w:rPr>
          <w:rFonts w:ascii="Cambria" w:hAnsi="Cambria"/>
          <w:iCs/>
          <w:sz w:val="24"/>
        </w:rPr>
        <w:t xml:space="preserve">emulsję kationową </w:t>
      </w:r>
      <w:r w:rsidRPr="00801AF0">
        <w:rPr>
          <w:rFonts w:ascii="Cambria" w:hAnsi="Cambria"/>
          <w:iCs/>
          <w:sz w:val="24"/>
        </w:rPr>
        <w:t>szybkorozpadową C69 B</w:t>
      </w:r>
      <w:r w:rsidR="00801AF0" w:rsidRPr="00801AF0">
        <w:rPr>
          <w:rFonts w:ascii="Cambria" w:hAnsi="Cambria"/>
          <w:iCs/>
          <w:sz w:val="24"/>
        </w:rPr>
        <w:t>P</w:t>
      </w:r>
      <w:r w:rsidRPr="00801AF0">
        <w:rPr>
          <w:rFonts w:ascii="Cambria" w:hAnsi="Cambria"/>
          <w:iCs/>
          <w:sz w:val="24"/>
        </w:rPr>
        <w:t>3 PU</w:t>
      </w:r>
      <w:r>
        <w:rPr>
          <w:rFonts w:ascii="Cambria" w:hAnsi="Cambria"/>
          <w:iCs/>
          <w:sz w:val="24"/>
        </w:rPr>
        <w:t xml:space="preserve">  zgodnie z wymogami Wymagań  Technicznych</w:t>
      </w:r>
      <w:r w:rsidRPr="0086260C">
        <w:rPr>
          <w:rFonts w:ascii="Cambria" w:hAnsi="Cambria"/>
          <w:iCs/>
          <w:sz w:val="24"/>
        </w:rPr>
        <w:t xml:space="preserve"> WT-3 2009- </w:t>
      </w:r>
      <w:r>
        <w:rPr>
          <w:rFonts w:ascii="Cambria" w:hAnsi="Cambria"/>
          <w:iCs/>
          <w:sz w:val="24"/>
        </w:rPr>
        <w:t>„</w:t>
      </w:r>
      <w:r w:rsidRPr="0086260C">
        <w:rPr>
          <w:rFonts w:ascii="Cambria" w:hAnsi="Cambria"/>
          <w:iCs/>
          <w:sz w:val="24"/>
        </w:rPr>
        <w:t>Kationowe emulsje asfaltowe na drogach publicznych”</w:t>
      </w:r>
      <w:r w:rsidR="00801AF0">
        <w:rPr>
          <w:rFonts w:ascii="Cambria" w:hAnsi="Cambria"/>
          <w:iCs/>
          <w:sz w:val="24"/>
        </w:rPr>
        <w:t>. Lepiszcza używane do </w:t>
      </w:r>
      <w:r>
        <w:rPr>
          <w:rFonts w:ascii="Cambria" w:hAnsi="Cambria"/>
          <w:iCs/>
          <w:sz w:val="24"/>
        </w:rPr>
        <w:t>powierzchniowego utrwalenia powinny odpowiadać wymaganiom normy PN–EN 13808:2013-10.</w:t>
      </w:r>
    </w:p>
    <w:p w:rsidR="003939AD" w:rsidRPr="0086260C" w:rsidRDefault="003939AD" w:rsidP="001817DC">
      <w:pPr>
        <w:tabs>
          <w:tab w:val="left" w:pos="993"/>
        </w:tabs>
        <w:spacing w:before="120" w:after="120"/>
        <w:jc w:val="both"/>
        <w:rPr>
          <w:rFonts w:ascii="Cambria" w:hAnsi="Cambria"/>
        </w:rPr>
      </w:pPr>
      <w:r w:rsidRPr="0086260C">
        <w:rPr>
          <w:rFonts w:ascii="Cambria" w:hAnsi="Cambria"/>
        </w:rPr>
        <w:t>Tablica 2. Wymagania dotyczące kationowych emul</w:t>
      </w:r>
      <w:r w:rsidR="00801AF0">
        <w:rPr>
          <w:rFonts w:ascii="Cambria" w:hAnsi="Cambria"/>
        </w:rPr>
        <w:t>sji asfaltowych, stosowanych do </w:t>
      </w:r>
      <w:r w:rsidRPr="0086260C">
        <w:rPr>
          <w:rFonts w:ascii="Cambria" w:hAnsi="Cambria"/>
        </w:rPr>
        <w:t>powierzchniowych utrwaleń</w:t>
      </w:r>
      <w:r>
        <w:rPr>
          <w:rFonts w:ascii="Cambria" w:hAnsi="Cambria"/>
        </w:rPr>
        <w:t>.</w:t>
      </w: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1996"/>
        <w:gridCol w:w="1244"/>
        <w:gridCol w:w="900"/>
        <w:gridCol w:w="1285"/>
      </w:tblGrid>
      <w:tr w:rsidR="003939AD" w:rsidRPr="0014158B" w:rsidTr="0014158B">
        <w:trPr>
          <w:trHeight w:val="187"/>
          <w:jc w:val="center"/>
        </w:trPr>
        <w:tc>
          <w:tcPr>
            <w:tcW w:w="3194" w:type="dxa"/>
            <w:vMerge w:val="restart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Wymagania techniczne</w:t>
            </w:r>
          </w:p>
        </w:tc>
        <w:tc>
          <w:tcPr>
            <w:tcW w:w="1996" w:type="dxa"/>
            <w:vMerge w:val="restart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Metoda badań według normy</w:t>
            </w:r>
          </w:p>
        </w:tc>
        <w:tc>
          <w:tcPr>
            <w:tcW w:w="1244" w:type="dxa"/>
            <w:vMerge w:val="restart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Jednostka</w:t>
            </w:r>
          </w:p>
        </w:tc>
        <w:tc>
          <w:tcPr>
            <w:tcW w:w="2185" w:type="dxa"/>
            <w:gridSpan w:val="2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801AF0">
              <w:rPr>
                <w:rFonts w:ascii="Cambria" w:hAnsi="Cambria"/>
                <w:sz w:val="20"/>
                <w:szCs w:val="20"/>
              </w:rPr>
              <w:t>C69 B</w:t>
            </w:r>
            <w:r w:rsidR="00801AF0" w:rsidRPr="00801AF0">
              <w:rPr>
                <w:rFonts w:ascii="Cambria" w:hAnsi="Cambria"/>
                <w:sz w:val="20"/>
                <w:szCs w:val="20"/>
              </w:rPr>
              <w:t>P</w:t>
            </w:r>
            <w:r w:rsidRPr="00801AF0">
              <w:rPr>
                <w:rFonts w:ascii="Cambria" w:hAnsi="Cambria"/>
                <w:sz w:val="20"/>
                <w:szCs w:val="20"/>
              </w:rPr>
              <w:t>3 PU</w:t>
            </w:r>
          </w:p>
        </w:tc>
      </w:tr>
      <w:tr w:rsidR="003939AD" w:rsidRPr="0014158B" w:rsidTr="0014158B">
        <w:trPr>
          <w:jc w:val="center"/>
        </w:trPr>
        <w:tc>
          <w:tcPr>
            <w:tcW w:w="3194" w:type="dxa"/>
            <w:vMerge/>
          </w:tcPr>
          <w:p w:rsidR="003939AD" w:rsidRPr="0014158B" w:rsidRDefault="003939A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3939AD" w:rsidRPr="0014158B" w:rsidRDefault="003939A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3939AD" w:rsidRPr="0014158B" w:rsidRDefault="003939AD" w:rsidP="00C437F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9AD" w:rsidRPr="0014158B" w:rsidRDefault="003939AD" w:rsidP="00C437F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Klasa</w:t>
            </w:r>
          </w:p>
        </w:tc>
        <w:tc>
          <w:tcPr>
            <w:tcW w:w="1285" w:type="dxa"/>
          </w:tcPr>
          <w:p w:rsidR="003939AD" w:rsidRPr="0014158B" w:rsidRDefault="003939AD" w:rsidP="00C437F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Zakres wartości</w:t>
            </w:r>
          </w:p>
        </w:tc>
      </w:tr>
      <w:tr w:rsidR="003939AD" w:rsidRPr="0014158B" w:rsidTr="0014158B">
        <w:trPr>
          <w:jc w:val="center"/>
        </w:trPr>
        <w:tc>
          <w:tcPr>
            <w:tcW w:w="3194" w:type="dxa"/>
          </w:tcPr>
          <w:p w:rsidR="003939AD" w:rsidRPr="0014158B" w:rsidRDefault="003939A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Indeks rozpadu</w:t>
            </w:r>
          </w:p>
        </w:tc>
        <w:tc>
          <w:tcPr>
            <w:tcW w:w="1996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PN-EN</w:t>
            </w:r>
          </w:p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13075-1 [22]</w:t>
            </w:r>
          </w:p>
        </w:tc>
        <w:tc>
          <w:tcPr>
            <w:tcW w:w="1244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3 lub 4</w:t>
            </w:r>
          </w:p>
        </w:tc>
        <w:tc>
          <w:tcPr>
            <w:tcW w:w="1285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50 do 100</w:t>
            </w:r>
          </w:p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lub</w:t>
            </w:r>
          </w:p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70 do 130</w:t>
            </w:r>
          </w:p>
        </w:tc>
      </w:tr>
      <w:tr w:rsidR="003939AD" w:rsidRPr="0014158B" w:rsidTr="0014158B">
        <w:trPr>
          <w:jc w:val="center"/>
        </w:trPr>
        <w:tc>
          <w:tcPr>
            <w:tcW w:w="3194" w:type="dxa"/>
          </w:tcPr>
          <w:p w:rsidR="003939AD" w:rsidRPr="0014158B" w:rsidRDefault="003939A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Zawartość lepiszcza</w:t>
            </w:r>
          </w:p>
        </w:tc>
        <w:tc>
          <w:tcPr>
            <w:tcW w:w="1996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PN-EN 1428 [15]</w:t>
            </w:r>
          </w:p>
        </w:tc>
        <w:tc>
          <w:tcPr>
            <w:tcW w:w="1244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%(m/m)</w:t>
            </w:r>
          </w:p>
        </w:tc>
        <w:tc>
          <w:tcPr>
            <w:tcW w:w="900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285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67 do 71</w:t>
            </w:r>
          </w:p>
        </w:tc>
      </w:tr>
      <w:tr w:rsidR="003939AD" w:rsidRPr="0014158B" w:rsidTr="0014158B">
        <w:trPr>
          <w:jc w:val="center"/>
        </w:trPr>
        <w:tc>
          <w:tcPr>
            <w:tcW w:w="3194" w:type="dxa"/>
          </w:tcPr>
          <w:p w:rsidR="003939AD" w:rsidRPr="0014158B" w:rsidRDefault="003939A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 xml:space="preserve">Czas wypływu dla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14158B">
                <w:rPr>
                  <w:rFonts w:ascii="Cambria" w:hAnsi="Cambria"/>
                  <w:sz w:val="20"/>
                  <w:szCs w:val="20"/>
                </w:rPr>
                <w:t>2 mm</w:t>
              </w:r>
            </w:smartTag>
            <w:r w:rsidRPr="0014158B">
              <w:rPr>
                <w:rFonts w:ascii="Cambria" w:hAnsi="Cambria"/>
                <w:sz w:val="20"/>
                <w:szCs w:val="20"/>
              </w:rPr>
              <w:t xml:space="preserve"> w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14158B">
                <w:rPr>
                  <w:rFonts w:ascii="Cambria" w:hAnsi="Cambria"/>
                  <w:sz w:val="20"/>
                  <w:szCs w:val="20"/>
                </w:rPr>
                <w:t>40°C</w:t>
              </w:r>
            </w:smartTag>
          </w:p>
        </w:tc>
        <w:tc>
          <w:tcPr>
            <w:tcW w:w="1996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PN-EN 12846 [19]</w:t>
            </w:r>
          </w:p>
        </w:tc>
        <w:tc>
          <w:tcPr>
            <w:tcW w:w="1244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900" w:type="dxa"/>
            <w:vAlign w:val="center"/>
          </w:tcPr>
          <w:p w:rsidR="003939AD" w:rsidRPr="0014158B" w:rsidRDefault="003939AD" w:rsidP="003036D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3939AD" w:rsidRPr="0014158B" w:rsidRDefault="003939AD" w:rsidP="003036D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TBR</w:t>
            </w:r>
          </w:p>
        </w:tc>
      </w:tr>
      <w:tr w:rsidR="003939AD" w:rsidRPr="0014158B" w:rsidTr="0014158B">
        <w:trPr>
          <w:jc w:val="center"/>
        </w:trPr>
        <w:tc>
          <w:tcPr>
            <w:tcW w:w="3194" w:type="dxa"/>
          </w:tcPr>
          <w:p w:rsidR="003939AD" w:rsidRPr="0014158B" w:rsidRDefault="003939A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 xml:space="preserve">Czas wypływu dla Ø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14158B">
                <w:rPr>
                  <w:rFonts w:ascii="Cambria" w:hAnsi="Cambria"/>
                  <w:sz w:val="20"/>
                  <w:szCs w:val="20"/>
                </w:rPr>
                <w:t>4 mm</w:t>
              </w:r>
            </w:smartTag>
            <w:r w:rsidRPr="0014158B">
              <w:rPr>
                <w:rFonts w:ascii="Cambria" w:hAnsi="Cambria"/>
                <w:sz w:val="20"/>
                <w:szCs w:val="20"/>
              </w:rPr>
              <w:t xml:space="preserve"> w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14158B">
                <w:rPr>
                  <w:rFonts w:ascii="Cambria" w:hAnsi="Cambria"/>
                  <w:sz w:val="20"/>
                  <w:szCs w:val="20"/>
                </w:rPr>
                <w:t>40°C</w:t>
              </w:r>
            </w:smartTag>
          </w:p>
        </w:tc>
        <w:tc>
          <w:tcPr>
            <w:tcW w:w="1996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PN-EN 12846 [19]</w:t>
            </w:r>
          </w:p>
        </w:tc>
        <w:tc>
          <w:tcPr>
            <w:tcW w:w="1244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900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TBR</w:t>
            </w:r>
          </w:p>
        </w:tc>
      </w:tr>
      <w:tr w:rsidR="003939AD" w:rsidRPr="0014158B" w:rsidTr="0014158B">
        <w:trPr>
          <w:jc w:val="center"/>
        </w:trPr>
        <w:tc>
          <w:tcPr>
            <w:tcW w:w="3194" w:type="dxa"/>
          </w:tcPr>
          <w:p w:rsidR="003939AD" w:rsidRPr="0014158B" w:rsidRDefault="003939A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 xml:space="preserve">Pozostałość na sicie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14158B">
                <w:rPr>
                  <w:rFonts w:ascii="Cambria" w:hAnsi="Cambria"/>
                  <w:sz w:val="20"/>
                  <w:szCs w:val="20"/>
                </w:rPr>
                <w:t>0,5 mm</w:t>
              </w:r>
            </w:smartTag>
          </w:p>
        </w:tc>
        <w:tc>
          <w:tcPr>
            <w:tcW w:w="1996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PN-EN 1429 [16]</w:t>
            </w:r>
          </w:p>
        </w:tc>
        <w:tc>
          <w:tcPr>
            <w:tcW w:w="1244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%(m/m)</w:t>
            </w:r>
          </w:p>
        </w:tc>
        <w:tc>
          <w:tcPr>
            <w:tcW w:w="900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≤ 0,2</w:t>
            </w:r>
          </w:p>
        </w:tc>
      </w:tr>
      <w:tr w:rsidR="003939AD" w:rsidRPr="0014158B" w:rsidTr="0014158B">
        <w:trPr>
          <w:jc w:val="center"/>
        </w:trPr>
        <w:tc>
          <w:tcPr>
            <w:tcW w:w="3194" w:type="dxa"/>
          </w:tcPr>
          <w:p w:rsidR="003939AD" w:rsidRPr="0014158B" w:rsidRDefault="003939A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Trwałość po 7 dniach</w:t>
            </w:r>
            <w:r>
              <w:rPr>
                <w:rFonts w:ascii="Cambria" w:hAnsi="Cambria"/>
                <w:sz w:val="20"/>
                <w:szCs w:val="20"/>
              </w:rPr>
              <w:t xml:space="preserve"> maga</w:t>
            </w:r>
            <w:r w:rsidRPr="0014158B">
              <w:rPr>
                <w:rFonts w:ascii="Cambria" w:hAnsi="Cambria"/>
                <w:sz w:val="20"/>
                <w:szCs w:val="20"/>
              </w:rPr>
              <w:t>zynowania</w:t>
            </w:r>
          </w:p>
        </w:tc>
        <w:tc>
          <w:tcPr>
            <w:tcW w:w="1996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PN-EN 1429 [16]</w:t>
            </w:r>
          </w:p>
        </w:tc>
        <w:tc>
          <w:tcPr>
            <w:tcW w:w="1244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%(m/m)</w:t>
            </w:r>
          </w:p>
        </w:tc>
        <w:tc>
          <w:tcPr>
            <w:tcW w:w="900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≤ 0,5</w:t>
            </w:r>
          </w:p>
        </w:tc>
      </w:tr>
      <w:tr w:rsidR="003939AD" w:rsidRPr="0014158B" w:rsidTr="0014158B">
        <w:trPr>
          <w:jc w:val="center"/>
        </w:trPr>
        <w:tc>
          <w:tcPr>
            <w:tcW w:w="3194" w:type="dxa"/>
          </w:tcPr>
          <w:p w:rsidR="003939AD" w:rsidRPr="0014158B" w:rsidRDefault="003939A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Sedymentacja</w:t>
            </w:r>
          </w:p>
        </w:tc>
        <w:tc>
          <w:tcPr>
            <w:tcW w:w="1996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PN-EN 12847 [20]</w:t>
            </w:r>
          </w:p>
        </w:tc>
        <w:tc>
          <w:tcPr>
            <w:tcW w:w="1244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%(m/m)</w:t>
            </w:r>
          </w:p>
        </w:tc>
        <w:tc>
          <w:tcPr>
            <w:tcW w:w="900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TBR</w:t>
            </w:r>
          </w:p>
        </w:tc>
      </w:tr>
      <w:tr w:rsidR="003939AD" w:rsidRPr="0014158B" w:rsidTr="0014158B">
        <w:trPr>
          <w:jc w:val="center"/>
        </w:trPr>
        <w:tc>
          <w:tcPr>
            <w:tcW w:w="3194" w:type="dxa"/>
            <w:vMerge w:val="restart"/>
          </w:tcPr>
          <w:p w:rsidR="003939AD" w:rsidRPr="0014158B" w:rsidRDefault="003939A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Adhezja</w:t>
            </w:r>
          </w:p>
        </w:tc>
        <w:tc>
          <w:tcPr>
            <w:tcW w:w="1996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PN-EN 13614 [24]</w:t>
            </w:r>
          </w:p>
        </w:tc>
        <w:tc>
          <w:tcPr>
            <w:tcW w:w="1244" w:type="dxa"/>
            <w:vMerge w:val="restart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% pokrycia powierz-chni</w:t>
            </w:r>
          </w:p>
        </w:tc>
        <w:tc>
          <w:tcPr>
            <w:tcW w:w="900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TBR</w:t>
            </w:r>
          </w:p>
        </w:tc>
      </w:tr>
      <w:tr w:rsidR="003939AD" w:rsidRPr="0014158B" w:rsidTr="0014158B">
        <w:trPr>
          <w:jc w:val="center"/>
        </w:trPr>
        <w:tc>
          <w:tcPr>
            <w:tcW w:w="3194" w:type="dxa"/>
            <w:vMerge/>
          </w:tcPr>
          <w:p w:rsidR="003939AD" w:rsidRPr="0014158B" w:rsidRDefault="003939A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WT-3 [26]</w:t>
            </w:r>
          </w:p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lastRenderedPageBreak/>
              <w:t>załącznik 2</w:t>
            </w:r>
          </w:p>
        </w:tc>
        <w:tc>
          <w:tcPr>
            <w:tcW w:w="1244" w:type="dxa"/>
            <w:vMerge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≥ 90</w:t>
            </w:r>
          </w:p>
        </w:tc>
      </w:tr>
      <w:tr w:rsidR="003939AD" w:rsidRPr="0014158B" w:rsidTr="0014158B">
        <w:trPr>
          <w:jc w:val="center"/>
        </w:trPr>
        <w:tc>
          <w:tcPr>
            <w:tcW w:w="3194" w:type="dxa"/>
          </w:tcPr>
          <w:p w:rsidR="003939AD" w:rsidRPr="0014158B" w:rsidRDefault="003939A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lastRenderedPageBreak/>
              <w:t xml:space="preserve">Penetracja </w:t>
            </w:r>
          </w:p>
          <w:p w:rsidR="003939AD" w:rsidRPr="0014158B" w:rsidRDefault="003939AD" w:rsidP="00C437FD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 xml:space="preserve">w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14158B">
                <w:rPr>
                  <w:rFonts w:ascii="Cambria" w:hAnsi="Cambria"/>
                  <w:sz w:val="20"/>
                  <w:szCs w:val="20"/>
                </w:rPr>
                <w:t>25°C</w:t>
              </w:r>
            </w:smartTag>
          </w:p>
        </w:tc>
        <w:tc>
          <w:tcPr>
            <w:tcW w:w="1996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PN-EN 1426 [13]</w:t>
            </w:r>
          </w:p>
        </w:tc>
        <w:tc>
          <w:tcPr>
            <w:tcW w:w="1244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14158B">
                <w:rPr>
                  <w:rFonts w:ascii="Cambria" w:hAnsi="Cambria"/>
                  <w:sz w:val="20"/>
                  <w:szCs w:val="20"/>
                </w:rPr>
                <w:t>0,1 mm</w:t>
              </w:r>
            </w:smartTag>
          </w:p>
        </w:tc>
        <w:tc>
          <w:tcPr>
            <w:tcW w:w="900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3939AD" w:rsidRPr="0014158B" w:rsidRDefault="003939AD" w:rsidP="0014158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4158B">
              <w:rPr>
                <w:rFonts w:ascii="Cambria" w:hAnsi="Cambria"/>
                <w:sz w:val="20"/>
                <w:szCs w:val="20"/>
              </w:rPr>
              <w:t>≤ 150</w:t>
            </w:r>
          </w:p>
        </w:tc>
      </w:tr>
    </w:tbl>
    <w:p w:rsidR="003939AD" w:rsidRDefault="003939AD" w:rsidP="00C437FD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3939AD" w:rsidRPr="00364D50" w:rsidRDefault="003939AD" w:rsidP="004A245F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SPRZĘT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Ogólne wymagania dotyczące sprzętu</w:t>
      </w:r>
    </w:p>
    <w:p w:rsidR="003939AD" w:rsidRPr="00364D50" w:rsidRDefault="003939AD" w:rsidP="00364D50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Ogólne wymagania dotyczące sprzętu podano w SST D-M-00.00.00. „Wymagania ogólne” punkt 3.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Rodzaje sprzętu do wykonywania powierzchniowego utrwalenia</w:t>
      </w:r>
    </w:p>
    <w:p w:rsidR="003939AD" w:rsidRPr="0086260C" w:rsidRDefault="003939AD" w:rsidP="004A245F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Wykonawca przystępujący do wykonania powierzchniowego utrwalenia, powinien wykazać się możliwością korzystania z następującego sprzętu: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clear" w:pos="720"/>
          <w:tab w:val="num" w:pos="180"/>
          <w:tab w:val="num" w:pos="1380"/>
        </w:tabs>
        <w:spacing w:before="120" w:after="120"/>
        <w:ind w:left="0" w:hanging="142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szczotek mechanicznych do czyszczenia nawierzchni,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clear" w:pos="720"/>
          <w:tab w:val="num" w:pos="180"/>
          <w:tab w:val="num" w:pos="1380"/>
        </w:tabs>
        <w:spacing w:before="120" w:after="120"/>
        <w:ind w:left="0" w:hanging="142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skrapiarki lepiszcza i rozsypywarki kruszywa w zestawie typu kombajn,</w:t>
      </w:r>
    </w:p>
    <w:p w:rsidR="003939AD" w:rsidRPr="00364D50" w:rsidRDefault="003939AD" w:rsidP="00364D50">
      <w:pPr>
        <w:pStyle w:val="Tekstpodstawowy"/>
        <w:numPr>
          <w:ilvl w:val="0"/>
          <w:numId w:val="1"/>
        </w:numPr>
        <w:tabs>
          <w:tab w:val="clear" w:pos="720"/>
          <w:tab w:val="num" w:pos="180"/>
          <w:tab w:val="num" w:pos="1380"/>
        </w:tabs>
        <w:spacing w:before="120" w:after="120"/>
        <w:ind w:left="0" w:hanging="142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walców drogowych.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Wymagania dla sprzętu</w:t>
      </w:r>
    </w:p>
    <w:p w:rsidR="003939AD" w:rsidRDefault="003939AD" w:rsidP="004A245F">
      <w:pPr>
        <w:numPr>
          <w:ilvl w:val="2"/>
          <w:numId w:val="11"/>
        </w:numPr>
        <w:tabs>
          <w:tab w:val="num" w:pos="2880"/>
        </w:tabs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Szczotki mechaniczne</w:t>
      </w:r>
    </w:p>
    <w:p w:rsidR="003939AD" w:rsidRPr="00364D50" w:rsidRDefault="003939AD" w:rsidP="00364D50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Do oczyszczenia nawierzchni należy użyć szczo</w:t>
      </w:r>
      <w:r w:rsidR="00801AF0">
        <w:rPr>
          <w:rFonts w:ascii="Cambria" w:hAnsi="Cambria"/>
          <w:iCs/>
          <w:sz w:val="24"/>
        </w:rPr>
        <w:t>tek mechanicznych  wykonanych z </w:t>
      </w:r>
      <w:r w:rsidRPr="0086260C">
        <w:rPr>
          <w:rFonts w:ascii="Cambria" w:hAnsi="Cambria"/>
          <w:iCs/>
          <w:sz w:val="24"/>
        </w:rPr>
        <w:t>twardych elementów czyszczących – do zdrapywania</w:t>
      </w:r>
      <w:r w:rsidR="00801AF0">
        <w:rPr>
          <w:rFonts w:ascii="Cambria" w:hAnsi="Cambria"/>
          <w:iCs/>
          <w:sz w:val="24"/>
        </w:rPr>
        <w:t xml:space="preserve"> i usuwania zanieczyszczeń oraz </w:t>
      </w:r>
      <w:r w:rsidRPr="0086260C">
        <w:rPr>
          <w:rFonts w:ascii="Cambria" w:hAnsi="Cambria"/>
          <w:iCs/>
          <w:sz w:val="24"/>
        </w:rPr>
        <w:t>szczotek miękkich służących do zmiatania i usuwania niezwiązanych ziaren kruszywa.</w:t>
      </w:r>
    </w:p>
    <w:p w:rsidR="003939AD" w:rsidRDefault="003939AD" w:rsidP="004A245F">
      <w:pPr>
        <w:numPr>
          <w:ilvl w:val="2"/>
          <w:numId w:val="11"/>
        </w:numPr>
        <w:tabs>
          <w:tab w:val="num" w:pos="2880"/>
        </w:tabs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Skrapiarka lepiszcza</w:t>
      </w:r>
    </w:p>
    <w:p w:rsidR="003939AD" w:rsidRPr="0086260C" w:rsidRDefault="003939AD" w:rsidP="004A245F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Wykonawca robót jest zobowiązany do użycia tylko takiej skrapiarki, wchodzącej</w:t>
      </w:r>
      <w:r w:rsidR="00801AF0">
        <w:rPr>
          <w:rFonts w:ascii="Cambria" w:hAnsi="Cambria"/>
          <w:iCs/>
          <w:sz w:val="24"/>
        </w:rPr>
        <w:t xml:space="preserve"> w </w:t>
      </w:r>
      <w:r w:rsidRPr="0086260C">
        <w:rPr>
          <w:rFonts w:ascii="Cambria" w:hAnsi="Cambria"/>
          <w:iCs/>
          <w:sz w:val="24"/>
        </w:rPr>
        <w:t>skład kombajnu, która zapewni rozłożenie na jezdni przewidzianej ilości lepiszcza równomiernie, zarówno w kierunku podłużnym jak i poprzecznym. Skrapiarkę można uznać za przydatną do wykonania powierzchniowego utrwalenia, jeżeli odchylenie rozkładanego lepiszcza od ilości założonych mie</w:t>
      </w:r>
      <w:r w:rsidR="00801AF0">
        <w:rPr>
          <w:rFonts w:ascii="Cambria" w:hAnsi="Cambria"/>
          <w:iCs/>
          <w:sz w:val="24"/>
        </w:rPr>
        <w:t>szczą się w przedziale ± 10 % w </w:t>
      </w:r>
      <w:r w:rsidRPr="0086260C">
        <w:rPr>
          <w:rFonts w:ascii="Cambria" w:hAnsi="Cambria"/>
          <w:iCs/>
          <w:sz w:val="24"/>
        </w:rPr>
        <w:t>kierunku podłużnym i poprzecznym.</w:t>
      </w:r>
    </w:p>
    <w:p w:rsidR="003939AD" w:rsidRDefault="003939AD" w:rsidP="004A245F">
      <w:pPr>
        <w:numPr>
          <w:ilvl w:val="2"/>
          <w:numId w:val="11"/>
        </w:numPr>
        <w:tabs>
          <w:tab w:val="num" w:pos="2880"/>
        </w:tabs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Rozsypywarka kruszywa</w:t>
      </w:r>
    </w:p>
    <w:p w:rsidR="003939AD" w:rsidRPr="00364D50" w:rsidRDefault="003939AD" w:rsidP="00364D50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Rozsypywarkę kruszywa, wchodzącą w skład kombaj</w:t>
      </w:r>
      <w:r w:rsidR="00801AF0">
        <w:rPr>
          <w:rFonts w:ascii="Cambria" w:hAnsi="Cambria"/>
          <w:iCs/>
          <w:sz w:val="24"/>
        </w:rPr>
        <w:t>nu, można uznać za przydatną do </w:t>
      </w:r>
      <w:r w:rsidRPr="0086260C">
        <w:rPr>
          <w:rFonts w:ascii="Cambria" w:hAnsi="Cambria"/>
          <w:iCs/>
          <w:sz w:val="24"/>
        </w:rPr>
        <w:t>wykonywania powierzchniowego utrwalenia, jeżeli pomierzone odchylenia ilości dozowanego kruszywa nie różnią się od przewidywanej ilości więcej niż 1 litr/m</w:t>
      </w:r>
      <w:r w:rsidRPr="0086260C">
        <w:rPr>
          <w:rFonts w:ascii="Cambria" w:hAnsi="Cambria"/>
          <w:iCs/>
          <w:sz w:val="24"/>
          <w:vertAlign w:val="superscript"/>
        </w:rPr>
        <w:t>2</w:t>
      </w:r>
      <w:r w:rsidRPr="0086260C">
        <w:rPr>
          <w:rFonts w:ascii="Cambria" w:hAnsi="Cambria"/>
          <w:iCs/>
          <w:sz w:val="24"/>
        </w:rPr>
        <w:t>.</w:t>
      </w:r>
    </w:p>
    <w:p w:rsidR="003939AD" w:rsidRDefault="003939AD" w:rsidP="004A245F">
      <w:pPr>
        <w:numPr>
          <w:ilvl w:val="2"/>
          <w:numId w:val="11"/>
        </w:numPr>
        <w:tabs>
          <w:tab w:val="num" w:pos="2880"/>
        </w:tabs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Walce drogowe</w:t>
      </w:r>
    </w:p>
    <w:p w:rsidR="003939AD" w:rsidRPr="00364D50" w:rsidRDefault="003939AD" w:rsidP="00364D50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Do przywałowania kruszywa wykonawca użyje w</w:t>
      </w:r>
      <w:r w:rsidR="00801AF0">
        <w:rPr>
          <w:rFonts w:ascii="Cambria" w:hAnsi="Cambria"/>
          <w:iCs/>
          <w:sz w:val="24"/>
        </w:rPr>
        <w:t>alców ogumionych wyposażonych w </w:t>
      </w:r>
      <w:r w:rsidRPr="0086260C">
        <w:rPr>
          <w:rFonts w:ascii="Cambria" w:hAnsi="Cambria"/>
          <w:iCs/>
          <w:sz w:val="24"/>
        </w:rPr>
        <w:t>opony o gładkim bieżniku, ze stałym ciśnieniem do 0,6 Mpa i obci</w:t>
      </w:r>
      <w:r w:rsidR="00801AF0">
        <w:rPr>
          <w:rFonts w:ascii="Cambria" w:hAnsi="Cambria"/>
          <w:iCs/>
          <w:sz w:val="24"/>
        </w:rPr>
        <w:t>ążeniem 15 kN na </w:t>
      </w:r>
      <w:r w:rsidRPr="0086260C">
        <w:rPr>
          <w:rFonts w:ascii="Cambria" w:hAnsi="Cambria"/>
          <w:iCs/>
          <w:sz w:val="24"/>
        </w:rPr>
        <w:t>koło oraz walców statycznych w stalowych pancerzach, pod warunkiem, że nie będą powodowały miażdżenia ziaren kruszywa.</w:t>
      </w:r>
    </w:p>
    <w:p w:rsidR="003939AD" w:rsidRPr="00364D50" w:rsidRDefault="003939AD" w:rsidP="004A245F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TRANSPORT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Transport kruszywa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</w:rPr>
      </w:pPr>
      <w:r w:rsidRPr="0086260C">
        <w:rPr>
          <w:rFonts w:ascii="Cambria" w:hAnsi="Cambria"/>
        </w:rPr>
        <w:t>Kruszywo można przewozić dowolnymi środkami transportu, w warunkach zabezpieczających je przed zanieczyszczeniem, zmieszaniem z innymi materiałami (asortymentami) i nadmiernym zawilgoceniem.</w:t>
      </w:r>
    </w:p>
    <w:p w:rsidR="003939AD" w:rsidRDefault="003939AD" w:rsidP="004A245F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Transport lepiszczy</w:t>
      </w:r>
    </w:p>
    <w:p w:rsidR="003939AD" w:rsidRPr="00364D50" w:rsidRDefault="003939AD" w:rsidP="004A245F">
      <w:pPr>
        <w:spacing w:before="120" w:after="120" w:line="240" w:lineRule="atLeast"/>
        <w:jc w:val="both"/>
        <w:rPr>
          <w:rFonts w:ascii="Cambria" w:hAnsi="Cambria"/>
        </w:rPr>
      </w:pPr>
      <w:r w:rsidRPr="0086260C">
        <w:rPr>
          <w:rFonts w:ascii="Cambria" w:hAnsi="Cambria"/>
        </w:rPr>
        <w:t>Powinien być dokonany w cysternach samochodowych, skrapiarkach samochodowych. Wszystkie środki transportu powinny być czyste. Nie powinny zawierać resztek lepiszcza innego niż wbudowywane.</w:t>
      </w:r>
    </w:p>
    <w:p w:rsidR="003939AD" w:rsidRPr="00364D50" w:rsidRDefault="003939AD" w:rsidP="004A245F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WYKONANIE ROBÓT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 xml:space="preserve">Ogólne zasady wykonywania robót </w:t>
      </w:r>
    </w:p>
    <w:p w:rsidR="003939AD" w:rsidRPr="00364D50" w:rsidRDefault="003939AD" w:rsidP="00364D50">
      <w:pPr>
        <w:pStyle w:val="Tekstpodstawowywcity3"/>
        <w:spacing w:before="120" w:after="120"/>
        <w:ind w:left="0"/>
        <w:rPr>
          <w:rFonts w:ascii="Cambria" w:hAnsi="Cambria"/>
        </w:rPr>
      </w:pPr>
      <w:r w:rsidRPr="0086260C">
        <w:rPr>
          <w:rFonts w:ascii="Cambria" w:hAnsi="Cambria"/>
        </w:rPr>
        <w:t>Ogólne zasady wykonywania robót podano w SST D-M-00.00.00. „Wymagania ogólne” punkt 5.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Założenia ogólne</w:t>
      </w:r>
    </w:p>
    <w:p w:rsidR="003939AD" w:rsidRPr="00364D50" w:rsidRDefault="003939AD" w:rsidP="00364D50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Przed przystąpieniem do wykonywania powierzchniowego utrwalenia nawierzchni należy wyremontować, nadać odpowiedni profil podłużny i pop</w:t>
      </w:r>
      <w:r>
        <w:rPr>
          <w:rFonts w:ascii="Cambria" w:hAnsi="Cambria"/>
          <w:iCs/>
          <w:sz w:val="24"/>
        </w:rPr>
        <w:t>rzeczny oraz dokładnie oczyścić.</w:t>
      </w:r>
      <w:r w:rsidRPr="0086260C">
        <w:rPr>
          <w:rFonts w:ascii="Cambria" w:hAnsi="Cambria"/>
          <w:iCs/>
          <w:sz w:val="24"/>
        </w:rPr>
        <w:t xml:space="preserve"> </w:t>
      </w:r>
      <w:r>
        <w:rPr>
          <w:rFonts w:ascii="Cambria" w:hAnsi="Cambria"/>
          <w:iCs/>
          <w:sz w:val="24"/>
        </w:rPr>
        <w:t>W</w:t>
      </w:r>
      <w:r w:rsidRPr="0086260C">
        <w:rPr>
          <w:rFonts w:ascii="Cambria" w:hAnsi="Cambria"/>
          <w:iCs/>
          <w:sz w:val="24"/>
        </w:rPr>
        <w:t xml:space="preserve"> przypadku dużego zanieczyszczenia, nawie</w:t>
      </w:r>
      <w:r w:rsidR="005A4511">
        <w:rPr>
          <w:rFonts w:ascii="Cambria" w:hAnsi="Cambria"/>
          <w:iCs/>
          <w:sz w:val="24"/>
        </w:rPr>
        <w:t>rzchnię należy spłukać wodą pod </w:t>
      </w:r>
      <w:r w:rsidRPr="0086260C">
        <w:rPr>
          <w:rFonts w:ascii="Cambria" w:hAnsi="Cambria"/>
          <w:iCs/>
          <w:sz w:val="24"/>
        </w:rPr>
        <w:t>ciśnieniem.</w:t>
      </w:r>
      <w:r>
        <w:rPr>
          <w:rFonts w:ascii="Cambria" w:hAnsi="Cambria"/>
          <w:iCs/>
          <w:sz w:val="24"/>
        </w:rPr>
        <w:t xml:space="preserve"> Ponadto należy zabezpieczyć wszystkie </w:t>
      </w:r>
      <w:r w:rsidR="005A4511">
        <w:rPr>
          <w:rFonts w:ascii="Cambria" w:hAnsi="Cambria"/>
          <w:iCs/>
          <w:sz w:val="24"/>
        </w:rPr>
        <w:t>elementy betonowe takie jak np. </w:t>
      </w:r>
      <w:r>
        <w:rPr>
          <w:rFonts w:ascii="Cambria" w:hAnsi="Cambria"/>
          <w:iCs/>
          <w:sz w:val="24"/>
        </w:rPr>
        <w:t>krawężniki, obrzeża, kostka brukow</w:t>
      </w:r>
      <w:r w:rsidR="005A4511">
        <w:rPr>
          <w:rFonts w:ascii="Cambria" w:hAnsi="Cambria"/>
          <w:iCs/>
          <w:sz w:val="24"/>
        </w:rPr>
        <w:t>a, ściek przykrawężnikowy przed </w:t>
      </w:r>
      <w:r>
        <w:rPr>
          <w:rFonts w:ascii="Cambria" w:hAnsi="Cambria"/>
          <w:iCs/>
          <w:sz w:val="24"/>
        </w:rPr>
        <w:t>zanieczyszczeniem emulsją asfaltową. Na</w:t>
      </w:r>
      <w:r w:rsidR="005A4511">
        <w:rPr>
          <w:rFonts w:ascii="Cambria" w:hAnsi="Cambria"/>
          <w:iCs/>
          <w:sz w:val="24"/>
        </w:rPr>
        <w:t>leży również zabezpieczyć przed </w:t>
      </w:r>
      <w:r>
        <w:rPr>
          <w:rFonts w:ascii="Cambria" w:hAnsi="Cambria"/>
          <w:iCs/>
          <w:sz w:val="24"/>
        </w:rPr>
        <w:t>przedostaniem się grysu także wpusty deszczowe oraz dylatacje na obiektach mostowych, jeżeli takie występują.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Wykonanie robót</w:t>
      </w:r>
    </w:p>
    <w:p w:rsidR="003939AD" w:rsidRDefault="003939AD" w:rsidP="004A245F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>
        <w:rPr>
          <w:rFonts w:ascii="Cambria" w:hAnsi="Cambria"/>
          <w:iCs/>
          <w:sz w:val="24"/>
        </w:rPr>
        <w:t>Podwójne</w:t>
      </w:r>
      <w:r w:rsidRPr="0086260C">
        <w:rPr>
          <w:rFonts w:ascii="Cambria" w:hAnsi="Cambria"/>
          <w:iCs/>
          <w:sz w:val="24"/>
        </w:rPr>
        <w:t xml:space="preserve"> powierzchniowe utrwalenie nawie</w:t>
      </w:r>
      <w:r w:rsidR="005A4511">
        <w:rPr>
          <w:rFonts w:ascii="Cambria" w:hAnsi="Cambria"/>
          <w:iCs/>
          <w:sz w:val="24"/>
        </w:rPr>
        <w:t>rzchni należy wykonać zgodnie z </w:t>
      </w:r>
      <w:r w:rsidRPr="0086260C">
        <w:rPr>
          <w:rFonts w:ascii="Cambria" w:hAnsi="Cambria"/>
          <w:iCs/>
          <w:sz w:val="24"/>
        </w:rPr>
        <w:t>warunkami technicznymi zawartymi w WT-1 Kruszywa: 201</w:t>
      </w:r>
      <w:r>
        <w:rPr>
          <w:rFonts w:ascii="Cambria" w:hAnsi="Cambria"/>
          <w:iCs/>
          <w:sz w:val="24"/>
        </w:rPr>
        <w:t>4</w:t>
      </w:r>
      <w:r w:rsidRPr="0086260C">
        <w:rPr>
          <w:rFonts w:ascii="Cambria" w:hAnsi="Cambria"/>
          <w:iCs/>
          <w:sz w:val="24"/>
        </w:rPr>
        <w:t xml:space="preserve"> i normą PN-EN 13808:201</w:t>
      </w:r>
      <w:r>
        <w:rPr>
          <w:rFonts w:ascii="Cambria" w:hAnsi="Cambria"/>
          <w:iCs/>
          <w:sz w:val="24"/>
        </w:rPr>
        <w:t>3-10</w:t>
      </w:r>
      <w:r w:rsidRPr="0086260C">
        <w:rPr>
          <w:rFonts w:ascii="Cambria" w:hAnsi="Cambria"/>
          <w:iCs/>
          <w:sz w:val="24"/>
        </w:rPr>
        <w:t xml:space="preserve"> z wymaganiami do kationowych emulsji asfaltowych. Powierzchniowe utrwalenie nawierzchni należy wykonać przy użyciu płukanych grysów granitowych </w:t>
      </w:r>
      <w:r w:rsidRPr="005A4511">
        <w:rPr>
          <w:rFonts w:ascii="Cambria" w:hAnsi="Cambria"/>
          <w:iCs/>
          <w:sz w:val="24"/>
        </w:rPr>
        <w:t xml:space="preserve">klasy I frakcji </w:t>
      </w:r>
      <w:r w:rsidR="005A4511" w:rsidRPr="005A4511">
        <w:rPr>
          <w:rFonts w:ascii="Cambria" w:hAnsi="Cambria"/>
          <w:iCs/>
          <w:sz w:val="24"/>
        </w:rPr>
        <w:t>5</w:t>
      </w:r>
      <w:r w:rsidRPr="005A4511">
        <w:rPr>
          <w:rFonts w:ascii="Cambria" w:hAnsi="Cambria"/>
          <w:iCs/>
          <w:sz w:val="24"/>
        </w:rPr>
        <w:t>/</w:t>
      </w:r>
      <w:r w:rsidR="005A4511" w:rsidRPr="005A4511">
        <w:rPr>
          <w:rFonts w:ascii="Cambria" w:hAnsi="Cambria"/>
          <w:iCs/>
          <w:sz w:val="24"/>
        </w:rPr>
        <w:t xml:space="preserve">8 </w:t>
      </w:r>
      <w:r w:rsidRPr="005A4511">
        <w:rPr>
          <w:rFonts w:ascii="Cambria" w:hAnsi="Cambria"/>
          <w:iCs/>
          <w:sz w:val="24"/>
        </w:rPr>
        <w:t xml:space="preserve">mm oraz frakcji </w:t>
      </w:r>
      <w:r w:rsidR="005A4511" w:rsidRPr="005A4511">
        <w:rPr>
          <w:rFonts w:ascii="Cambria" w:hAnsi="Cambria"/>
          <w:iCs/>
          <w:sz w:val="24"/>
        </w:rPr>
        <w:t>8</w:t>
      </w:r>
      <w:r w:rsidRPr="005A4511">
        <w:rPr>
          <w:rFonts w:ascii="Cambria" w:hAnsi="Cambria"/>
          <w:iCs/>
          <w:sz w:val="24"/>
        </w:rPr>
        <w:t>/</w:t>
      </w:r>
      <w:r w:rsidR="005A4511" w:rsidRPr="005A4511">
        <w:rPr>
          <w:rFonts w:ascii="Cambria" w:hAnsi="Cambria"/>
          <w:iCs/>
          <w:sz w:val="24"/>
        </w:rPr>
        <w:t>11</w:t>
      </w:r>
      <w:r w:rsidRPr="005A4511">
        <w:rPr>
          <w:rFonts w:ascii="Cambria" w:hAnsi="Cambria"/>
          <w:iCs/>
          <w:sz w:val="24"/>
        </w:rPr>
        <w:t xml:space="preserve"> mm i </w:t>
      </w:r>
      <w:r w:rsidR="005A4511" w:rsidRPr="005A4511">
        <w:rPr>
          <w:rFonts w:ascii="Cambria" w:hAnsi="Cambria"/>
          <w:iCs/>
          <w:sz w:val="24"/>
        </w:rPr>
        <w:t xml:space="preserve">modyfikowanej </w:t>
      </w:r>
      <w:r w:rsidRPr="005A4511">
        <w:rPr>
          <w:rFonts w:ascii="Cambria" w:hAnsi="Cambria"/>
          <w:iCs/>
          <w:sz w:val="24"/>
        </w:rPr>
        <w:t>kationowej emulsji asfaltowej C69B</w:t>
      </w:r>
      <w:r w:rsidR="005A4511" w:rsidRPr="005A4511">
        <w:rPr>
          <w:rFonts w:ascii="Cambria" w:hAnsi="Cambria"/>
          <w:iCs/>
          <w:sz w:val="24"/>
        </w:rPr>
        <w:t>P</w:t>
      </w:r>
      <w:r w:rsidRPr="005A4511">
        <w:rPr>
          <w:rFonts w:ascii="Cambria" w:hAnsi="Cambria"/>
          <w:iCs/>
          <w:sz w:val="24"/>
        </w:rPr>
        <w:t>3PU.</w:t>
      </w:r>
      <w:r w:rsidRPr="0086260C">
        <w:rPr>
          <w:rFonts w:ascii="Cambria" w:hAnsi="Cambria"/>
          <w:iCs/>
          <w:sz w:val="24"/>
        </w:rPr>
        <w:t xml:space="preserve"> </w:t>
      </w:r>
    </w:p>
    <w:p w:rsidR="003939AD" w:rsidRDefault="003939AD" w:rsidP="004A245F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Przed przystąpieniem do rozkładania lepiszcza, nawierzchnia powinna być dokładnie oczyszczona za pomocą sprzętu mechanicznego spełniającego wymagania wg pkt</w:t>
      </w:r>
      <w:r w:rsidR="005A4511">
        <w:rPr>
          <w:rFonts w:ascii="Cambria" w:hAnsi="Cambria"/>
          <w:iCs/>
          <w:sz w:val="24"/>
        </w:rPr>
        <w:t>.</w:t>
      </w:r>
      <w:r w:rsidRPr="0086260C">
        <w:rPr>
          <w:rFonts w:ascii="Cambria" w:hAnsi="Cambria"/>
          <w:iCs/>
          <w:sz w:val="24"/>
        </w:rPr>
        <w:t xml:space="preserve"> 3</w:t>
      </w:r>
      <w:r w:rsidR="005A4511">
        <w:rPr>
          <w:rFonts w:ascii="Cambria" w:hAnsi="Cambria"/>
          <w:iCs/>
          <w:sz w:val="24"/>
        </w:rPr>
        <w:t>, a </w:t>
      </w:r>
      <w:r>
        <w:rPr>
          <w:rFonts w:ascii="Cambria" w:hAnsi="Cambria"/>
          <w:iCs/>
          <w:sz w:val="24"/>
        </w:rPr>
        <w:t>dla usunięcia pyłu, którego gromadzi się najwięcej przy krawędzi, zaleca się stosować pneumatyczne urządzenia pochłaniające lub dmuchawę</w:t>
      </w:r>
      <w:r w:rsidRPr="0086260C">
        <w:rPr>
          <w:rFonts w:ascii="Cambria" w:hAnsi="Cambria"/>
          <w:iCs/>
          <w:sz w:val="24"/>
        </w:rPr>
        <w:t xml:space="preserve">. </w:t>
      </w:r>
    </w:p>
    <w:p w:rsidR="003939AD" w:rsidRPr="0086260C" w:rsidRDefault="003939AD" w:rsidP="004A245F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Rozpoczęcie robót może nastąpić po wykonaniu badań sprawdzających wykonanych przy udziale Inspektora Nadzoru powołanego przez</w:t>
      </w:r>
      <w:r w:rsidR="005A4511">
        <w:rPr>
          <w:rFonts w:ascii="Cambria" w:hAnsi="Cambria"/>
          <w:iCs/>
          <w:sz w:val="24"/>
        </w:rPr>
        <w:t xml:space="preserve"> Inwestora i upewnieniu się, że </w:t>
      </w:r>
      <w:r w:rsidRPr="0086260C">
        <w:rPr>
          <w:rFonts w:ascii="Cambria" w:hAnsi="Cambria"/>
          <w:iCs/>
          <w:sz w:val="24"/>
        </w:rPr>
        <w:t>nawierzchnia została oczyszczona zgodnie z wymaganiami, a sprzęt gwarantuje rozłożenie przewidzianej ilości emulsji i grysów.</w:t>
      </w:r>
    </w:p>
    <w:p w:rsidR="003939AD" w:rsidRPr="00364D50" w:rsidRDefault="003939AD" w:rsidP="00364D50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 xml:space="preserve">Grysy powinny być rozkładane równomierną warstwą, na świeżo rozłożonej warstwie emulsji. Bezpośrednio po rozłożeniu grysów należy przystąpić do ich wałowania dla </w:t>
      </w:r>
      <w:r w:rsidRPr="006C62FD">
        <w:rPr>
          <w:rFonts w:ascii="Cambria" w:hAnsi="Cambria"/>
          <w:iCs/>
          <w:sz w:val="24"/>
          <w:szCs w:val="24"/>
        </w:rPr>
        <w:t xml:space="preserve">wciśnięcia ziaren w emulsję i wstępnego utwierdzenia w nawierzchni. </w:t>
      </w:r>
      <w:r w:rsidRPr="006C62FD">
        <w:rPr>
          <w:rFonts w:ascii="Cambria" w:hAnsi="Cambria" w:cs="Arial"/>
          <w:sz w:val="24"/>
          <w:szCs w:val="24"/>
        </w:rPr>
        <w:t>Dla uzyskania właściwego przywałowania można przyjąć co najmniej 5- krotne przejście walca ogumionego w tym samym miejscu przy stosunkowo du</w:t>
      </w:r>
      <w:r w:rsidR="005A4511">
        <w:rPr>
          <w:rFonts w:ascii="Cambria" w:hAnsi="Cambria" w:cs="Arial"/>
          <w:sz w:val="24"/>
          <w:szCs w:val="24"/>
        </w:rPr>
        <w:t>żej prędkości od 8 do 10 km/h i </w:t>
      </w:r>
      <w:r w:rsidRPr="006C62FD">
        <w:rPr>
          <w:rFonts w:ascii="Cambria" w:hAnsi="Cambria" w:cs="Arial"/>
          <w:sz w:val="24"/>
          <w:szCs w:val="24"/>
        </w:rPr>
        <w:t>przy i przy ciśnieniu powietrza w oponach do 0,6 MPa i obciążeniem 15 kN na koło.</w:t>
      </w:r>
      <w:r>
        <w:rPr>
          <w:rFonts w:ascii="Cambria" w:hAnsi="Cambria" w:cs="Arial"/>
          <w:sz w:val="24"/>
          <w:szCs w:val="24"/>
        </w:rPr>
        <w:t xml:space="preserve"> </w:t>
      </w:r>
      <w:r w:rsidRPr="006C62FD">
        <w:rPr>
          <w:rFonts w:ascii="Cambria" w:hAnsi="Cambria"/>
          <w:iCs/>
          <w:sz w:val="24"/>
          <w:szCs w:val="24"/>
        </w:rPr>
        <w:t>Ostateczne utwierdzenie ziaren grysów następ</w:t>
      </w:r>
      <w:r w:rsidR="005A4511">
        <w:rPr>
          <w:rFonts w:ascii="Cambria" w:hAnsi="Cambria"/>
          <w:iCs/>
          <w:sz w:val="24"/>
          <w:szCs w:val="24"/>
        </w:rPr>
        <w:t>uje dopiero po kilku dniach pod </w:t>
      </w:r>
      <w:r w:rsidRPr="006C62FD">
        <w:rPr>
          <w:rFonts w:ascii="Cambria" w:hAnsi="Cambria"/>
          <w:iCs/>
          <w:sz w:val="24"/>
          <w:szCs w:val="24"/>
        </w:rPr>
        <w:t>wpływem ruchu.</w:t>
      </w:r>
      <w:r w:rsidRPr="0086260C">
        <w:rPr>
          <w:rFonts w:ascii="Cambria" w:hAnsi="Cambria"/>
          <w:iCs/>
          <w:sz w:val="24"/>
        </w:rPr>
        <w:t xml:space="preserve"> 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Przyczepność aktywna lepiszcza do kruszywa</w:t>
      </w:r>
    </w:p>
    <w:p w:rsidR="003939AD" w:rsidRPr="00364D50" w:rsidRDefault="003939AD" w:rsidP="00364D50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Do wykonania powierzchniowego utrwalenia możn</w:t>
      </w:r>
      <w:r w:rsidR="005A4511">
        <w:rPr>
          <w:rFonts w:ascii="Cambria" w:hAnsi="Cambria"/>
          <w:iCs/>
          <w:sz w:val="24"/>
        </w:rPr>
        <w:t>a przystąpić tylko wówczas, gdy </w:t>
      </w:r>
      <w:r w:rsidRPr="0086260C">
        <w:rPr>
          <w:rFonts w:ascii="Cambria" w:hAnsi="Cambria"/>
          <w:iCs/>
          <w:sz w:val="24"/>
        </w:rPr>
        <w:t>przyczepność aktywna kruszywa do wybranego lepiszc</w:t>
      </w:r>
      <w:r w:rsidR="005A4511">
        <w:rPr>
          <w:rFonts w:ascii="Cambria" w:hAnsi="Cambria"/>
          <w:iCs/>
          <w:sz w:val="24"/>
        </w:rPr>
        <w:t>za (emulsji) określona wg </w:t>
      </w:r>
      <w:r w:rsidRPr="0086260C">
        <w:rPr>
          <w:rFonts w:ascii="Cambria" w:hAnsi="Cambria"/>
          <w:iCs/>
          <w:sz w:val="24"/>
        </w:rPr>
        <w:t>BN-70/8931-08 będzie większa od 85 %.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lastRenderedPageBreak/>
        <w:t>Warunki przystąpienia do robót</w:t>
      </w:r>
    </w:p>
    <w:p w:rsidR="003939AD" w:rsidRPr="00364D50" w:rsidRDefault="003939AD" w:rsidP="004A245F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Powierzchniowe utrwalenie można wykonać w okresie do 1</w:t>
      </w:r>
      <w:r>
        <w:rPr>
          <w:rFonts w:ascii="Cambria" w:hAnsi="Cambria"/>
          <w:iCs/>
          <w:sz w:val="24"/>
        </w:rPr>
        <w:t>5</w:t>
      </w:r>
      <w:r w:rsidR="005A4511">
        <w:rPr>
          <w:rFonts w:ascii="Cambria" w:hAnsi="Cambria"/>
          <w:iCs/>
          <w:sz w:val="24"/>
        </w:rPr>
        <w:t xml:space="preserve"> września i pod </w:t>
      </w:r>
      <w:r w:rsidRPr="0086260C">
        <w:rPr>
          <w:rFonts w:ascii="Cambria" w:hAnsi="Cambria"/>
          <w:iCs/>
          <w:sz w:val="24"/>
        </w:rPr>
        <w:t>warunkiem, że temperatura otoczenia nie jest niższa od +10</w:t>
      </w:r>
      <w:r w:rsidRPr="0086260C">
        <w:rPr>
          <w:rFonts w:ascii="Cambria" w:hAnsi="Cambria"/>
          <w:iCs/>
          <w:sz w:val="24"/>
          <w:vertAlign w:val="superscript"/>
        </w:rPr>
        <w:t>o</w:t>
      </w:r>
      <w:r w:rsidRPr="0086260C">
        <w:rPr>
          <w:rFonts w:ascii="Cambria" w:hAnsi="Cambria"/>
          <w:iCs/>
          <w:sz w:val="24"/>
        </w:rPr>
        <w:t>C. Nie dopuszcza się wykonywania powierzchniowego utrwalenia w czasie opadów atmosferycznych.</w:t>
      </w:r>
    </w:p>
    <w:p w:rsidR="003939AD" w:rsidRPr="00364D50" w:rsidRDefault="003939AD" w:rsidP="00364D50">
      <w:pPr>
        <w:pStyle w:val="Tekstpodstawowy"/>
        <w:spacing w:before="120" w:after="120"/>
        <w:jc w:val="both"/>
        <w:rPr>
          <w:rFonts w:ascii="Cambria" w:hAnsi="Cambria"/>
          <w:b/>
          <w:iCs/>
          <w:sz w:val="24"/>
          <w:u w:val="single"/>
        </w:rPr>
      </w:pPr>
      <w:r>
        <w:rPr>
          <w:rFonts w:ascii="Cambria" w:hAnsi="Cambria"/>
          <w:b/>
          <w:iCs/>
          <w:sz w:val="24"/>
          <w:u w:val="single"/>
        </w:rPr>
        <w:t>Warunkiem przystąpienia do robót jest zabezpieczenie powierzchni betonowych takich jak krawężniki, ściek z kostki betonowej przed zanieczyszczeniem emulsją asfaltową oraz wpusty kanalizacji deszczowej i dylatacje na obiektach mostowych przed przedostaniem się emulsji i grysów, jeżeli takie występują. Nie dopuszcza się wystąpienia jakichkolwiek zanieczyszczeń emulsją lub grysami na wpustach deszczowych, dylatacjach oraz na elementach betonowych.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Odcinek próbny</w:t>
      </w:r>
    </w:p>
    <w:p w:rsidR="003939AD" w:rsidRPr="00364D50" w:rsidRDefault="003939AD" w:rsidP="00364D50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W celu sprawdzenia prawidłowości dozowania kruszywa i lepiszcza należy wykonać odcinek próbny o długości min. 100 m.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Oznakowanie robót</w:t>
      </w:r>
    </w:p>
    <w:p w:rsidR="003939AD" w:rsidRDefault="003939AD" w:rsidP="004A245F">
      <w:pPr>
        <w:pStyle w:val="Tekstpodstawowy"/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6C62FD">
        <w:rPr>
          <w:rFonts w:ascii="Cambria" w:hAnsi="Cambria" w:cs="Arial"/>
          <w:sz w:val="24"/>
          <w:szCs w:val="24"/>
        </w:rPr>
        <w:t xml:space="preserve">Ze względu na specyfikę robót przy wykonywaniu powierzchniowego utrwalenia nawierzchni, Wykonawca opracuje i uzgodni projekt organizacji ruchu z </w:t>
      </w:r>
      <w:r>
        <w:rPr>
          <w:rFonts w:ascii="Cambria" w:hAnsi="Cambria" w:cs="Arial"/>
          <w:sz w:val="24"/>
          <w:szCs w:val="24"/>
        </w:rPr>
        <w:t>organem zarządzającym</w:t>
      </w:r>
      <w:r w:rsidRPr="006C62FD">
        <w:rPr>
          <w:rFonts w:ascii="Cambria" w:hAnsi="Cambria" w:cs="Arial"/>
          <w:sz w:val="24"/>
          <w:szCs w:val="24"/>
        </w:rPr>
        <w:t xml:space="preserve"> ruchem na drogach powiatowych i gminnych . Wykonawca robót jest odpowiedzialny za bezpieczeństwo ruchu drogowego w obrębie odcinka objętego niniejszym zamówieniem przez cały okres robót, aż do zakończenia okresu pielęgnacji włącznie. </w:t>
      </w:r>
    </w:p>
    <w:p w:rsidR="003939AD" w:rsidRDefault="003939AD" w:rsidP="004A245F">
      <w:pPr>
        <w:pStyle w:val="Tekstpodstawowy"/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6C62FD">
        <w:rPr>
          <w:rFonts w:ascii="Cambria" w:hAnsi="Cambria" w:cs="Arial"/>
          <w:sz w:val="24"/>
          <w:szCs w:val="24"/>
        </w:rPr>
        <w:t>Znaki powinny być odblaskowe, czyste, i w razie pot</w:t>
      </w:r>
      <w:r w:rsidR="005A4511">
        <w:rPr>
          <w:rFonts w:ascii="Cambria" w:hAnsi="Cambria" w:cs="Arial"/>
          <w:sz w:val="24"/>
          <w:szCs w:val="24"/>
        </w:rPr>
        <w:t>rzeby czyszczone, odnawiane lub </w:t>
      </w:r>
      <w:r w:rsidRPr="006C62FD">
        <w:rPr>
          <w:rFonts w:ascii="Cambria" w:hAnsi="Cambria" w:cs="Arial"/>
          <w:sz w:val="24"/>
          <w:szCs w:val="24"/>
        </w:rPr>
        <w:t xml:space="preserve">wymieniane na nowe. W razie potrzeby, Wykonawca uzgodni i wprowadzi regulację, ruch wahadłowy za pomocą sygnalizatorów świateł lub za pomocą pracowników sygnalistów, odpowiednio przeszkolonych i posiadających uprawnienia do kierowania ruchem. Ruch drogowy odbywający się po wstępnym zagęszczonym powierzchniowym utrwaleniu sprzyja utwierdzeniu ziaren kruszywa pod warunkiem, że prędkość ruchu będzie ograniczona od 30 do 40 km/h. </w:t>
      </w:r>
    </w:p>
    <w:p w:rsidR="003939AD" w:rsidRPr="006C62FD" w:rsidRDefault="003939AD" w:rsidP="004A245F">
      <w:pPr>
        <w:pStyle w:val="Tekstpodstawowy"/>
        <w:spacing w:before="120" w:after="120"/>
        <w:jc w:val="both"/>
        <w:rPr>
          <w:rFonts w:ascii="Cambria" w:hAnsi="Cambria"/>
          <w:iCs/>
          <w:sz w:val="24"/>
          <w:szCs w:val="24"/>
        </w:rPr>
      </w:pPr>
      <w:r w:rsidRPr="006C62FD">
        <w:rPr>
          <w:rFonts w:ascii="Cambria" w:hAnsi="Cambria" w:cs="Arial"/>
          <w:sz w:val="24"/>
          <w:szCs w:val="24"/>
        </w:rPr>
        <w:t>Na cały okres robót, aż do czasu usunięcia luźnego kruszywa, Wykonawca spowoduje ograniczenie prędkości od 30 do 40 km/h.</w:t>
      </w:r>
    </w:p>
    <w:p w:rsidR="003939AD" w:rsidRPr="00364D50" w:rsidRDefault="003939AD" w:rsidP="00364D50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 xml:space="preserve">Roboty powinny być oznakowane zgodnie z zatwierdzonym projektem oznakowania, </w:t>
      </w:r>
      <w:r w:rsidR="005A4511">
        <w:rPr>
          <w:rFonts w:ascii="Cambria" w:hAnsi="Cambria"/>
          <w:iCs/>
          <w:sz w:val="24"/>
        </w:rPr>
        <w:t>z </w:t>
      </w:r>
      <w:r w:rsidRPr="0086260C">
        <w:rPr>
          <w:rFonts w:ascii="Cambria" w:hAnsi="Cambria"/>
          <w:iCs/>
          <w:sz w:val="24"/>
        </w:rPr>
        <w:t>tym, że w okresie min. 18 godzin od chwili wykonania powierzchniowego utrwalenia, Wykonawca ograniczy prędkość do 30 – 40 km/h.</w:t>
      </w:r>
    </w:p>
    <w:p w:rsidR="003939AD" w:rsidRPr="00364D50" w:rsidRDefault="003939AD" w:rsidP="004A245F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KONTROLA JAKOŚCI ROBÓT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Badania sprawdzające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Niezależnie od wymienionych badań testujących sprzęt przed rozpoczęciem powierzchniowego utrwalenia nawierzchni należ</w:t>
      </w:r>
      <w:r w:rsidR="005A4511">
        <w:rPr>
          <w:rFonts w:ascii="Cambria" w:hAnsi="Cambria"/>
          <w:iCs/>
        </w:rPr>
        <w:t>y wykonać następujące badania i </w:t>
      </w:r>
      <w:r w:rsidRPr="0086260C">
        <w:rPr>
          <w:rFonts w:ascii="Cambria" w:hAnsi="Cambria"/>
          <w:iCs/>
        </w:rPr>
        <w:t>kontrole: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1. Sprawdzić stan nawierzchni, na której ma być wykonane powierzchniowe utrwalenie nawierzchni poprzez wizualną ocenę jakości wykonyw</w:t>
      </w:r>
      <w:r w:rsidR="005A4511">
        <w:rPr>
          <w:rFonts w:ascii="Cambria" w:hAnsi="Cambria"/>
          <w:iCs/>
        </w:rPr>
        <w:t>anych robót przygotowawczych  i </w:t>
      </w:r>
      <w:r w:rsidRPr="0086260C">
        <w:rPr>
          <w:rFonts w:ascii="Cambria" w:hAnsi="Cambria"/>
          <w:iCs/>
        </w:rPr>
        <w:t>oczyszczenie nawierzchni.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2. Ocenić wizualnie stan techniczny sprzętu i w</w:t>
      </w:r>
      <w:r w:rsidR="005A4511">
        <w:rPr>
          <w:rFonts w:ascii="Cambria" w:hAnsi="Cambria"/>
          <w:iCs/>
        </w:rPr>
        <w:t>szystkich jego podzespołów oraz </w:t>
      </w:r>
      <w:r w:rsidRPr="0086260C">
        <w:rPr>
          <w:rFonts w:ascii="Cambria" w:hAnsi="Cambria"/>
          <w:iCs/>
        </w:rPr>
        <w:t>urządzeń mających wpływ na dozowanie emulsji i grysów ( dysze, pompy, manometry, obrotomierze, dźwignie regulacyjne itp.).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 xml:space="preserve">3. Sprawdzić na wybranym odcinku doświadczalnym dozowanie ilości emulsji i grysów przy takich nastawach parametrów jakie zamierza się utrzymać podczas wykonywania </w:t>
      </w:r>
      <w:r w:rsidRPr="0086260C">
        <w:rPr>
          <w:rFonts w:ascii="Cambria" w:hAnsi="Cambria"/>
          <w:iCs/>
        </w:rPr>
        <w:lastRenderedPageBreak/>
        <w:t>powierzchniowego utrwalenia nawierzchni (parametry ustalone wg świadectwa cechowania dla przyjętej rzeczywistej ilości emulsji i grysów).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 xml:space="preserve">4. Przed przystąpieniem do wykonywania powierzchniowego utrwalenia nawierzchni Wykonawca przedstawi orzeczenie laboratoryjne wydane przez uprawnione Laboratorium Drogowe materiałów (lepiszcza </w:t>
      </w:r>
      <w:r w:rsidR="005A4511">
        <w:rPr>
          <w:rFonts w:ascii="Cambria" w:hAnsi="Cambria"/>
          <w:iCs/>
        </w:rPr>
        <w:t>i kruszywa) które przeznacza do </w:t>
      </w:r>
      <w:r w:rsidRPr="0086260C">
        <w:rPr>
          <w:rFonts w:ascii="Cambria" w:hAnsi="Cambria"/>
          <w:iCs/>
        </w:rPr>
        <w:t>realizacji zadania.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5. Ostateczną decyzję o rozpoczęciu robó</w:t>
      </w:r>
      <w:r w:rsidR="005A4511">
        <w:rPr>
          <w:rFonts w:ascii="Cambria" w:hAnsi="Cambria"/>
          <w:iCs/>
        </w:rPr>
        <w:t>t podejmie Inspektor nadzoru po </w:t>
      </w:r>
      <w:r w:rsidRPr="0086260C">
        <w:rPr>
          <w:rFonts w:ascii="Cambria" w:hAnsi="Cambria"/>
          <w:iCs/>
        </w:rPr>
        <w:t>przeanalizowaniu dostarczonych dokumentów i dokonaniu oględzin w terenie</w:t>
      </w:r>
      <w:r>
        <w:rPr>
          <w:rFonts w:ascii="Cambria" w:hAnsi="Cambria"/>
          <w:iCs/>
        </w:rPr>
        <w:t>.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Badania i kontrole w czasie wykonywania powierzchniowego utrwalenia nawierzchni.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Badania w czasie wykonywania robót obejmują: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</w:t>
      </w:r>
      <w:r w:rsidRPr="0086260C">
        <w:rPr>
          <w:rFonts w:ascii="Cambria" w:hAnsi="Cambria"/>
          <w:iCs/>
        </w:rPr>
        <w:t>sprawdzenie czy mechanizmy regu</w:t>
      </w:r>
      <w:r w:rsidR="005A4511">
        <w:rPr>
          <w:rFonts w:ascii="Cambria" w:hAnsi="Cambria"/>
          <w:iCs/>
        </w:rPr>
        <w:t>lacyjne i parametry kombajnu do </w:t>
      </w:r>
      <w:r w:rsidRPr="0086260C">
        <w:rPr>
          <w:rFonts w:ascii="Cambria" w:hAnsi="Cambria"/>
          <w:iCs/>
        </w:rPr>
        <w:t>powierzchniowego utrwalenia zostały ustawione tak jak to ustalono podczas odcinka doświadczalnego przed rozpoczęciem robót,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</w:t>
      </w:r>
      <w:r w:rsidRPr="0086260C">
        <w:rPr>
          <w:rFonts w:ascii="Cambria" w:hAnsi="Cambria"/>
          <w:iCs/>
        </w:rPr>
        <w:t>sprawdzenie czy temperatura otoczenia jest zgodna z wymaganiami tj. + 10°C</w:t>
      </w:r>
      <w:r w:rsidRPr="0086260C">
        <w:rPr>
          <w:rFonts w:ascii="Cambria" w:hAnsi="Cambria"/>
          <w:iCs/>
          <w:color w:val="FF0000"/>
        </w:rPr>
        <w:t xml:space="preserve"> </w:t>
      </w:r>
      <w:r w:rsidR="005A4511">
        <w:rPr>
          <w:rFonts w:ascii="Cambria" w:hAnsi="Cambria"/>
          <w:iCs/>
        </w:rPr>
        <w:t xml:space="preserve"> oraz czy </w:t>
      </w:r>
      <w:r w:rsidRPr="0086260C">
        <w:rPr>
          <w:rFonts w:ascii="Cambria" w:hAnsi="Cambria"/>
          <w:iCs/>
        </w:rPr>
        <w:t>temperatura emulsji mieści się w zakresie od 65°  do 75°C,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 xml:space="preserve">- sprawdzenie czy na budowę dostarczone są grysy o </w:t>
      </w:r>
      <w:r w:rsidR="005A4511">
        <w:rPr>
          <w:rFonts w:ascii="Cambria" w:hAnsi="Cambria"/>
          <w:iCs/>
        </w:rPr>
        <w:t>przewidzianej frakcji, klasie i </w:t>
      </w:r>
      <w:r w:rsidRPr="0086260C">
        <w:rPr>
          <w:rFonts w:ascii="Cambria" w:hAnsi="Cambria"/>
          <w:iCs/>
        </w:rPr>
        <w:t>gatunku,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- sprawdzenie, czy na budowę dostarczona jest emulsja o przewidzianych parametrach,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- prowadzenie stałej obserwacji wypływu emulsji z dysz kolektora oraz stopnia pokrycia nawierzchni grysami. W przypadku zauważenia zatkania lub wadliwego wypływu emulsji choćby z jednej tylko dyszy, bądź też nierównomiernego pokrywania nawierzchni grysami należy natychmiast wstrzymać dalsze prowadzenie robót i usunąć przyczynę wadliwego funkcjonowania sprzętu,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- kontrolowanie liczby przejść walca i ciśnienia w oponach,</w:t>
      </w:r>
    </w:p>
    <w:p w:rsidR="003939AD" w:rsidRPr="00364D50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- dokonanie kontrolnych pomiarów ilości rozkładanej emulsji i grysów w sposób opisany w pkt. 6.1. Pomiary należy wykonywać co naj</w:t>
      </w:r>
      <w:r w:rsidR="005A4511">
        <w:rPr>
          <w:rFonts w:ascii="Cambria" w:hAnsi="Cambria"/>
          <w:iCs/>
        </w:rPr>
        <w:t>mniej jeden raz dziennie tuż po </w:t>
      </w:r>
      <w:r w:rsidRPr="0086260C">
        <w:rPr>
          <w:rFonts w:ascii="Cambria" w:hAnsi="Cambria"/>
          <w:iCs/>
        </w:rPr>
        <w:t>rozpoczęciu robót oraz w każdym przypadku, jeżeli wizualnie zaobserwuje się zmianę ilości wypływu emulsji z dysz kolektora lub zmianę ilości rozsypywanych grysów.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Badania i pomiary po wykonaniu powierzchniowego utrwalenia</w:t>
      </w:r>
    </w:p>
    <w:p w:rsidR="003939AD" w:rsidRDefault="003939AD" w:rsidP="004A245F">
      <w:pPr>
        <w:numPr>
          <w:ilvl w:val="2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Pomiar szerokości</w:t>
      </w:r>
    </w:p>
    <w:p w:rsidR="003939AD" w:rsidRPr="00364D50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Po zakończeniu robót i usunięciu nie związanych z</w:t>
      </w:r>
      <w:r w:rsidR="005A4511">
        <w:rPr>
          <w:rFonts w:ascii="Cambria" w:hAnsi="Cambria"/>
          <w:iCs/>
        </w:rPr>
        <w:t>iaren grysów z nawierzchni  i z </w:t>
      </w:r>
      <w:r w:rsidRPr="0086260C">
        <w:rPr>
          <w:rFonts w:ascii="Cambria" w:hAnsi="Cambria"/>
          <w:iCs/>
        </w:rPr>
        <w:t xml:space="preserve">pobocza przy jej krawędzi, zamawiający w obecności Wykonawcy dokonuje pomiaru szerokości </w:t>
      </w:r>
      <w:r>
        <w:rPr>
          <w:rFonts w:ascii="Cambria" w:hAnsi="Cambria"/>
          <w:iCs/>
        </w:rPr>
        <w:t>podwójnego</w:t>
      </w:r>
      <w:r w:rsidRPr="0086260C">
        <w:rPr>
          <w:rFonts w:ascii="Cambria" w:hAnsi="Cambria"/>
          <w:iCs/>
        </w:rPr>
        <w:t xml:space="preserve"> powierzchniowego utrwalenia nawierzchni w 10 miejscach na 1 km. Mierzy się szerokość tylko tej części jezdni, która charakteryzuje się dobrym osadzeniem ziaren grysów w emulsji. Pomierzona szer</w:t>
      </w:r>
      <w:r w:rsidR="005A4511">
        <w:rPr>
          <w:rFonts w:ascii="Cambria" w:hAnsi="Cambria"/>
          <w:iCs/>
        </w:rPr>
        <w:t>okość nie powinna się różnić od </w:t>
      </w:r>
      <w:r w:rsidRPr="0086260C">
        <w:rPr>
          <w:rFonts w:ascii="Cambria" w:hAnsi="Cambria"/>
          <w:iCs/>
        </w:rPr>
        <w:t xml:space="preserve">przewidzianej umową więcej niż +- 5 cm. Sprawdzenia i porównania z umową wymaga również lokalizacja początku i końca odcinka </w:t>
      </w:r>
      <w:r>
        <w:rPr>
          <w:rFonts w:ascii="Cambria" w:hAnsi="Cambria"/>
          <w:iCs/>
        </w:rPr>
        <w:t>podwójnego</w:t>
      </w:r>
      <w:r w:rsidRPr="0086260C">
        <w:rPr>
          <w:rFonts w:ascii="Cambria" w:hAnsi="Cambria"/>
          <w:iCs/>
        </w:rPr>
        <w:t xml:space="preserve"> powierzchniowego utrwalenia.</w:t>
      </w:r>
    </w:p>
    <w:p w:rsidR="003939AD" w:rsidRDefault="003939AD" w:rsidP="004A245F">
      <w:pPr>
        <w:numPr>
          <w:ilvl w:val="2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Pomiar równości</w:t>
      </w:r>
    </w:p>
    <w:p w:rsidR="003939AD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>Profil wykonanego powierzchniowego utrwalenia nawierzchni powinien odpowiadać profilowi podłużnemu i przekrojowi poprzecznemu istniejącej nawierzchni.</w:t>
      </w:r>
    </w:p>
    <w:p w:rsidR="003939AD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</w:p>
    <w:p w:rsidR="003939AD" w:rsidRPr="00364D50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</w:p>
    <w:p w:rsidR="003939AD" w:rsidRDefault="003939AD" w:rsidP="004A245F">
      <w:pPr>
        <w:numPr>
          <w:ilvl w:val="2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Ocena wyglądu zewnętrznego powierzchniowego utrwalenia nawierzchni.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iCs/>
        </w:rPr>
      </w:pPr>
      <w:r w:rsidRPr="0086260C">
        <w:rPr>
          <w:rFonts w:ascii="Cambria" w:hAnsi="Cambria"/>
          <w:iCs/>
        </w:rPr>
        <w:t xml:space="preserve">Oceny powierzchniowego utrwalenia dokonuje Zamawiający wspólnie z Wykonawcą metodą wizualną. </w:t>
      </w:r>
      <w:r>
        <w:rPr>
          <w:rFonts w:ascii="Cambria" w:hAnsi="Cambria"/>
          <w:iCs/>
        </w:rPr>
        <w:t>Podwójne</w:t>
      </w:r>
      <w:r w:rsidRPr="0086260C">
        <w:rPr>
          <w:rFonts w:ascii="Cambria" w:hAnsi="Cambria"/>
          <w:iCs/>
        </w:rPr>
        <w:t xml:space="preserve"> powierzchniowe utrwalenie nawierzchni powinno charakteryzować się  jednorodnym wyglądem zewnętrznym. Powierzchnia jezdni powinna być równomiernie pokryta ziarnami grysów dobrze osadzonymi w emulsji, tworzącymi wyraźną grubą makroteksturę. Przy właściwym dozowaniu grysów mogą wystąpić tylko minimalne zloty /rzędu 5% ilości rozłożonych grysów/.</w:t>
      </w:r>
    </w:p>
    <w:p w:rsidR="003939AD" w:rsidRDefault="003939AD" w:rsidP="004A245F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3939AD" w:rsidRPr="00364D50" w:rsidRDefault="003939AD" w:rsidP="004A245F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OBMIAR ROBÓT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Ogólne zasady obmiaru robót</w:t>
      </w:r>
    </w:p>
    <w:p w:rsidR="003939AD" w:rsidRPr="0086260C" w:rsidRDefault="003939AD" w:rsidP="004A245F">
      <w:pPr>
        <w:pStyle w:val="Tekstpodstawowywcity3"/>
        <w:spacing w:before="120" w:after="120"/>
        <w:ind w:left="0"/>
        <w:rPr>
          <w:rFonts w:ascii="Cambria" w:hAnsi="Cambria"/>
        </w:rPr>
      </w:pPr>
      <w:r w:rsidRPr="0086260C">
        <w:rPr>
          <w:rFonts w:ascii="Cambria" w:hAnsi="Cambria"/>
        </w:rPr>
        <w:t>Ogólne zasady obmiaru robót podano w SST D-M-00</w:t>
      </w:r>
      <w:r>
        <w:rPr>
          <w:rFonts w:ascii="Cambria" w:hAnsi="Cambria"/>
        </w:rPr>
        <w:t>.00.00. „Wymagania ogólne” pkt.</w:t>
      </w:r>
      <w:r w:rsidRPr="0086260C">
        <w:rPr>
          <w:rFonts w:ascii="Cambria" w:hAnsi="Cambria"/>
        </w:rPr>
        <w:t xml:space="preserve"> 7.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  <w:bCs/>
        </w:rPr>
      </w:pPr>
      <w:r w:rsidRPr="0086260C">
        <w:rPr>
          <w:rFonts w:ascii="Cambria" w:hAnsi="Cambria"/>
          <w:b/>
          <w:bCs/>
        </w:rPr>
        <w:t>Jednostka obmiarowa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</w:rPr>
      </w:pPr>
      <w:r w:rsidRPr="0086260C">
        <w:rPr>
          <w:rFonts w:ascii="Cambria" w:hAnsi="Cambria"/>
        </w:rPr>
        <w:t>Jednostką obmiarową jest m</w:t>
      </w:r>
      <w:r w:rsidRPr="0086260C">
        <w:rPr>
          <w:rFonts w:ascii="Cambria" w:hAnsi="Cambria"/>
          <w:vertAlign w:val="superscript"/>
        </w:rPr>
        <w:t xml:space="preserve">2 </w:t>
      </w:r>
      <w:r w:rsidRPr="0086260C">
        <w:rPr>
          <w:rFonts w:ascii="Cambria" w:hAnsi="Cambria"/>
        </w:rPr>
        <w:t>(metr kwadratowy) wykonanego powierzchniowego utrwalenia.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b/>
          <w:bCs/>
        </w:rPr>
      </w:pPr>
    </w:p>
    <w:p w:rsidR="003939AD" w:rsidRPr="00364D50" w:rsidRDefault="003939AD" w:rsidP="004A245F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ODBIÓR ROBÓT</w:t>
      </w:r>
    </w:p>
    <w:p w:rsidR="003939AD" w:rsidRPr="0086260C" w:rsidRDefault="003939AD" w:rsidP="004A245F">
      <w:pPr>
        <w:pStyle w:val="Tekstpodstawowywcity"/>
        <w:spacing w:before="120" w:after="120"/>
        <w:ind w:left="0" w:firstLine="0"/>
        <w:rPr>
          <w:rFonts w:ascii="Cambria" w:hAnsi="Cambria"/>
        </w:rPr>
      </w:pPr>
      <w:r w:rsidRPr="0086260C">
        <w:rPr>
          <w:rFonts w:ascii="Cambria" w:hAnsi="Cambria"/>
        </w:rPr>
        <w:t>Ogólne zasady odbioru robót podano w SST D-M-00.00.00. „Wymagania ogólne” punkt 8. Roboty uznaje się za wykonane zgodnie z umową, S</w:t>
      </w:r>
      <w:r w:rsidR="005A4511">
        <w:rPr>
          <w:rFonts w:ascii="Cambria" w:hAnsi="Cambria"/>
        </w:rPr>
        <w:t>ST i wymogami Inżyniera, jeżeli </w:t>
      </w:r>
      <w:r w:rsidRPr="0086260C">
        <w:rPr>
          <w:rFonts w:ascii="Cambria" w:hAnsi="Cambria"/>
        </w:rPr>
        <w:t>wszystkie pomiary i badania z zachowaniem tolerancji wg punkt 6, dały wyniki pozytywne.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3939AD" w:rsidRPr="00364D50" w:rsidRDefault="003939AD" w:rsidP="004A245F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PODSTAWA PŁATNOŚCI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Ogólne ustalenia dotyczące podstawy płatności</w:t>
      </w:r>
    </w:p>
    <w:p w:rsidR="003939AD" w:rsidRPr="00364D50" w:rsidRDefault="003939AD" w:rsidP="00364D50">
      <w:pPr>
        <w:pStyle w:val="Tekstpodstawowy"/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Ogólne ustalenia dotyczące podstawy płatności podano w SST D-M-00.00.00. „Wymagania ogólne” punkt 9.</w:t>
      </w:r>
    </w:p>
    <w:p w:rsidR="003939AD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Cena jednostki obmiarowej</w:t>
      </w:r>
    </w:p>
    <w:p w:rsidR="003939AD" w:rsidRPr="0086260C" w:rsidRDefault="003939AD" w:rsidP="004A245F">
      <w:pPr>
        <w:pStyle w:val="Tekstpodstawowy"/>
        <w:tabs>
          <w:tab w:val="left" w:pos="360"/>
        </w:tabs>
        <w:spacing w:before="120" w:after="12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Cena wykonania 1 m</w:t>
      </w:r>
      <w:r w:rsidRPr="0086260C">
        <w:rPr>
          <w:rFonts w:ascii="Cambria" w:hAnsi="Cambria"/>
          <w:iCs/>
          <w:sz w:val="24"/>
          <w:vertAlign w:val="superscript"/>
        </w:rPr>
        <w:t xml:space="preserve">2 </w:t>
      </w:r>
      <w:r w:rsidRPr="0086260C">
        <w:rPr>
          <w:rFonts w:ascii="Cambria" w:hAnsi="Cambria"/>
          <w:iCs/>
          <w:sz w:val="24"/>
        </w:rPr>
        <w:t>(jednego metra kwadratowego) powierzchniowego utrwalenia nawierzchni obejmuje: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prace pomiarowe i roboty przygotowawcze,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oznakowanie robót,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transport i składowanie kruszyw,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transport i składowanie emulsji,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dostawę i pracę sprzętu do robót,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przygotowanie powierzchni nawierzchni do wykonania powierzchniowego utrwalenia,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prace projektowe przy ustaleniu ilości materiałów,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pojedyncze rozłożenie lepiszcza,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pojedyncze rozłożenie kruszywa,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wałowanie,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lastRenderedPageBreak/>
        <w:t>oczyszczenie nawierzchni z innego kruszywa,</w:t>
      </w:r>
    </w:p>
    <w:p w:rsidR="003939AD" w:rsidRPr="0086260C" w:rsidRDefault="003939AD" w:rsidP="004A245F">
      <w:pPr>
        <w:pStyle w:val="Tekstpodstawowy"/>
        <w:numPr>
          <w:ilvl w:val="0"/>
          <w:numId w:val="1"/>
        </w:numPr>
        <w:tabs>
          <w:tab w:val="left" w:pos="360"/>
          <w:tab w:val="num" w:pos="1380"/>
        </w:tabs>
        <w:spacing w:before="120" w:after="120"/>
        <w:ind w:left="0" w:firstLine="0"/>
        <w:jc w:val="both"/>
        <w:rPr>
          <w:rFonts w:ascii="Cambria" w:hAnsi="Cambria"/>
          <w:iCs/>
          <w:sz w:val="24"/>
        </w:rPr>
      </w:pPr>
      <w:r w:rsidRPr="0086260C">
        <w:rPr>
          <w:rFonts w:ascii="Cambria" w:hAnsi="Cambria"/>
          <w:iCs/>
          <w:sz w:val="24"/>
        </w:rPr>
        <w:t>przeprowadzenie pomiarów i badań laboratoryjnych wymaganych w SST.</w:t>
      </w:r>
    </w:p>
    <w:p w:rsidR="003939AD" w:rsidRPr="0086260C" w:rsidRDefault="003939AD" w:rsidP="004A245F">
      <w:pPr>
        <w:spacing w:before="120" w:after="120" w:line="240" w:lineRule="atLeast"/>
        <w:jc w:val="both"/>
        <w:rPr>
          <w:rFonts w:ascii="Cambria" w:hAnsi="Cambria"/>
          <w:b/>
        </w:rPr>
      </w:pPr>
    </w:p>
    <w:p w:rsidR="003939AD" w:rsidRPr="00364D50" w:rsidRDefault="003939AD" w:rsidP="004A245F">
      <w:pPr>
        <w:numPr>
          <w:ilvl w:val="0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</w:rPr>
        <w:t>PRZEPISY  ZWIĄZANE</w:t>
      </w:r>
    </w:p>
    <w:p w:rsidR="003939AD" w:rsidRPr="00FA3A6C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  <w:bCs/>
        </w:rPr>
        <w:t>Normy</w:t>
      </w:r>
    </w:p>
    <w:p w:rsidR="003939AD" w:rsidRPr="0086260C" w:rsidRDefault="003939AD" w:rsidP="004A245F">
      <w:pPr>
        <w:spacing w:before="120" w:after="120"/>
        <w:ind w:left="360" w:hanging="360"/>
        <w:jc w:val="both"/>
        <w:rPr>
          <w:rFonts w:ascii="Cambria" w:hAnsi="Cambria"/>
        </w:rPr>
      </w:pPr>
      <w:r w:rsidRPr="0086260C">
        <w:rPr>
          <w:rFonts w:ascii="Cambria" w:hAnsi="Cambria"/>
        </w:rPr>
        <w:t>1. PN-EN 13043</w:t>
      </w:r>
      <w:r>
        <w:rPr>
          <w:rFonts w:ascii="Cambria" w:hAnsi="Cambria"/>
        </w:rPr>
        <w:t>:2004</w:t>
      </w:r>
      <w:r w:rsidRPr="0086260C">
        <w:rPr>
          <w:rFonts w:ascii="Cambria" w:hAnsi="Cambria"/>
        </w:rPr>
        <w:t xml:space="preserve"> - Kruszywa do mieszanek bitumicznych i powierzchniowych utrwaleń stosownych na drogach.</w:t>
      </w:r>
    </w:p>
    <w:p w:rsidR="003939AD" w:rsidRPr="0086260C" w:rsidRDefault="003939AD" w:rsidP="004A245F">
      <w:pPr>
        <w:spacing w:before="120" w:after="120"/>
        <w:ind w:left="360" w:hanging="360"/>
        <w:jc w:val="both"/>
        <w:rPr>
          <w:rFonts w:ascii="Cambria" w:hAnsi="Cambria"/>
        </w:rPr>
      </w:pPr>
      <w:r w:rsidRPr="0086260C">
        <w:rPr>
          <w:rFonts w:ascii="Cambria" w:hAnsi="Cambria"/>
        </w:rPr>
        <w:t>2. PN-EN 13614</w:t>
      </w:r>
      <w:r>
        <w:rPr>
          <w:rFonts w:ascii="Cambria" w:hAnsi="Cambria"/>
        </w:rPr>
        <w:t>:2011</w:t>
      </w:r>
      <w:r w:rsidRPr="0086260C">
        <w:rPr>
          <w:rFonts w:ascii="Cambria" w:hAnsi="Cambria"/>
        </w:rPr>
        <w:t xml:space="preserve"> – Asfalty i lepiszcza asfaltowe – oznaczanie przyczepności emulsji bitumicznych przez zanurzenie w wodzie – Metoda z kruszywem.</w:t>
      </w:r>
    </w:p>
    <w:p w:rsidR="003939AD" w:rsidRPr="0086260C" w:rsidRDefault="003939AD" w:rsidP="004A245F">
      <w:pPr>
        <w:spacing w:before="120" w:after="120"/>
        <w:ind w:left="360" w:hanging="360"/>
        <w:jc w:val="both"/>
        <w:rPr>
          <w:rFonts w:ascii="Cambria" w:hAnsi="Cambria"/>
        </w:rPr>
      </w:pPr>
      <w:r w:rsidRPr="0086260C">
        <w:rPr>
          <w:rFonts w:ascii="Cambria" w:hAnsi="Cambria"/>
        </w:rPr>
        <w:t>3. PN-65/S-96033 – Drogi  samochodowe. Powierzchniowe utrwalenie nawierzchni drogowych.</w:t>
      </w:r>
    </w:p>
    <w:p w:rsidR="003939AD" w:rsidRPr="0086260C" w:rsidRDefault="003939AD" w:rsidP="004A245F">
      <w:pPr>
        <w:spacing w:before="120" w:after="120"/>
        <w:ind w:left="360" w:hanging="360"/>
        <w:jc w:val="both"/>
        <w:rPr>
          <w:rFonts w:ascii="Cambria" w:hAnsi="Cambria"/>
        </w:rPr>
      </w:pPr>
      <w:r w:rsidRPr="0086260C">
        <w:rPr>
          <w:rFonts w:ascii="Cambria" w:hAnsi="Cambria"/>
        </w:rPr>
        <w:t>4. PN-71/S-96034 – Drogi samochodowe. Nawierzchnie bitumiczne powierzchniowe utrwalenie przy użyciu emulsji asfaltowej.</w:t>
      </w:r>
    </w:p>
    <w:p w:rsidR="003939AD" w:rsidRPr="00364D50" w:rsidRDefault="003939AD" w:rsidP="00364D50">
      <w:pPr>
        <w:spacing w:before="120" w:after="120"/>
        <w:jc w:val="both"/>
        <w:rPr>
          <w:rFonts w:ascii="Cambria" w:hAnsi="Cambria"/>
        </w:rPr>
      </w:pPr>
      <w:r w:rsidRPr="0086260C">
        <w:rPr>
          <w:rFonts w:ascii="Cambria" w:hAnsi="Cambria"/>
        </w:rPr>
        <w:t>5. PN-EN 13</w:t>
      </w:r>
      <w:r>
        <w:rPr>
          <w:rFonts w:ascii="Cambria" w:hAnsi="Cambria"/>
        </w:rPr>
        <w:t>8</w:t>
      </w:r>
      <w:r w:rsidRPr="0086260C">
        <w:rPr>
          <w:rFonts w:ascii="Cambria" w:hAnsi="Cambria"/>
        </w:rPr>
        <w:t>08</w:t>
      </w:r>
      <w:r>
        <w:rPr>
          <w:rFonts w:ascii="Cambria" w:hAnsi="Cambria"/>
        </w:rPr>
        <w:t>:2013-10</w:t>
      </w:r>
      <w:r w:rsidRPr="0086260C">
        <w:rPr>
          <w:rFonts w:ascii="Cambria" w:hAnsi="Cambria"/>
        </w:rPr>
        <w:t xml:space="preserve"> – Wymagania do kationowych emulsji asfaltowych.</w:t>
      </w:r>
    </w:p>
    <w:p w:rsidR="003939AD" w:rsidRPr="00FA3A6C" w:rsidRDefault="003939AD" w:rsidP="004A245F">
      <w:pPr>
        <w:numPr>
          <w:ilvl w:val="1"/>
          <w:numId w:val="11"/>
        </w:numPr>
        <w:spacing w:before="120" w:after="120" w:line="240" w:lineRule="atLeast"/>
        <w:jc w:val="both"/>
        <w:rPr>
          <w:rFonts w:ascii="Cambria" w:hAnsi="Cambria"/>
          <w:b/>
        </w:rPr>
      </w:pPr>
      <w:r w:rsidRPr="0086260C">
        <w:rPr>
          <w:rFonts w:ascii="Cambria" w:hAnsi="Cambria"/>
          <w:b/>
          <w:bCs/>
        </w:rPr>
        <w:t>Inne dokumenty</w:t>
      </w:r>
    </w:p>
    <w:p w:rsidR="003939AD" w:rsidRPr="0086260C" w:rsidRDefault="003939AD" w:rsidP="004A245F">
      <w:pPr>
        <w:numPr>
          <w:ilvl w:val="0"/>
          <w:numId w:val="36"/>
        </w:numPr>
        <w:tabs>
          <w:tab w:val="clear" w:pos="615"/>
          <w:tab w:val="left" w:pos="360"/>
          <w:tab w:val="num" w:pos="1380"/>
        </w:tabs>
        <w:spacing w:before="120" w:after="120" w:line="240" w:lineRule="atLeast"/>
        <w:ind w:left="360" w:hanging="360"/>
        <w:jc w:val="both"/>
        <w:rPr>
          <w:rFonts w:ascii="Cambria" w:hAnsi="Cambria"/>
        </w:rPr>
      </w:pPr>
      <w:r w:rsidRPr="0086260C">
        <w:rPr>
          <w:rFonts w:ascii="Cambria" w:hAnsi="Cambria"/>
        </w:rPr>
        <w:t>Powierzchniowe utrwalenie. Oznaczenie ilości rozkładanego lepiszcza i kruszywa. Opracowanie zalecane przez GDDKiA do stosowania.</w:t>
      </w:r>
    </w:p>
    <w:p w:rsidR="003939AD" w:rsidRPr="0086260C" w:rsidRDefault="003939AD" w:rsidP="004A245F">
      <w:pPr>
        <w:numPr>
          <w:ilvl w:val="0"/>
          <w:numId w:val="36"/>
        </w:numPr>
        <w:tabs>
          <w:tab w:val="left" w:pos="360"/>
          <w:tab w:val="num" w:pos="1380"/>
        </w:tabs>
        <w:spacing w:before="120" w:after="120" w:line="240" w:lineRule="atLeast"/>
        <w:ind w:left="360" w:hanging="360"/>
        <w:jc w:val="both"/>
        <w:rPr>
          <w:rFonts w:ascii="Cambria" w:hAnsi="Cambria"/>
        </w:rPr>
      </w:pPr>
      <w:r w:rsidRPr="0086260C">
        <w:rPr>
          <w:rFonts w:ascii="Cambria" w:hAnsi="Cambria"/>
        </w:rPr>
        <w:t>Warunki techniczne. Drogowe Kationowe emulsje asfaltowe EmA-99 IBDiM W-wa 1999 Zeszyt 60</w:t>
      </w:r>
    </w:p>
    <w:p w:rsidR="003939AD" w:rsidRDefault="003939AD" w:rsidP="004A245F">
      <w:pPr>
        <w:numPr>
          <w:ilvl w:val="0"/>
          <w:numId w:val="36"/>
        </w:numPr>
        <w:tabs>
          <w:tab w:val="left" w:pos="360"/>
          <w:tab w:val="num" w:pos="1380"/>
        </w:tabs>
        <w:spacing w:before="120" w:after="120" w:line="240" w:lineRule="atLeast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Wymagania techniczne WT-1 2014 „Kruszywa do mieszanek mineralno – asfaltowych i powierzchniowych utrwaleń.</w:t>
      </w:r>
    </w:p>
    <w:p w:rsidR="003939AD" w:rsidRPr="0086260C" w:rsidRDefault="003939AD" w:rsidP="004A245F">
      <w:pPr>
        <w:numPr>
          <w:ilvl w:val="0"/>
          <w:numId w:val="36"/>
        </w:numPr>
        <w:tabs>
          <w:tab w:val="left" w:pos="360"/>
          <w:tab w:val="num" w:pos="1380"/>
        </w:tabs>
        <w:spacing w:before="120" w:after="120" w:line="240" w:lineRule="atLeast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Wymagania techniczne WT-3 2009 „Kationowe emulsje asfaltowe na drogach publicznych”.</w:t>
      </w:r>
    </w:p>
    <w:sectPr w:rsidR="003939AD" w:rsidRPr="0086260C" w:rsidSect="00FD13B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sablanca">
    <w:altName w:val="Coronet"/>
    <w:panose1 w:val="00000000000000000000"/>
    <w:charset w:val="EE"/>
    <w:family w:val="script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704C"/>
    <w:multiLevelType w:val="multilevel"/>
    <w:tmpl w:val="B5E45A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07AD2D0C"/>
    <w:multiLevelType w:val="multilevel"/>
    <w:tmpl w:val="D06C3A7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E22B99"/>
    <w:multiLevelType w:val="multilevel"/>
    <w:tmpl w:val="A20666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393406"/>
    <w:multiLevelType w:val="multilevel"/>
    <w:tmpl w:val="0EDA2E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BF27E4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2242E0D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4746279"/>
    <w:multiLevelType w:val="multilevel"/>
    <w:tmpl w:val="C09E04B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77" w:hanging="1077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6A97A57"/>
    <w:multiLevelType w:val="multilevel"/>
    <w:tmpl w:val="E3EEC07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A4328F6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13234E5"/>
    <w:multiLevelType w:val="multilevel"/>
    <w:tmpl w:val="FE7EB6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C3465E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67E7473"/>
    <w:multiLevelType w:val="multilevel"/>
    <w:tmpl w:val="D45669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BD40C79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CBF622E"/>
    <w:multiLevelType w:val="hybridMultilevel"/>
    <w:tmpl w:val="8D3C9C00"/>
    <w:lvl w:ilvl="0" w:tplc="1CA8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86E52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6BC05F5"/>
    <w:multiLevelType w:val="multilevel"/>
    <w:tmpl w:val="B0240BD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8B94558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95F3823"/>
    <w:multiLevelType w:val="multilevel"/>
    <w:tmpl w:val="B770E31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D6B6615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F224969"/>
    <w:multiLevelType w:val="multilevel"/>
    <w:tmpl w:val="A20666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FA8497E"/>
    <w:multiLevelType w:val="multilevel"/>
    <w:tmpl w:val="B610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1D1BC6"/>
    <w:multiLevelType w:val="multilevel"/>
    <w:tmpl w:val="B610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CE125B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4D4770AF"/>
    <w:multiLevelType w:val="multilevel"/>
    <w:tmpl w:val="B0240BD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1044F3F"/>
    <w:multiLevelType w:val="multilevel"/>
    <w:tmpl w:val="AE1E411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F01793"/>
    <w:multiLevelType w:val="multilevel"/>
    <w:tmpl w:val="B0240BD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55BB36AF"/>
    <w:multiLevelType w:val="multilevel"/>
    <w:tmpl w:val="504857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6280F1C"/>
    <w:multiLevelType w:val="multilevel"/>
    <w:tmpl w:val="A20666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700764B"/>
    <w:multiLevelType w:val="multilevel"/>
    <w:tmpl w:val="CA92F9E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77" w:hanging="1077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9142268"/>
    <w:multiLevelType w:val="hybridMultilevel"/>
    <w:tmpl w:val="4184D20A"/>
    <w:lvl w:ilvl="0" w:tplc="BF4C5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9E5922"/>
    <w:multiLevelType w:val="hybridMultilevel"/>
    <w:tmpl w:val="8202248A"/>
    <w:lvl w:ilvl="0" w:tplc="1CA8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EE52FA"/>
    <w:multiLevelType w:val="multilevel"/>
    <w:tmpl w:val="CA92F9E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77" w:hanging="1077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6B3765FF"/>
    <w:multiLevelType w:val="multilevel"/>
    <w:tmpl w:val="E3EEC07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6DFC1BD0"/>
    <w:multiLevelType w:val="multilevel"/>
    <w:tmpl w:val="7B1EAF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0C32D47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24C2B14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3C47E45"/>
    <w:multiLevelType w:val="hybridMultilevel"/>
    <w:tmpl w:val="E5129B22"/>
    <w:lvl w:ilvl="0" w:tplc="1CA8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1B647E"/>
    <w:multiLevelType w:val="multilevel"/>
    <w:tmpl w:val="B0240BD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6CD6605"/>
    <w:multiLevelType w:val="multilevel"/>
    <w:tmpl w:val="22BA7A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E7E71C3"/>
    <w:multiLevelType w:val="multilevel"/>
    <w:tmpl w:val="21202F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E961E4E"/>
    <w:multiLevelType w:val="hybridMultilevel"/>
    <w:tmpl w:val="47AC0520"/>
    <w:lvl w:ilvl="0" w:tplc="1CA8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17"/>
  </w:num>
  <w:num w:numId="5">
    <w:abstractNumId w:val="3"/>
  </w:num>
  <w:num w:numId="6">
    <w:abstractNumId w:val="38"/>
  </w:num>
  <w:num w:numId="7">
    <w:abstractNumId w:val="33"/>
  </w:num>
  <w:num w:numId="8">
    <w:abstractNumId w:val="27"/>
  </w:num>
  <w:num w:numId="9">
    <w:abstractNumId w:val="26"/>
  </w:num>
  <w:num w:numId="10">
    <w:abstractNumId w:val="24"/>
  </w:num>
  <w:num w:numId="11">
    <w:abstractNumId w:val="23"/>
  </w:num>
  <w:num w:numId="12">
    <w:abstractNumId w:val="31"/>
  </w:num>
  <w:num w:numId="13">
    <w:abstractNumId w:val="22"/>
  </w:num>
  <w:num w:numId="14">
    <w:abstractNumId w:val="21"/>
  </w:num>
  <w:num w:numId="15">
    <w:abstractNumId w:val="20"/>
  </w:num>
  <w:num w:numId="16">
    <w:abstractNumId w:val="12"/>
  </w:num>
  <w:num w:numId="17">
    <w:abstractNumId w:val="34"/>
  </w:num>
  <w:num w:numId="18">
    <w:abstractNumId w:val="14"/>
  </w:num>
  <w:num w:numId="19">
    <w:abstractNumId w:val="5"/>
  </w:num>
  <w:num w:numId="20">
    <w:abstractNumId w:val="32"/>
  </w:num>
  <w:num w:numId="21">
    <w:abstractNumId w:val="7"/>
  </w:num>
  <w:num w:numId="22">
    <w:abstractNumId w:val="10"/>
  </w:num>
  <w:num w:numId="23">
    <w:abstractNumId w:val="39"/>
  </w:num>
  <w:num w:numId="24">
    <w:abstractNumId w:val="4"/>
  </w:num>
  <w:num w:numId="25">
    <w:abstractNumId w:val="8"/>
  </w:num>
  <w:num w:numId="26">
    <w:abstractNumId w:val="11"/>
  </w:num>
  <w:num w:numId="27">
    <w:abstractNumId w:val="25"/>
  </w:num>
  <w:num w:numId="28">
    <w:abstractNumId w:val="35"/>
  </w:num>
  <w:num w:numId="29">
    <w:abstractNumId w:val="15"/>
  </w:num>
  <w:num w:numId="30">
    <w:abstractNumId w:val="16"/>
  </w:num>
  <w:num w:numId="31">
    <w:abstractNumId w:val="1"/>
  </w:num>
  <w:num w:numId="32">
    <w:abstractNumId w:val="18"/>
  </w:num>
  <w:num w:numId="33">
    <w:abstractNumId w:val="2"/>
  </w:num>
  <w:num w:numId="34">
    <w:abstractNumId w:val="19"/>
  </w:num>
  <w:num w:numId="35">
    <w:abstractNumId w:val="28"/>
  </w:num>
  <w:num w:numId="36">
    <w:abstractNumId w:val="37"/>
  </w:num>
  <w:num w:numId="37">
    <w:abstractNumId w:val="30"/>
  </w:num>
  <w:num w:numId="38">
    <w:abstractNumId w:val="40"/>
  </w:num>
  <w:num w:numId="39">
    <w:abstractNumId w:val="13"/>
  </w:num>
  <w:num w:numId="40">
    <w:abstractNumId w:val="36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26E18"/>
    <w:rsid w:val="00013119"/>
    <w:rsid w:val="00031E83"/>
    <w:rsid w:val="000324EB"/>
    <w:rsid w:val="00062527"/>
    <w:rsid w:val="00074C09"/>
    <w:rsid w:val="000B6649"/>
    <w:rsid w:val="000F05C2"/>
    <w:rsid w:val="000F691F"/>
    <w:rsid w:val="00111ED9"/>
    <w:rsid w:val="00115ADD"/>
    <w:rsid w:val="0014158B"/>
    <w:rsid w:val="00145A83"/>
    <w:rsid w:val="001817DC"/>
    <w:rsid w:val="0019508E"/>
    <w:rsid w:val="001A7125"/>
    <w:rsid w:val="001B4DCD"/>
    <w:rsid w:val="001C7A62"/>
    <w:rsid w:val="001D2EF5"/>
    <w:rsid w:val="001E53C6"/>
    <w:rsid w:val="001F4D3D"/>
    <w:rsid w:val="001F5EE3"/>
    <w:rsid w:val="00203D07"/>
    <w:rsid w:val="002062A6"/>
    <w:rsid w:val="0021490A"/>
    <w:rsid w:val="0024364D"/>
    <w:rsid w:val="00257038"/>
    <w:rsid w:val="002613E6"/>
    <w:rsid w:val="00292F62"/>
    <w:rsid w:val="002C10F1"/>
    <w:rsid w:val="002C67FB"/>
    <w:rsid w:val="002D6DB8"/>
    <w:rsid w:val="003036DE"/>
    <w:rsid w:val="0031006C"/>
    <w:rsid w:val="00311385"/>
    <w:rsid w:val="00347AC2"/>
    <w:rsid w:val="00364D50"/>
    <w:rsid w:val="00367BBE"/>
    <w:rsid w:val="00374E80"/>
    <w:rsid w:val="003939AD"/>
    <w:rsid w:val="003960A3"/>
    <w:rsid w:val="003B5999"/>
    <w:rsid w:val="003D2994"/>
    <w:rsid w:val="003F050F"/>
    <w:rsid w:val="00415E75"/>
    <w:rsid w:val="0044445B"/>
    <w:rsid w:val="0045315A"/>
    <w:rsid w:val="00455BA3"/>
    <w:rsid w:val="00466548"/>
    <w:rsid w:val="00466FBB"/>
    <w:rsid w:val="00486E17"/>
    <w:rsid w:val="004969E8"/>
    <w:rsid w:val="004971D0"/>
    <w:rsid w:val="004A245F"/>
    <w:rsid w:val="004B0632"/>
    <w:rsid w:val="004D240D"/>
    <w:rsid w:val="004E6CE1"/>
    <w:rsid w:val="00500650"/>
    <w:rsid w:val="00510A74"/>
    <w:rsid w:val="00523A20"/>
    <w:rsid w:val="0058089A"/>
    <w:rsid w:val="0058776D"/>
    <w:rsid w:val="005A4511"/>
    <w:rsid w:val="005A4C03"/>
    <w:rsid w:val="005A5D1D"/>
    <w:rsid w:val="005D4E9C"/>
    <w:rsid w:val="005D68A6"/>
    <w:rsid w:val="005E442C"/>
    <w:rsid w:val="005F6F34"/>
    <w:rsid w:val="006262D8"/>
    <w:rsid w:val="00626E18"/>
    <w:rsid w:val="00627E0F"/>
    <w:rsid w:val="00634638"/>
    <w:rsid w:val="006528DE"/>
    <w:rsid w:val="00664C3B"/>
    <w:rsid w:val="006837CC"/>
    <w:rsid w:val="006C0464"/>
    <w:rsid w:val="006C2CB6"/>
    <w:rsid w:val="006C62FD"/>
    <w:rsid w:val="007054ED"/>
    <w:rsid w:val="00710310"/>
    <w:rsid w:val="00716769"/>
    <w:rsid w:val="00722AD9"/>
    <w:rsid w:val="00747412"/>
    <w:rsid w:val="007525EF"/>
    <w:rsid w:val="007801B8"/>
    <w:rsid w:val="00785E21"/>
    <w:rsid w:val="007A0393"/>
    <w:rsid w:val="007B679C"/>
    <w:rsid w:val="007C2F26"/>
    <w:rsid w:val="007D1619"/>
    <w:rsid w:val="007D6FF3"/>
    <w:rsid w:val="00801AF0"/>
    <w:rsid w:val="00822F1E"/>
    <w:rsid w:val="0086260C"/>
    <w:rsid w:val="008646E3"/>
    <w:rsid w:val="008A6BB8"/>
    <w:rsid w:val="008D3E64"/>
    <w:rsid w:val="00900D51"/>
    <w:rsid w:val="00917848"/>
    <w:rsid w:val="009253D3"/>
    <w:rsid w:val="00953743"/>
    <w:rsid w:val="00997728"/>
    <w:rsid w:val="009B44C0"/>
    <w:rsid w:val="00A06805"/>
    <w:rsid w:val="00A80E2E"/>
    <w:rsid w:val="00AA0CE2"/>
    <w:rsid w:val="00AA5B7C"/>
    <w:rsid w:val="00AC409C"/>
    <w:rsid w:val="00AD599C"/>
    <w:rsid w:val="00AF44BE"/>
    <w:rsid w:val="00B22B6C"/>
    <w:rsid w:val="00B23482"/>
    <w:rsid w:val="00B42859"/>
    <w:rsid w:val="00B56274"/>
    <w:rsid w:val="00B635D4"/>
    <w:rsid w:val="00BA4497"/>
    <w:rsid w:val="00BD2E96"/>
    <w:rsid w:val="00C10E7D"/>
    <w:rsid w:val="00C30C94"/>
    <w:rsid w:val="00C437FD"/>
    <w:rsid w:val="00C62C13"/>
    <w:rsid w:val="00C65672"/>
    <w:rsid w:val="00CA41A3"/>
    <w:rsid w:val="00CB0404"/>
    <w:rsid w:val="00CB2401"/>
    <w:rsid w:val="00DA39C7"/>
    <w:rsid w:val="00DA6A2B"/>
    <w:rsid w:val="00DD3187"/>
    <w:rsid w:val="00E21474"/>
    <w:rsid w:val="00E37732"/>
    <w:rsid w:val="00E40499"/>
    <w:rsid w:val="00E77F07"/>
    <w:rsid w:val="00F04CE3"/>
    <w:rsid w:val="00F20295"/>
    <w:rsid w:val="00F24AC9"/>
    <w:rsid w:val="00F2632D"/>
    <w:rsid w:val="00F4210C"/>
    <w:rsid w:val="00F73D5F"/>
    <w:rsid w:val="00FA3A6C"/>
    <w:rsid w:val="00FC08AA"/>
    <w:rsid w:val="00FD13B3"/>
    <w:rsid w:val="00FE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13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1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Wcicienormalne"/>
    <w:link w:val="Nagwek4Znak"/>
    <w:uiPriority w:val="99"/>
    <w:qFormat/>
    <w:rsid w:val="00626E18"/>
    <w:pPr>
      <w:ind w:left="354"/>
      <w:outlineLvl w:val="3"/>
    </w:pPr>
    <w:rPr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138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1138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F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5F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FC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5FCD"/>
    <w:rPr>
      <w:rFonts w:asciiTheme="minorHAnsi" w:eastAsiaTheme="minorEastAsia" w:hAnsiTheme="minorHAnsi" w:cstheme="minorBidi"/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5FC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6E18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5FC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26E18"/>
    <w:pPr>
      <w:tabs>
        <w:tab w:val="left" w:pos="8080"/>
      </w:tabs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5FC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26E18"/>
    <w:pPr>
      <w:spacing w:line="240" w:lineRule="atLeast"/>
      <w:ind w:left="567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5FCD"/>
    <w:rPr>
      <w:sz w:val="16"/>
      <w:szCs w:val="16"/>
    </w:rPr>
  </w:style>
  <w:style w:type="paragraph" w:styleId="Wcicienormalne">
    <w:name w:val="Normal Indent"/>
    <w:basedOn w:val="Normalny"/>
    <w:uiPriority w:val="99"/>
    <w:rsid w:val="00626E18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rsid w:val="003113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5FCD"/>
    <w:rPr>
      <w:sz w:val="24"/>
      <w:szCs w:val="24"/>
    </w:rPr>
  </w:style>
  <w:style w:type="paragraph" w:customStyle="1" w:styleId="StylIwony">
    <w:name w:val="Styl Iwony"/>
    <w:basedOn w:val="Normalny"/>
    <w:uiPriority w:val="99"/>
    <w:rsid w:val="00311385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Tytu">
    <w:name w:val="Title"/>
    <w:basedOn w:val="Normalny"/>
    <w:link w:val="TytuZnak"/>
    <w:uiPriority w:val="99"/>
    <w:qFormat/>
    <w:rsid w:val="00311385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875F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11385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11385"/>
    <w:rPr>
      <w:sz w:val="24"/>
      <w:lang w:val="pl-PL" w:eastAsia="pl-PL"/>
    </w:rPr>
  </w:style>
  <w:style w:type="paragraph" w:customStyle="1" w:styleId="Technical4">
    <w:name w:val="Technical 4"/>
    <w:uiPriority w:val="99"/>
    <w:rsid w:val="00311385"/>
    <w:pPr>
      <w:tabs>
        <w:tab w:val="left" w:pos="-720"/>
      </w:tabs>
      <w:suppressAutoHyphens/>
    </w:pPr>
    <w:rPr>
      <w:rFonts w:ascii="Casablanca" w:hAnsi="Casablanca"/>
      <w:b/>
      <w:sz w:val="24"/>
      <w:szCs w:val="20"/>
      <w:lang w:val="en-US"/>
    </w:rPr>
  </w:style>
  <w:style w:type="paragraph" w:customStyle="1" w:styleId="BodyText22">
    <w:name w:val="Body Text 22"/>
    <w:basedOn w:val="Normalny"/>
    <w:uiPriority w:val="99"/>
    <w:rsid w:val="00311385"/>
    <w:pPr>
      <w:suppressAutoHyphens/>
      <w:ind w:left="426"/>
      <w:jc w:val="both"/>
    </w:pPr>
    <w:rPr>
      <w:spacing w:val="-3"/>
      <w:szCs w:val="20"/>
    </w:rPr>
  </w:style>
  <w:style w:type="paragraph" w:styleId="Tekstdymka">
    <w:name w:val="Balloon Text"/>
    <w:basedOn w:val="Normalny"/>
    <w:link w:val="TekstdymkaZnak"/>
    <w:uiPriority w:val="99"/>
    <w:rsid w:val="00B56274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56274"/>
    <w:rPr>
      <w:rFonts w:ascii="Segoe UI" w:hAnsi="Segoe UI"/>
      <w:sz w:val="18"/>
    </w:rPr>
  </w:style>
  <w:style w:type="paragraph" w:styleId="Plandokumentu">
    <w:name w:val="Document Map"/>
    <w:basedOn w:val="Normalny"/>
    <w:link w:val="PlandokumentuZnak"/>
    <w:uiPriority w:val="99"/>
    <w:semiHidden/>
    <w:rsid w:val="005808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75FCD"/>
    <w:rPr>
      <w:sz w:val="0"/>
      <w:szCs w:val="0"/>
    </w:rPr>
  </w:style>
  <w:style w:type="table" w:styleId="Tabela-Siatka">
    <w:name w:val="Table Grid"/>
    <w:basedOn w:val="Standardowy"/>
    <w:uiPriority w:val="99"/>
    <w:rsid w:val="00C10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2828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TECHNICZNA</vt:lpstr>
    </vt:vector>
  </TitlesOfParts>
  <Company/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TECHNICZNA</dc:title>
  <dc:creator>JolantaKalkowska</dc:creator>
  <cp:lastModifiedBy>PZD7</cp:lastModifiedBy>
  <cp:revision>2</cp:revision>
  <cp:lastPrinted>2014-07-08T08:48:00Z</cp:lastPrinted>
  <dcterms:created xsi:type="dcterms:W3CDTF">2021-07-06T06:08:00Z</dcterms:created>
  <dcterms:modified xsi:type="dcterms:W3CDTF">2021-07-06T06:08:00Z</dcterms:modified>
</cp:coreProperties>
</file>