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D4BE" w14:textId="77777777" w:rsidR="00DD23AD" w:rsidRPr="004C2FCC" w:rsidRDefault="00DD23AD" w:rsidP="00DD23AD">
      <w:pPr>
        <w:pStyle w:val="Tekstpodstawowywcity"/>
        <w:framePr w:h="1435" w:hRule="exact" w:hSpace="142" w:wrap="around" w:vAnchor="text" w:hAnchor="page" w:x="1612" w:y="-1266"/>
        <w:jc w:val="both"/>
        <w:rPr>
          <w:rFonts w:ascii="Times New Roman" w:hAnsi="Times New Roman"/>
          <w:sz w:val="24"/>
          <w:szCs w:val="24"/>
        </w:rPr>
      </w:pPr>
    </w:p>
    <w:p w14:paraId="1A397AD5" w14:textId="77777777" w:rsidR="00DD23AD" w:rsidRPr="00AB1E13" w:rsidRDefault="00DD23AD" w:rsidP="00DD23AD">
      <w:pPr>
        <w:tabs>
          <w:tab w:val="center" w:pos="4536"/>
          <w:tab w:val="right" w:pos="9072"/>
        </w:tabs>
        <w:rPr>
          <w:rFonts w:asciiTheme="minorHAnsi" w:hAnsiTheme="minorHAnsi"/>
          <w:b/>
          <w:noProof/>
          <w:sz w:val="22"/>
          <w:szCs w:val="22"/>
        </w:rPr>
      </w:pPr>
      <w:r>
        <w:rPr>
          <w:noProof/>
        </w:rPr>
        <w:drawing>
          <wp:anchor distT="0" distB="0" distL="114300" distR="114300" simplePos="0" relativeHeight="251659264" behindDoc="0" locked="0" layoutInCell="1" allowOverlap="1" wp14:anchorId="37E62E6F" wp14:editId="00E162F5">
            <wp:simplePos x="0" y="0"/>
            <wp:positionH relativeFrom="column">
              <wp:posOffset>-800100</wp:posOffset>
            </wp:positionH>
            <wp:positionV relativeFrom="paragraph">
              <wp:posOffset>-262890</wp:posOffset>
            </wp:positionV>
            <wp:extent cx="2476500" cy="622300"/>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6" cstate="print">
                      <a:extLst>
                        <a:ext uri="{28A0092B-C50C-407E-A947-70E740481C1C}">
                          <a14:useLocalDpi xmlns:a14="http://schemas.microsoft.com/office/drawing/2010/main" val="0"/>
                        </a:ext>
                      </a:extLst>
                    </a:blip>
                    <a:srcRect l="16279" t="38200" r="16149" b="37583"/>
                    <a:stretch/>
                  </pic:blipFill>
                  <pic:spPr bwMode="auto">
                    <a:xfrm>
                      <a:off x="0" y="0"/>
                      <a:ext cx="2476500"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29EFF5" w14:textId="77777777" w:rsidR="00DD23AD" w:rsidRPr="00AB1E13" w:rsidRDefault="00DD23AD" w:rsidP="00DD23AD">
      <w:pPr>
        <w:tabs>
          <w:tab w:val="center" w:pos="4536"/>
          <w:tab w:val="right" w:pos="9072"/>
        </w:tabs>
        <w:rPr>
          <w:rFonts w:asciiTheme="minorHAnsi" w:hAnsiTheme="minorHAnsi"/>
          <w:b/>
          <w:noProof/>
          <w:sz w:val="22"/>
          <w:szCs w:val="22"/>
        </w:rPr>
      </w:pPr>
    </w:p>
    <w:p w14:paraId="25E754C9" w14:textId="77777777" w:rsidR="00DD23AD" w:rsidRPr="00AB1E13" w:rsidRDefault="00DD23AD" w:rsidP="00DD23AD">
      <w:pPr>
        <w:tabs>
          <w:tab w:val="center" w:pos="4536"/>
          <w:tab w:val="right" w:pos="9072"/>
        </w:tabs>
        <w:rPr>
          <w:rFonts w:asciiTheme="minorHAnsi" w:hAnsiTheme="minorHAnsi"/>
          <w:b/>
          <w:bCs/>
          <w:sz w:val="22"/>
          <w:szCs w:val="22"/>
        </w:rPr>
      </w:pPr>
    </w:p>
    <w:p w14:paraId="36AC6123" w14:textId="12174FF8" w:rsidR="00DD23AD" w:rsidRPr="00AB1E13" w:rsidRDefault="00DD23AD" w:rsidP="00DD23AD">
      <w:pPr>
        <w:tabs>
          <w:tab w:val="center" w:pos="4536"/>
          <w:tab w:val="right" w:pos="9072"/>
        </w:tabs>
        <w:rPr>
          <w:rFonts w:asciiTheme="minorHAnsi" w:hAnsiTheme="minorHAnsi"/>
          <w:b/>
          <w:bCs/>
          <w:sz w:val="22"/>
          <w:szCs w:val="22"/>
        </w:rPr>
      </w:pPr>
      <w:r w:rsidRPr="00AB1E13">
        <w:rPr>
          <w:rFonts w:asciiTheme="minorHAnsi" w:hAnsiTheme="minorHAnsi"/>
          <w:b/>
          <w:bCs/>
          <w:sz w:val="22"/>
          <w:szCs w:val="22"/>
        </w:rPr>
        <w:t xml:space="preserve">Adres: ul. </w:t>
      </w:r>
      <w:proofErr w:type="spellStart"/>
      <w:r w:rsidRPr="00AB1E13">
        <w:rPr>
          <w:rFonts w:asciiTheme="minorHAnsi" w:hAnsiTheme="minorHAnsi"/>
          <w:b/>
          <w:bCs/>
          <w:sz w:val="22"/>
          <w:szCs w:val="22"/>
        </w:rPr>
        <w:t>Artwińskiego</w:t>
      </w:r>
      <w:proofErr w:type="spellEnd"/>
      <w:r w:rsidRPr="00AB1E13">
        <w:rPr>
          <w:rFonts w:asciiTheme="minorHAnsi" w:hAnsiTheme="minorHAnsi"/>
          <w:b/>
          <w:bCs/>
          <w:sz w:val="22"/>
          <w:szCs w:val="22"/>
        </w:rPr>
        <w:t xml:space="preserve"> </w:t>
      </w:r>
      <w:smartTag w:uri="urn:schemas-microsoft-com:office:smarttags" w:element="metricconverter">
        <w:smartTagPr>
          <w:attr w:name="ProductID" w:val="3C"/>
        </w:smartTagPr>
        <w:r w:rsidRPr="00AB1E13">
          <w:rPr>
            <w:rFonts w:asciiTheme="minorHAnsi" w:hAnsiTheme="minorHAnsi"/>
            <w:b/>
            <w:bCs/>
            <w:sz w:val="22"/>
            <w:szCs w:val="22"/>
          </w:rPr>
          <w:t>3C</w:t>
        </w:r>
      </w:smartTag>
      <w:r w:rsidRPr="00AB1E13">
        <w:rPr>
          <w:rFonts w:asciiTheme="minorHAnsi" w:hAnsiTheme="minorHAnsi"/>
          <w:b/>
          <w:bCs/>
          <w:sz w:val="22"/>
          <w:szCs w:val="22"/>
        </w:rPr>
        <w:t xml:space="preserve">, 25-734 Kielce  </w:t>
      </w:r>
      <w:r w:rsidR="00C52698">
        <w:rPr>
          <w:rFonts w:asciiTheme="minorHAnsi" w:hAnsiTheme="minorHAnsi"/>
          <w:b/>
          <w:bCs/>
          <w:sz w:val="22"/>
          <w:szCs w:val="22"/>
        </w:rPr>
        <w:t>Dział</w:t>
      </w:r>
      <w:r w:rsidRPr="00AB1E13">
        <w:rPr>
          <w:rFonts w:asciiTheme="minorHAnsi" w:hAnsiTheme="minorHAnsi"/>
          <w:b/>
          <w:bCs/>
          <w:sz w:val="22"/>
          <w:szCs w:val="22"/>
        </w:rPr>
        <w:t xml:space="preserve"> Zamówień Publicznych</w:t>
      </w:r>
    </w:p>
    <w:p w14:paraId="0E174573" w14:textId="77777777" w:rsidR="00DD23AD" w:rsidRPr="00AB1E13" w:rsidRDefault="00DD23AD" w:rsidP="00DD23AD">
      <w:pPr>
        <w:rPr>
          <w:rFonts w:asciiTheme="minorHAnsi" w:hAnsiTheme="minorHAnsi"/>
          <w:b/>
          <w:bCs/>
          <w:sz w:val="22"/>
          <w:szCs w:val="22"/>
        </w:rPr>
      </w:pPr>
      <w:r w:rsidRPr="00AB1E13">
        <w:rPr>
          <w:rFonts w:asciiTheme="minorHAnsi" w:hAnsiTheme="minorHAnsi"/>
          <w:b/>
          <w:bCs/>
          <w:sz w:val="22"/>
          <w:szCs w:val="22"/>
        </w:rPr>
        <w:t>tel.: (0-41) 36-74-474/072  fax.: (0-41) 36-74071/481</w:t>
      </w:r>
    </w:p>
    <w:p w14:paraId="09CEB77C" w14:textId="03C6E78F" w:rsidR="00C12535" w:rsidRPr="009905BD" w:rsidRDefault="0040376C" w:rsidP="00624237">
      <w:pPr>
        <w:tabs>
          <w:tab w:val="center" w:pos="4536"/>
          <w:tab w:val="right" w:pos="9072"/>
        </w:tabs>
        <w:jc w:val="right"/>
        <w:rPr>
          <w:rFonts w:asciiTheme="minorHAnsi" w:hAnsiTheme="minorHAnsi"/>
        </w:rPr>
      </w:pPr>
      <w:r w:rsidRPr="009905BD">
        <w:rPr>
          <w:rFonts w:asciiTheme="minorHAnsi" w:hAnsiTheme="minorHAnsi"/>
        </w:rPr>
        <w:t>0</w:t>
      </w:r>
      <w:r w:rsidR="009905BD" w:rsidRPr="009905BD">
        <w:rPr>
          <w:rFonts w:asciiTheme="minorHAnsi" w:hAnsiTheme="minorHAnsi"/>
        </w:rPr>
        <w:t>8</w:t>
      </w:r>
      <w:r w:rsidR="00791DD1" w:rsidRPr="009905BD">
        <w:rPr>
          <w:rFonts w:asciiTheme="minorHAnsi" w:hAnsiTheme="minorHAnsi"/>
        </w:rPr>
        <w:t>.</w:t>
      </w:r>
      <w:r w:rsidRPr="009905BD">
        <w:rPr>
          <w:rFonts w:asciiTheme="minorHAnsi" w:hAnsiTheme="minorHAnsi"/>
        </w:rPr>
        <w:t>04</w:t>
      </w:r>
      <w:r w:rsidR="00791DD1" w:rsidRPr="009905BD">
        <w:rPr>
          <w:rFonts w:asciiTheme="minorHAnsi" w:hAnsiTheme="minorHAnsi"/>
        </w:rPr>
        <w:t>.202</w:t>
      </w:r>
      <w:r w:rsidRPr="009905BD">
        <w:rPr>
          <w:rFonts w:asciiTheme="minorHAnsi" w:hAnsiTheme="minorHAnsi"/>
        </w:rPr>
        <w:t>4</w:t>
      </w:r>
      <w:r w:rsidR="00DD23AD" w:rsidRPr="009905BD">
        <w:rPr>
          <w:rFonts w:asciiTheme="minorHAnsi" w:hAnsiTheme="minorHAnsi"/>
        </w:rPr>
        <w:t>r.</w:t>
      </w:r>
    </w:p>
    <w:p w14:paraId="3E6B7BC7" w14:textId="77777777" w:rsidR="00F855EE" w:rsidRPr="00C12535" w:rsidRDefault="00F855EE" w:rsidP="00DD23AD">
      <w:pPr>
        <w:pStyle w:val="Default"/>
        <w:jc w:val="center"/>
      </w:pPr>
      <w:r w:rsidRPr="00C12535">
        <w:rPr>
          <w:b/>
          <w:bCs/>
        </w:rPr>
        <w:t>WSZYSCY WYKONAWCY</w:t>
      </w:r>
    </w:p>
    <w:p w14:paraId="3C78694B" w14:textId="428C70EE" w:rsidR="00DD23AD" w:rsidRPr="00C12535" w:rsidRDefault="00663E44" w:rsidP="00AA2FF3">
      <w:pPr>
        <w:pStyle w:val="Default"/>
        <w:jc w:val="center"/>
        <w:rPr>
          <w:b/>
          <w:bCs/>
        </w:rPr>
      </w:pPr>
      <w:r w:rsidRPr="00C12535">
        <w:rPr>
          <w:b/>
          <w:bCs/>
        </w:rPr>
        <w:t>WYJAŚNIENIA DOTYCZĄCE S</w:t>
      </w:r>
      <w:r w:rsidR="00F855EE" w:rsidRPr="00C12535">
        <w:rPr>
          <w:b/>
          <w:bCs/>
        </w:rPr>
        <w:t>WZ</w:t>
      </w:r>
      <w:r w:rsidR="000B2F33">
        <w:rPr>
          <w:b/>
          <w:bCs/>
        </w:rPr>
        <w:t xml:space="preserve"> </w:t>
      </w:r>
    </w:p>
    <w:p w14:paraId="7554494E" w14:textId="77777777" w:rsidR="00C12535" w:rsidRPr="00AA2FF3" w:rsidRDefault="00C12535" w:rsidP="009509A2">
      <w:pPr>
        <w:pStyle w:val="Default"/>
        <w:rPr>
          <w:sz w:val="22"/>
          <w:szCs w:val="22"/>
        </w:rPr>
      </w:pPr>
    </w:p>
    <w:p w14:paraId="726C4094" w14:textId="08FB29CF" w:rsidR="00DD23AD" w:rsidRPr="00C52698" w:rsidRDefault="00F855EE" w:rsidP="00663E44">
      <w:pPr>
        <w:pStyle w:val="Default"/>
        <w:jc w:val="both"/>
        <w:rPr>
          <w:rFonts w:asciiTheme="minorHAnsi" w:hAnsiTheme="minorHAnsi" w:cstheme="minorHAnsi"/>
          <w:sz w:val="20"/>
          <w:szCs w:val="20"/>
        </w:rPr>
      </w:pPr>
      <w:r w:rsidRPr="00C52698">
        <w:rPr>
          <w:rFonts w:asciiTheme="minorHAnsi" w:hAnsiTheme="minorHAnsi" w:cstheme="minorHAnsi"/>
          <w:b/>
          <w:bCs/>
          <w:sz w:val="20"/>
          <w:szCs w:val="20"/>
        </w:rPr>
        <w:t>D</w:t>
      </w:r>
      <w:r w:rsidR="006E6DC1" w:rsidRPr="00C52698">
        <w:rPr>
          <w:rFonts w:asciiTheme="minorHAnsi" w:hAnsiTheme="minorHAnsi" w:cstheme="minorHAnsi"/>
          <w:b/>
          <w:bCs/>
          <w:sz w:val="20"/>
          <w:szCs w:val="20"/>
        </w:rPr>
        <w:t>o</w:t>
      </w:r>
      <w:r w:rsidR="00A07390" w:rsidRPr="00C52698">
        <w:rPr>
          <w:rFonts w:asciiTheme="minorHAnsi" w:hAnsiTheme="minorHAnsi" w:cstheme="minorHAnsi"/>
          <w:b/>
          <w:bCs/>
          <w:sz w:val="20"/>
          <w:szCs w:val="20"/>
        </w:rPr>
        <w:t>tyczy postępowania: AZP</w:t>
      </w:r>
      <w:r w:rsidR="00A21BB9" w:rsidRPr="00C52698">
        <w:rPr>
          <w:rFonts w:asciiTheme="minorHAnsi" w:hAnsiTheme="minorHAnsi" w:cstheme="minorHAnsi"/>
          <w:b/>
          <w:bCs/>
          <w:sz w:val="20"/>
          <w:szCs w:val="20"/>
        </w:rPr>
        <w:t>.</w:t>
      </w:r>
      <w:r w:rsidR="00A07390" w:rsidRPr="00C52698">
        <w:rPr>
          <w:rFonts w:asciiTheme="minorHAnsi" w:hAnsiTheme="minorHAnsi" w:cstheme="minorHAnsi"/>
          <w:b/>
          <w:bCs/>
          <w:sz w:val="20"/>
          <w:szCs w:val="20"/>
        </w:rPr>
        <w:t>2411.</w:t>
      </w:r>
      <w:r w:rsidR="0040376C" w:rsidRPr="00C52698">
        <w:rPr>
          <w:rFonts w:asciiTheme="minorHAnsi" w:hAnsiTheme="minorHAnsi" w:cstheme="minorHAnsi"/>
          <w:b/>
          <w:bCs/>
          <w:sz w:val="20"/>
          <w:szCs w:val="20"/>
        </w:rPr>
        <w:t>77</w:t>
      </w:r>
      <w:r w:rsidR="00A07390" w:rsidRPr="00C52698">
        <w:rPr>
          <w:rFonts w:asciiTheme="minorHAnsi" w:hAnsiTheme="minorHAnsi" w:cstheme="minorHAnsi"/>
          <w:b/>
          <w:bCs/>
          <w:sz w:val="20"/>
          <w:szCs w:val="20"/>
        </w:rPr>
        <w:t>.202</w:t>
      </w:r>
      <w:r w:rsidR="0040376C" w:rsidRPr="00C52698">
        <w:rPr>
          <w:rFonts w:asciiTheme="minorHAnsi" w:hAnsiTheme="minorHAnsi" w:cstheme="minorHAnsi"/>
          <w:b/>
          <w:bCs/>
          <w:sz w:val="20"/>
          <w:szCs w:val="20"/>
        </w:rPr>
        <w:t>4</w:t>
      </w:r>
      <w:r w:rsidR="00DD23AD" w:rsidRPr="00C52698">
        <w:rPr>
          <w:rFonts w:asciiTheme="minorHAnsi" w:hAnsiTheme="minorHAnsi" w:cstheme="minorHAnsi"/>
          <w:b/>
          <w:bCs/>
          <w:sz w:val="20"/>
          <w:szCs w:val="20"/>
        </w:rPr>
        <w:t>.MM</w:t>
      </w:r>
    </w:p>
    <w:p w14:paraId="3DF661E8" w14:textId="76F01700" w:rsidR="00F855EE" w:rsidRPr="00C52698" w:rsidRDefault="00F855EE" w:rsidP="004B654C">
      <w:pPr>
        <w:spacing w:afterLines="10" w:after="24"/>
        <w:jc w:val="both"/>
        <w:rPr>
          <w:rFonts w:asciiTheme="minorHAnsi" w:hAnsiTheme="minorHAnsi" w:cstheme="minorHAnsi"/>
          <w:b/>
        </w:rPr>
      </w:pPr>
      <w:r w:rsidRPr="00C52698">
        <w:rPr>
          <w:rFonts w:asciiTheme="minorHAnsi" w:hAnsiTheme="minorHAnsi" w:cstheme="minorHAnsi"/>
        </w:rPr>
        <w:t>przetarg nieograniczony o wartości powyżej kwot określonych w przepisach wydanych na podstawie art. 132 ustawy z dnia 19 września 2019 r. Prawo zamówień publicznych (</w:t>
      </w:r>
      <w:proofErr w:type="spellStart"/>
      <w:r w:rsidRPr="00C52698">
        <w:rPr>
          <w:rFonts w:asciiTheme="minorHAnsi" w:hAnsiTheme="minorHAnsi" w:cstheme="minorHAnsi"/>
        </w:rPr>
        <w:t>t.j</w:t>
      </w:r>
      <w:proofErr w:type="spellEnd"/>
      <w:r w:rsidRPr="00C52698">
        <w:rPr>
          <w:rFonts w:asciiTheme="minorHAnsi" w:hAnsiTheme="minorHAnsi" w:cstheme="minorHAnsi"/>
        </w:rPr>
        <w:t xml:space="preserve">. Dz.U. z 2019 r. poz. 2019 z </w:t>
      </w:r>
      <w:proofErr w:type="spellStart"/>
      <w:r w:rsidRPr="00C52698">
        <w:rPr>
          <w:rFonts w:asciiTheme="minorHAnsi" w:hAnsiTheme="minorHAnsi" w:cstheme="minorHAnsi"/>
        </w:rPr>
        <w:t>późn</w:t>
      </w:r>
      <w:proofErr w:type="spellEnd"/>
      <w:r w:rsidRPr="00C52698">
        <w:rPr>
          <w:rFonts w:asciiTheme="minorHAnsi" w:hAnsiTheme="minorHAnsi" w:cstheme="minorHAnsi"/>
        </w:rPr>
        <w:t>. zm.) na</w:t>
      </w:r>
      <w:r w:rsidR="004B654C" w:rsidRPr="00C52698">
        <w:rPr>
          <w:rFonts w:asciiTheme="minorHAnsi" w:hAnsiTheme="minorHAnsi" w:cstheme="minorHAnsi"/>
        </w:rPr>
        <w:t xml:space="preserve"> </w:t>
      </w:r>
      <w:r w:rsidRPr="00C52698">
        <w:rPr>
          <w:rFonts w:asciiTheme="minorHAnsi" w:hAnsiTheme="minorHAnsi" w:cstheme="minorHAnsi"/>
          <w:b/>
          <w:bCs/>
        </w:rPr>
        <w:t>„</w:t>
      </w:r>
      <w:r w:rsidR="004B654C" w:rsidRPr="00C52698">
        <w:rPr>
          <w:rFonts w:asciiTheme="minorHAnsi" w:hAnsiTheme="minorHAnsi" w:cstheme="minorHAnsi"/>
          <w:b/>
        </w:rPr>
        <w:t xml:space="preserve">ZAKUP I DOSTAWĘ LEKÓW </w:t>
      </w:r>
      <w:r w:rsidR="00EF4A3B" w:rsidRPr="00C52698">
        <w:rPr>
          <w:rFonts w:asciiTheme="minorHAnsi" w:hAnsiTheme="minorHAnsi" w:cstheme="minorHAnsi"/>
          <w:b/>
        </w:rPr>
        <w:t xml:space="preserve">ONKOLOGICZNYCH DLA </w:t>
      </w:r>
      <w:r w:rsidR="00DF1EE2" w:rsidRPr="00C52698">
        <w:rPr>
          <w:rFonts w:asciiTheme="minorHAnsi" w:hAnsiTheme="minorHAnsi" w:cstheme="minorHAnsi"/>
          <w:b/>
        </w:rPr>
        <w:t xml:space="preserve">APTEKI SZPITALNEJ </w:t>
      </w:r>
      <w:r w:rsidR="004B654C" w:rsidRPr="00C52698">
        <w:rPr>
          <w:rFonts w:asciiTheme="minorHAnsi" w:hAnsiTheme="minorHAnsi" w:cstheme="minorHAnsi"/>
          <w:b/>
        </w:rPr>
        <w:t>ŚWIĘTOKRZYSKIEGO CENTRUM ONKOLOGII W KIELCACH</w:t>
      </w:r>
      <w:r w:rsidRPr="00C52698">
        <w:rPr>
          <w:rFonts w:asciiTheme="minorHAnsi" w:hAnsiTheme="minorHAnsi" w:cstheme="minorHAnsi"/>
          <w:b/>
          <w:bCs/>
        </w:rPr>
        <w:t xml:space="preserve">”. </w:t>
      </w:r>
    </w:p>
    <w:p w14:paraId="3016C9BD" w14:textId="77777777" w:rsidR="00DD23AD" w:rsidRPr="009509A2" w:rsidRDefault="00DD23AD" w:rsidP="00663E44">
      <w:pPr>
        <w:pStyle w:val="Default"/>
        <w:jc w:val="both"/>
        <w:rPr>
          <w:rFonts w:asciiTheme="minorHAnsi" w:hAnsiTheme="minorHAnsi" w:cstheme="minorHAnsi"/>
          <w:sz w:val="22"/>
          <w:szCs w:val="22"/>
        </w:rPr>
      </w:pPr>
    </w:p>
    <w:p w14:paraId="754623EF" w14:textId="1B618AF3" w:rsidR="00F855EE" w:rsidRPr="0040376C" w:rsidRDefault="00F855EE" w:rsidP="00663E44">
      <w:pPr>
        <w:pStyle w:val="Default"/>
        <w:jc w:val="both"/>
        <w:rPr>
          <w:rFonts w:asciiTheme="minorHAnsi" w:hAnsiTheme="minorHAnsi" w:cstheme="minorHAnsi"/>
          <w:sz w:val="20"/>
          <w:szCs w:val="20"/>
        </w:rPr>
      </w:pPr>
      <w:r w:rsidRPr="0040376C">
        <w:rPr>
          <w:rFonts w:asciiTheme="minorHAnsi" w:hAnsiTheme="minorHAnsi" w:cstheme="minorHAnsi"/>
          <w:sz w:val="20"/>
          <w:szCs w:val="20"/>
        </w:rPr>
        <w:t xml:space="preserve">Na podstawi art. 135 ust. 6 ustawy Prawo zamówień publicznych, Zamawiający przekazuje treść zapytań dotyczących zapisów SWZ wraz z </w:t>
      </w:r>
      <w:r w:rsidR="00663E44" w:rsidRPr="0040376C">
        <w:rPr>
          <w:rFonts w:asciiTheme="minorHAnsi" w:hAnsiTheme="minorHAnsi" w:cstheme="minorHAnsi"/>
          <w:sz w:val="20"/>
          <w:szCs w:val="20"/>
        </w:rPr>
        <w:t>odpowiedziami i wyjaśnieniami S</w:t>
      </w:r>
      <w:r w:rsidRPr="0040376C">
        <w:rPr>
          <w:rFonts w:asciiTheme="minorHAnsi" w:hAnsiTheme="minorHAnsi" w:cstheme="minorHAnsi"/>
          <w:sz w:val="20"/>
          <w:szCs w:val="20"/>
        </w:rPr>
        <w:t xml:space="preserve">WZ. </w:t>
      </w:r>
    </w:p>
    <w:p w14:paraId="1EDD8495" w14:textId="77777777" w:rsidR="00DD23AD" w:rsidRPr="0040376C" w:rsidRDefault="00DD23AD" w:rsidP="00663E44">
      <w:pPr>
        <w:jc w:val="both"/>
        <w:rPr>
          <w:rFonts w:asciiTheme="minorHAnsi" w:hAnsiTheme="minorHAnsi" w:cstheme="minorHAnsi"/>
        </w:rPr>
      </w:pPr>
    </w:p>
    <w:p w14:paraId="36E69F6B" w14:textId="5061986D" w:rsidR="00D92627" w:rsidRPr="0040376C" w:rsidRDefault="00F855EE" w:rsidP="0040376C">
      <w:pPr>
        <w:jc w:val="both"/>
        <w:rPr>
          <w:rFonts w:asciiTheme="minorHAnsi" w:hAnsiTheme="minorHAnsi" w:cstheme="minorHAnsi"/>
        </w:rPr>
      </w:pPr>
      <w:r w:rsidRPr="0040376C">
        <w:rPr>
          <w:rFonts w:asciiTheme="minorHAnsi" w:hAnsiTheme="minorHAnsi" w:cstheme="minorHAnsi"/>
        </w:rPr>
        <w:t>W przedmiotowym postępowaniu wpłynęły następujące pytania:</w:t>
      </w:r>
    </w:p>
    <w:p w14:paraId="5F081ECD" w14:textId="04BA55D0" w:rsidR="004E3D89" w:rsidRPr="0040376C" w:rsidRDefault="004E3D89" w:rsidP="009D492E">
      <w:pPr>
        <w:autoSpaceDE w:val="0"/>
        <w:autoSpaceDN w:val="0"/>
        <w:adjustRightInd w:val="0"/>
        <w:rPr>
          <w:rFonts w:asciiTheme="minorHAnsi" w:hAnsiTheme="minorHAnsi" w:cstheme="minorHAnsi"/>
          <w:b/>
          <w:bCs/>
          <w:iCs/>
          <w:color w:val="000000" w:themeColor="text1"/>
        </w:rPr>
      </w:pPr>
      <w:r w:rsidRPr="0040376C">
        <w:rPr>
          <w:rFonts w:asciiTheme="minorHAnsi" w:hAnsiTheme="minorHAnsi" w:cstheme="minorHAnsi"/>
          <w:b/>
          <w:bCs/>
          <w:iCs/>
          <w:color w:val="000000" w:themeColor="text1"/>
        </w:rPr>
        <w:t>Pytanie nr 1</w:t>
      </w:r>
    </w:p>
    <w:p w14:paraId="71D0C2A2" w14:textId="4B2172C0" w:rsidR="0040376C" w:rsidRDefault="0040376C" w:rsidP="0040376C">
      <w:pPr>
        <w:autoSpaceDE w:val="0"/>
        <w:autoSpaceDN w:val="0"/>
        <w:jc w:val="both"/>
        <w:rPr>
          <w:rFonts w:asciiTheme="minorHAnsi" w:hAnsiTheme="minorHAnsi" w:cstheme="minorHAnsi"/>
          <w:iCs/>
        </w:rPr>
      </w:pPr>
      <w:r w:rsidRPr="0040376C">
        <w:rPr>
          <w:rFonts w:asciiTheme="minorHAnsi" w:hAnsiTheme="minorHAnsi" w:cstheme="minorHAnsi"/>
        </w:rPr>
        <w:t xml:space="preserve">Czy Zamawiający wykreśli zapis par. 2.14? Z chwilą dostawy towaru własność, a zatem wszelkie ryzyka związane z towarem przechodzą na Zamawiającego. Strony nie zawierają umowy najmu leków, ich użyczenia, przechowania, ani sprzedaży na próbę. Nie ma możliwości „zwrotu” leków, choćby z racji tego, że byłaby to sprzedaż hurtowa leków  dokonana przez nieuprawiony do tego podmiot leczniczy będący właścicielem „zwracanych” leków. </w:t>
      </w:r>
      <w:r w:rsidRPr="0040376C">
        <w:rPr>
          <w:rFonts w:asciiTheme="minorHAnsi" w:hAnsiTheme="minorHAnsi" w:cstheme="minorHAnsi"/>
          <w:iCs/>
        </w:rPr>
        <w:t xml:space="preserve">Realizacja każdej umowy obarczona jest ryzykiem i w toku jej wykonywania zajść może wiele zdarzeń losowych, ograniczających zamówienie. Mimo to ustawodawca zdecydował </w:t>
      </w:r>
      <w:r>
        <w:rPr>
          <w:rFonts w:asciiTheme="minorHAnsi" w:hAnsiTheme="minorHAnsi" w:cstheme="minorHAnsi"/>
          <w:iCs/>
        </w:rPr>
        <w:br/>
      </w:r>
      <w:r w:rsidRPr="0040376C">
        <w:rPr>
          <w:rFonts w:asciiTheme="minorHAnsi" w:hAnsiTheme="minorHAnsi" w:cstheme="minorHAnsi"/>
          <w:iCs/>
        </w:rPr>
        <w:t xml:space="preserve">o obligatoryjnym zapisie umowy, który musi gwarantować Wykonawcy realizację określonego minimum wartościowego. Jeśli zatem minimum takie określono, to nie są dopuszczalne dalsze wyłączenia  lub warunki w tym zakresie, nawet w razie „rezygnacji z terapii”. Z kolei w razie „stwierdzenia wady jakościowej” należy wdrożyć procedury  reklamacyjne, określone w par. 5 umowy, a nie zwracać towar zanim Wykonawca </w:t>
      </w:r>
      <w:r w:rsidRPr="0040376C">
        <w:rPr>
          <w:rFonts w:asciiTheme="minorHAnsi" w:hAnsiTheme="minorHAnsi" w:cstheme="minorHAnsi"/>
          <w:iCs/>
          <w:u w:val="single"/>
        </w:rPr>
        <w:t>uzna</w:t>
      </w:r>
      <w:r w:rsidRPr="0040376C">
        <w:rPr>
          <w:rFonts w:asciiTheme="minorHAnsi" w:hAnsiTheme="minorHAnsi" w:cstheme="minorHAnsi"/>
          <w:iCs/>
        </w:rPr>
        <w:t xml:space="preserve"> reklamację. </w:t>
      </w:r>
    </w:p>
    <w:p w14:paraId="106CBAD1" w14:textId="53B214B2" w:rsidR="0040376C" w:rsidRPr="0040376C" w:rsidRDefault="0040376C" w:rsidP="0040376C">
      <w:pPr>
        <w:autoSpaceDE w:val="0"/>
        <w:autoSpaceDN w:val="0"/>
        <w:jc w:val="both"/>
        <w:rPr>
          <w:rFonts w:asciiTheme="minorHAnsi" w:hAnsiTheme="minorHAnsi" w:cstheme="minorHAnsi"/>
          <w:iCs/>
        </w:rPr>
      </w:pPr>
      <w:r w:rsidRPr="0040376C">
        <w:rPr>
          <w:rFonts w:asciiTheme="minorHAnsi" w:hAnsiTheme="minorHAnsi" w:cstheme="minorHAnsi"/>
          <w:b/>
          <w:bCs/>
          <w:color w:val="000000" w:themeColor="text1"/>
        </w:rPr>
        <w:t>Odpowiedź: Zamawiający nie wyraża zgody na powyższe.</w:t>
      </w:r>
    </w:p>
    <w:p w14:paraId="52FBE623" w14:textId="77777777" w:rsidR="0040376C" w:rsidRPr="0040376C" w:rsidRDefault="0040376C" w:rsidP="0040376C">
      <w:pPr>
        <w:autoSpaceDE w:val="0"/>
        <w:autoSpaceDN w:val="0"/>
        <w:jc w:val="both"/>
        <w:rPr>
          <w:rFonts w:asciiTheme="minorHAnsi" w:hAnsiTheme="minorHAnsi" w:cstheme="minorHAnsi"/>
        </w:rPr>
      </w:pPr>
    </w:p>
    <w:p w14:paraId="0B66D364" w14:textId="77DC3CA6" w:rsidR="0040376C" w:rsidRP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b/>
          <w:bCs/>
          <w:iCs/>
          <w:color w:val="000000" w:themeColor="text1"/>
        </w:rPr>
        <w:t>Pytanie nr 2</w:t>
      </w:r>
    </w:p>
    <w:p w14:paraId="7B585025" w14:textId="77777777" w:rsidR="0040376C" w:rsidRP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rPr>
        <w:t xml:space="preserve">Czy Zamawiający w par. 3.2 wpisze jednolity, 12-miesięczny termin przydatności leków? Umożliwi to łatwą kontrolę tego parametru, a jest zasadą powszechnie stosowaną w dostawach leków. </w:t>
      </w:r>
    </w:p>
    <w:p w14:paraId="0D109645" w14:textId="26D2DEED" w:rsidR="0040376C" w:rsidRPr="0040376C" w:rsidRDefault="0040376C" w:rsidP="0040376C">
      <w:pPr>
        <w:jc w:val="both"/>
        <w:rPr>
          <w:rFonts w:asciiTheme="minorHAnsi" w:hAnsiTheme="minorHAnsi" w:cstheme="minorHAnsi"/>
          <w:color w:val="000000"/>
        </w:rPr>
      </w:pPr>
      <w:r w:rsidRPr="0040376C">
        <w:rPr>
          <w:rFonts w:asciiTheme="minorHAnsi" w:hAnsiTheme="minorHAnsi" w:cstheme="minorHAnsi"/>
          <w:b/>
          <w:bCs/>
          <w:color w:val="000000" w:themeColor="text1"/>
        </w:rPr>
        <w:t xml:space="preserve">Odpowiedź: </w:t>
      </w:r>
      <w:r w:rsidR="00C52698">
        <w:rPr>
          <w:rFonts w:asciiTheme="minorHAnsi" w:hAnsiTheme="minorHAnsi" w:cstheme="minorHAnsi"/>
          <w:b/>
          <w:bCs/>
          <w:color w:val="000000" w:themeColor="text1"/>
        </w:rPr>
        <w:t>Zamawiający podtrzymuje zapisy SWZ.</w:t>
      </w:r>
    </w:p>
    <w:p w14:paraId="3B73ED46" w14:textId="77777777" w:rsidR="0040376C" w:rsidRPr="0040376C" w:rsidRDefault="0040376C" w:rsidP="0040376C">
      <w:pPr>
        <w:autoSpaceDE w:val="0"/>
        <w:autoSpaceDN w:val="0"/>
        <w:jc w:val="both"/>
        <w:rPr>
          <w:rFonts w:asciiTheme="minorHAnsi" w:hAnsiTheme="minorHAnsi" w:cstheme="minorHAnsi"/>
        </w:rPr>
      </w:pPr>
    </w:p>
    <w:p w14:paraId="39E78CB3" w14:textId="76B24D78" w:rsidR="0040376C" w:rsidRP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b/>
          <w:bCs/>
          <w:iCs/>
          <w:color w:val="000000" w:themeColor="text1"/>
        </w:rPr>
        <w:t>Pytanie nr 3</w:t>
      </w:r>
    </w:p>
    <w:p w14:paraId="477EF2C6" w14:textId="77777777" w:rsid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rPr>
        <w:t xml:space="preserve">Czy Zamawiający w par. 5.2 doprecyzuje, że zgłoszenie reklamacji jest równoznaczne z niedostarczeniem towaru </w:t>
      </w:r>
      <w:r w:rsidRPr="0040376C">
        <w:rPr>
          <w:rFonts w:asciiTheme="minorHAnsi" w:hAnsiTheme="minorHAnsi" w:cstheme="minorHAnsi"/>
          <w:u w:val="single"/>
        </w:rPr>
        <w:t>pod warunkiem zasadności reklamacji</w:t>
      </w:r>
      <w:r w:rsidRPr="0040376C">
        <w:rPr>
          <w:rFonts w:asciiTheme="minorHAnsi" w:hAnsiTheme="minorHAnsi" w:cstheme="minorHAnsi"/>
        </w:rPr>
        <w:t xml:space="preserve">? Obecny zapis sugeruje, że niezależnie od wyniku postępowania reklamacyjnego każde zgłoszenie automatycznie kwalifikowane jest jako niedostarczenie dostawy, co implikuje naliczenie kar umownych, możliwość odstąpienia od umowy itd. </w:t>
      </w:r>
    </w:p>
    <w:p w14:paraId="36479155" w14:textId="38A25AB7" w:rsidR="0040376C" w:rsidRP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b/>
          <w:bCs/>
          <w:color w:val="000000" w:themeColor="text1"/>
        </w:rPr>
        <w:t>Odpowiedź: Zamawiający nie wyraża zgody na powyższe.</w:t>
      </w:r>
    </w:p>
    <w:p w14:paraId="0FC5F9F4" w14:textId="77777777" w:rsidR="0040376C" w:rsidRPr="0040376C" w:rsidRDefault="0040376C" w:rsidP="0040376C">
      <w:pPr>
        <w:autoSpaceDE w:val="0"/>
        <w:autoSpaceDN w:val="0"/>
        <w:jc w:val="both"/>
        <w:rPr>
          <w:rFonts w:asciiTheme="minorHAnsi" w:hAnsiTheme="minorHAnsi" w:cstheme="minorHAnsi"/>
        </w:rPr>
      </w:pPr>
    </w:p>
    <w:p w14:paraId="2FA10DC5" w14:textId="54837EEE" w:rsidR="0040376C" w:rsidRP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b/>
          <w:bCs/>
          <w:iCs/>
          <w:color w:val="000000" w:themeColor="text1"/>
        </w:rPr>
        <w:t>Pytanie nr 4</w:t>
      </w:r>
    </w:p>
    <w:p w14:paraId="69A94031" w14:textId="77777777" w:rsidR="0040376C" w:rsidRPr="0040376C" w:rsidRDefault="0040376C" w:rsidP="0040376C">
      <w:pPr>
        <w:autoSpaceDE w:val="0"/>
        <w:autoSpaceDN w:val="0"/>
        <w:jc w:val="both"/>
        <w:rPr>
          <w:rFonts w:asciiTheme="minorHAnsi" w:hAnsiTheme="minorHAnsi" w:cstheme="minorHAnsi"/>
          <w:u w:val="single"/>
        </w:rPr>
      </w:pPr>
      <w:r w:rsidRPr="0040376C">
        <w:rPr>
          <w:rFonts w:asciiTheme="minorHAnsi" w:hAnsiTheme="minorHAnsi" w:cstheme="minorHAnsi"/>
        </w:rPr>
        <w:t xml:space="preserve">Czy Zamawiający zmniejszy wartość kary umownej określonej w par. 6.1.b z 2% do wartości max. 0,2%? Obecna kara jest </w:t>
      </w:r>
      <w:r w:rsidRPr="0040376C">
        <w:rPr>
          <w:rFonts w:asciiTheme="minorHAnsi" w:hAnsiTheme="minorHAnsi" w:cstheme="minorHAnsi"/>
          <w:u w:val="single"/>
        </w:rPr>
        <w:t>rażąco wygórowana.</w:t>
      </w:r>
    </w:p>
    <w:p w14:paraId="61A188F9" w14:textId="5E1C19F6" w:rsidR="0040376C" w:rsidRPr="00C52698" w:rsidRDefault="0040376C" w:rsidP="00C52698">
      <w:pPr>
        <w:pStyle w:val="Normalny10"/>
        <w:jc w:val="both"/>
        <w:rPr>
          <w:rFonts w:asciiTheme="minorHAnsi" w:hAnsiTheme="minorHAnsi" w:cstheme="minorHAnsi"/>
          <w:b/>
          <w:bCs/>
          <w:sz w:val="20"/>
          <w:szCs w:val="20"/>
        </w:rPr>
      </w:pPr>
      <w:r w:rsidRPr="00C52698">
        <w:rPr>
          <w:rFonts w:asciiTheme="minorHAnsi" w:hAnsiTheme="minorHAnsi" w:cstheme="minorHAnsi"/>
          <w:b/>
          <w:bCs/>
          <w:color w:val="000000" w:themeColor="text1"/>
          <w:sz w:val="20"/>
          <w:szCs w:val="20"/>
        </w:rPr>
        <w:t>Odpowiedź:</w:t>
      </w:r>
      <w:r w:rsidRPr="0040376C">
        <w:rPr>
          <w:rFonts w:asciiTheme="minorHAnsi" w:hAnsiTheme="minorHAnsi" w:cstheme="minorHAnsi"/>
          <w:b/>
          <w:bCs/>
          <w:color w:val="000000" w:themeColor="text1"/>
        </w:rPr>
        <w:t xml:space="preserve"> </w:t>
      </w:r>
      <w:r w:rsidR="00C52698">
        <w:rPr>
          <w:rFonts w:asciiTheme="minorHAnsi" w:hAnsiTheme="minorHAnsi" w:cstheme="minorHAnsi"/>
          <w:b/>
          <w:bCs/>
          <w:sz w:val="20"/>
          <w:szCs w:val="20"/>
        </w:rPr>
        <w:t>Zamawiający zmniejsza karę umowną określoną w par. 6.1.b z 2% do wartości 0,5 %.</w:t>
      </w:r>
    </w:p>
    <w:p w14:paraId="265A42E8" w14:textId="77777777" w:rsidR="0040376C" w:rsidRPr="0040376C" w:rsidRDefault="0040376C" w:rsidP="0040376C">
      <w:pPr>
        <w:autoSpaceDE w:val="0"/>
        <w:autoSpaceDN w:val="0"/>
        <w:jc w:val="both"/>
        <w:rPr>
          <w:rFonts w:asciiTheme="minorHAnsi" w:hAnsiTheme="minorHAnsi" w:cstheme="minorHAnsi"/>
          <w:u w:val="single"/>
        </w:rPr>
      </w:pPr>
    </w:p>
    <w:p w14:paraId="2B91D13C" w14:textId="21D34F4B" w:rsidR="0040376C" w:rsidRPr="0040376C" w:rsidRDefault="0040376C" w:rsidP="0040376C">
      <w:pPr>
        <w:autoSpaceDE w:val="0"/>
        <w:autoSpaceDN w:val="0"/>
        <w:jc w:val="both"/>
        <w:rPr>
          <w:rFonts w:asciiTheme="minorHAnsi" w:hAnsiTheme="minorHAnsi" w:cstheme="minorHAnsi"/>
        </w:rPr>
      </w:pPr>
      <w:r w:rsidRPr="0040376C">
        <w:rPr>
          <w:rFonts w:asciiTheme="minorHAnsi" w:hAnsiTheme="minorHAnsi" w:cstheme="minorHAnsi"/>
          <w:b/>
          <w:bCs/>
          <w:iCs/>
          <w:color w:val="000000" w:themeColor="text1"/>
        </w:rPr>
        <w:t>Pytanie nr 5</w:t>
      </w:r>
    </w:p>
    <w:p w14:paraId="0DAAA636" w14:textId="77777777" w:rsidR="0040376C" w:rsidRDefault="0040376C" w:rsidP="0040376C">
      <w:pPr>
        <w:jc w:val="both"/>
        <w:rPr>
          <w:rFonts w:asciiTheme="minorHAnsi" w:hAnsiTheme="minorHAnsi" w:cstheme="minorHAnsi"/>
          <w:color w:val="000000"/>
        </w:rPr>
      </w:pPr>
      <w:r w:rsidRPr="0040376C">
        <w:rPr>
          <w:rFonts w:asciiTheme="minorHAnsi" w:hAnsiTheme="minorHAnsi" w:cstheme="minorHAnsi"/>
        </w:rPr>
        <w:t>Czy Zamawiający w par. 7.8 dopisze, że wskutek zastosowania tych wskaźników cena towaru nie może spaść poniżej ceny ofertowej lub innej, proponowanej w danym momencie zgodnie z umową? Praktyka wykazuje, że Zamawiający w przypadku obniżenia ‘wskaźnika inflacji’ żądają obniżenia cen dostarczanych produktów. Rozumowanie takie jest jednak całkowicie błędne, gdyż w Polsce nie mamy – i długo nie będziemy mieć do czynienia – z deflacją. Niższy wskaźnik w kolejnym okresie oznacza w istocie, w obecnym okresie, że wyhamowało tempo inflacji, ale nie, że ceny spadły do niższego poziomu. Jeśli  cena ofertowa wynosi 100, to wskutek ‘ujemnego wskaźnika inflacji’ nie może ona spaść np. do poziomu 95, gdyż oznaczałoby, to ceny w Polsce spadają, a tak nie jest. Ujemny wskaźnik w stosunku do poprzedniego okresu oznacza jedynie mniejsze tempo inflacji, ale nie deflację.</w:t>
      </w:r>
    </w:p>
    <w:p w14:paraId="2C1D537E" w14:textId="55B9C307" w:rsidR="009D492E" w:rsidRPr="0040376C" w:rsidRDefault="009D492E" w:rsidP="0040376C">
      <w:pPr>
        <w:jc w:val="both"/>
        <w:rPr>
          <w:rFonts w:asciiTheme="minorHAnsi" w:hAnsiTheme="minorHAnsi" w:cstheme="minorHAnsi"/>
          <w:color w:val="000000"/>
        </w:rPr>
      </w:pPr>
      <w:r w:rsidRPr="0040376C">
        <w:rPr>
          <w:rFonts w:asciiTheme="minorHAnsi" w:hAnsiTheme="minorHAnsi" w:cstheme="minorHAnsi"/>
          <w:b/>
          <w:bCs/>
          <w:color w:val="000000" w:themeColor="text1"/>
        </w:rPr>
        <w:t xml:space="preserve">Odpowiedź: </w:t>
      </w:r>
      <w:r w:rsidR="0040376C">
        <w:rPr>
          <w:rFonts w:asciiTheme="minorHAnsi" w:hAnsiTheme="minorHAnsi" w:cstheme="minorHAnsi"/>
          <w:b/>
          <w:bCs/>
          <w:color w:val="000000" w:themeColor="text1"/>
        </w:rPr>
        <w:t>Zamawiający podtrzymuje zapisy SWZ.</w:t>
      </w:r>
    </w:p>
    <w:p w14:paraId="4584CCB7" w14:textId="77777777" w:rsidR="00D92627" w:rsidRPr="0040376C" w:rsidRDefault="00D92627" w:rsidP="00D92627">
      <w:pPr>
        <w:spacing w:line="276" w:lineRule="auto"/>
        <w:ind w:left="300"/>
        <w:jc w:val="both"/>
        <w:rPr>
          <w:rFonts w:asciiTheme="minorHAnsi" w:hAnsiTheme="minorHAnsi" w:cstheme="minorHAnsi"/>
          <w:color w:val="000000" w:themeColor="text1"/>
        </w:rPr>
      </w:pPr>
    </w:p>
    <w:p w14:paraId="6E5C96D0" w14:textId="77777777" w:rsidR="000B2F33" w:rsidRDefault="000B2F33" w:rsidP="000B2F33">
      <w:pPr>
        <w:jc w:val="both"/>
        <w:rPr>
          <w:rFonts w:asciiTheme="minorHAnsi" w:hAnsiTheme="minorHAnsi" w:cstheme="minorHAnsi"/>
          <w:sz w:val="22"/>
          <w:szCs w:val="22"/>
        </w:rPr>
      </w:pPr>
      <w:r w:rsidRPr="0052788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18C529A" w14:textId="77777777" w:rsidR="000B2F33" w:rsidRDefault="000B2F33" w:rsidP="000B2F33">
      <w:pPr>
        <w:jc w:val="both"/>
        <w:rPr>
          <w:rFonts w:asciiTheme="minorHAnsi" w:hAnsiTheme="minorHAnsi" w:cstheme="minorHAnsi"/>
          <w:sz w:val="22"/>
          <w:szCs w:val="22"/>
        </w:rPr>
      </w:pPr>
    </w:p>
    <w:p w14:paraId="66C6D29F" w14:textId="77777777" w:rsidR="003262C3" w:rsidRDefault="000B2F33" w:rsidP="000B2F33">
      <w:pPr>
        <w:jc w:val="both"/>
        <w:rPr>
          <w:rFonts w:asciiTheme="minorHAnsi" w:hAnsiTheme="minorHAnsi" w:cstheme="minorHAnsi"/>
        </w:rPr>
      </w:pPr>
      <w:r w:rsidRPr="000B2F33">
        <w:rPr>
          <w:rFonts w:asciiTheme="minorHAnsi" w:hAnsiTheme="minorHAnsi" w:cstheme="minorHAnsi"/>
        </w:rPr>
        <w:t xml:space="preserve">       </w:t>
      </w:r>
    </w:p>
    <w:p w14:paraId="333A5E8C" w14:textId="77777777" w:rsidR="003262C3" w:rsidRDefault="003262C3" w:rsidP="000B2F33">
      <w:pPr>
        <w:jc w:val="both"/>
        <w:rPr>
          <w:rFonts w:asciiTheme="minorHAnsi" w:hAnsiTheme="minorHAnsi" w:cstheme="minorHAnsi"/>
        </w:rPr>
      </w:pPr>
    </w:p>
    <w:p w14:paraId="7DD87E9A" w14:textId="5430FCC8" w:rsidR="00A10579" w:rsidRPr="00645621" w:rsidRDefault="003262C3" w:rsidP="003262C3">
      <w:pPr>
        <w:rPr>
          <w:rFonts w:asciiTheme="minorHAnsi" w:eastAsiaTheme="minorHAnsi" w:hAnsiTheme="minorHAnsi" w:cstheme="minorHAnsi"/>
          <w:lang w:eastAsia="en-US"/>
        </w:rPr>
      </w:pPr>
      <w:r w:rsidRPr="00A10579">
        <w:rPr>
          <w:rFonts w:asciiTheme="minorHAnsi" w:eastAsiaTheme="minorHAnsi" w:hAnsiTheme="minorHAnsi" w:cstheme="minorHAnsi"/>
          <w:lang w:eastAsia="en-US"/>
        </w:rPr>
        <w:t xml:space="preserve">            Ponadto, na podstawi art. 137 ust. 1 ustawy Prawo zamówień publicznych, Zamawiający zmienia treść Specyfikacji Warunków Zamówienia w ROZDZIALE XII, który przyjmuje brzmienie:</w:t>
      </w:r>
    </w:p>
    <w:p w14:paraId="291B5DD5" w14:textId="77777777" w:rsidR="00A10579" w:rsidRPr="00A10579" w:rsidRDefault="00A10579" w:rsidP="00A10579">
      <w:pPr>
        <w:pStyle w:val="Nagwek2"/>
        <w:spacing w:before="240" w:afterLines="10" w:after="24" w:line="240" w:lineRule="auto"/>
        <w:jc w:val="both"/>
        <w:rPr>
          <w:rFonts w:asciiTheme="minorHAnsi" w:hAnsiTheme="minorHAnsi" w:cstheme="minorHAnsi"/>
          <w:sz w:val="20"/>
          <w:u w:val="none"/>
        </w:rPr>
      </w:pPr>
      <w:r w:rsidRPr="00A10579">
        <w:rPr>
          <w:rFonts w:asciiTheme="minorHAnsi" w:hAnsiTheme="minorHAnsi" w:cstheme="minorHAnsi"/>
          <w:sz w:val="20"/>
          <w:u w:val="none"/>
        </w:rPr>
        <w:t>KRYTERIA OCENY OFERT</w:t>
      </w:r>
    </w:p>
    <w:p w14:paraId="18B31921" w14:textId="57D71150" w:rsidR="00645621" w:rsidRPr="00645621" w:rsidRDefault="00A10579" w:rsidP="00645621">
      <w:pPr>
        <w:pStyle w:val="Akapitzlist"/>
        <w:numPr>
          <w:ilvl w:val="0"/>
          <w:numId w:val="11"/>
        </w:numPr>
        <w:suppressAutoHyphens/>
        <w:spacing w:before="120"/>
        <w:ind w:left="426" w:hanging="426"/>
        <w:contextualSpacing w:val="0"/>
        <w:jc w:val="both"/>
        <w:rPr>
          <w:rFonts w:asciiTheme="minorHAnsi" w:eastAsia="Times New Roman" w:hAnsiTheme="minorHAnsi" w:cstheme="minorHAnsi"/>
          <w:color w:val="000000"/>
          <w:sz w:val="20"/>
          <w:szCs w:val="20"/>
        </w:rPr>
      </w:pPr>
      <w:r w:rsidRPr="00A10579">
        <w:rPr>
          <w:rFonts w:asciiTheme="minorHAnsi" w:eastAsia="Times New Roman" w:hAnsiTheme="minorHAnsi" w:cstheme="minorHAnsi"/>
          <w:color w:val="000000"/>
          <w:sz w:val="20"/>
          <w:szCs w:val="20"/>
        </w:rPr>
        <w:t>Ocena ofert dokonana zostanie według następujących kryteriów:</w:t>
      </w:r>
    </w:p>
    <w:p w14:paraId="3580AC26" w14:textId="7C549801" w:rsidR="00645621" w:rsidRPr="00D67A7F" w:rsidRDefault="00645621" w:rsidP="00645621">
      <w:pPr>
        <w:suppressAutoHyphens/>
        <w:rPr>
          <w:rFonts w:ascii="Cambria" w:hAnsi="Cambria" w:cs="Arial"/>
          <w:b/>
          <w:bCs/>
          <w:color w:val="000000"/>
        </w:rPr>
      </w:pPr>
      <w:r>
        <w:rPr>
          <w:rFonts w:ascii="Cambria" w:hAnsi="Cambria" w:cs="Arial"/>
          <w:color w:val="000000"/>
        </w:rPr>
        <w:t xml:space="preserve">         </w:t>
      </w:r>
      <w:r w:rsidRPr="00D67A7F">
        <w:rPr>
          <w:rFonts w:ascii="Cambria" w:hAnsi="Cambria" w:cs="Arial"/>
          <w:b/>
          <w:bCs/>
          <w:color w:val="000000"/>
        </w:rPr>
        <w:t xml:space="preserve">PAKIET nr </w:t>
      </w:r>
      <w:r>
        <w:rPr>
          <w:rFonts w:ascii="Cambria" w:hAnsi="Cambria" w:cs="Arial"/>
          <w:b/>
          <w:bCs/>
          <w:color w:val="000000"/>
        </w:rPr>
        <w:t>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528"/>
        <w:gridCol w:w="2268"/>
      </w:tblGrid>
      <w:tr w:rsidR="00645621" w:rsidRPr="005D4D98" w14:paraId="1A943A5D" w14:textId="77777777" w:rsidTr="004720F5">
        <w:trPr>
          <w:trHeight w:val="366"/>
        </w:trPr>
        <w:tc>
          <w:tcPr>
            <w:tcW w:w="850" w:type="dxa"/>
            <w:shd w:val="clear" w:color="auto" w:fill="auto"/>
            <w:vAlign w:val="center"/>
          </w:tcPr>
          <w:p w14:paraId="2458F031" w14:textId="77777777" w:rsidR="00645621" w:rsidRPr="005D4D98" w:rsidRDefault="00645621" w:rsidP="004720F5">
            <w:pPr>
              <w:pStyle w:val="Akapitzlist"/>
              <w:suppressAutoHyphens/>
              <w:spacing w:before="120"/>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Lp.</w:t>
            </w:r>
          </w:p>
        </w:tc>
        <w:tc>
          <w:tcPr>
            <w:tcW w:w="5528" w:type="dxa"/>
            <w:shd w:val="clear" w:color="auto" w:fill="auto"/>
            <w:vAlign w:val="center"/>
          </w:tcPr>
          <w:p w14:paraId="03035F19" w14:textId="77777777" w:rsidR="00645621" w:rsidRPr="005D4D98" w:rsidRDefault="00645621" w:rsidP="004720F5">
            <w:pPr>
              <w:pStyle w:val="Akapitzlist"/>
              <w:suppressAutoHyphens/>
              <w:spacing w:before="120"/>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Kryterium:</w:t>
            </w:r>
          </w:p>
        </w:tc>
        <w:tc>
          <w:tcPr>
            <w:tcW w:w="2268" w:type="dxa"/>
            <w:shd w:val="clear" w:color="auto" w:fill="auto"/>
            <w:vAlign w:val="center"/>
          </w:tcPr>
          <w:p w14:paraId="3363E6A6" w14:textId="77777777" w:rsidR="00645621" w:rsidRPr="005D4D98" w:rsidRDefault="00645621" w:rsidP="004720F5">
            <w:pPr>
              <w:pStyle w:val="Akapitzlist"/>
              <w:suppressAutoHyphens/>
              <w:spacing w:before="120"/>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Waga</w:t>
            </w:r>
          </w:p>
        </w:tc>
      </w:tr>
      <w:tr w:rsidR="00645621" w:rsidRPr="005D4D98" w14:paraId="3C737A56" w14:textId="77777777" w:rsidTr="004720F5">
        <w:trPr>
          <w:trHeight w:val="414"/>
        </w:trPr>
        <w:tc>
          <w:tcPr>
            <w:tcW w:w="850" w:type="dxa"/>
            <w:shd w:val="clear" w:color="auto" w:fill="auto"/>
            <w:vAlign w:val="center"/>
          </w:tcPr>
          <w:p w14:paraId="438FB3EA" w14:textId="77777777" w:rsidR="00645621" w:rsidRPr="005D4D98" w:rsidRDefault="00645621" w:rsidP="004720F5">
            <w:pPr>
              <w:pStyle w:val="Akapitzlist"/>
              <w:suppressAutoHyphens/>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1</w:t>
            </w:r>
          </w:p>
        </w:tc>
        <w:tc>
          <w:tcPr>
            <w:tcW w:w="5528" w:type="dxa"/>
            <w:shd w:val="clear" w:color="auto" w:fill="auto"/>
            <w:vAlign w:val="center"/>
          </w:tcPr>
          <w:p w14:paraId="7AF5DF56" w14:textId="77777777" w:rsidR="00645621" w:rsidRPr="005D4D98" w:rsidRDefault="00645621" w:rsidP="004720F5">
            <w:pPr>
              <w:pStyle w:val="Akapitzlist"/>
              <w:suppressAutoHyphens/>
              <w:spacing w:before="120"/>
              <w:ind w:left="0"/>
              <w:jc w:val="both"/>
              <w:rPr>
                <w:rFonts w:ascii="Cambria" w:eastAsia="Times New Roman" w:hAnsi="Cambria"/>
                <w:b/>
                <w:color w:val="000000"/>
                <w:sz w:val="20"/>
                <w:szCs w:val="20"/>
              </w:rPr>
            </w:pPr>
            <w:r w:rsidRPr="005D4D98">
              <w:rPr>
                <w:rFonts w:ascii="Cambria" w:eastAsia="Times New Roman" w:hAnsi="Cambria"/>
                <w:b/>
                <w:color w:val="000000"/>
                <w:sz w:val="20"/>
                <w:szCs w:val="20"/>
              </w:rPr>
              <w:t>Cena ofertowa brutto</w:t>
            </w:r>
          </w:p>
        </w:tc>
        <w:tc>
          <w:tcPr>
            <w:tcW w:w="2268" w:type="dxa"/>
            <w:shd w:val="clear" w:color="auto" w:fill="auto"/>
            <w:vAlign w:val="center"/>
          </w:tcPr>
          <w:p w14:paraId="4585E373" w14:textId="77777777" w:rsidR="00645621" w:rsidRPr="005D4D98" w:rsidRDefault="00645621" w:rsidP="004720F5">
            <w:pPr>
              <w:pStyle w:val="Akapitzlist"/>
              <w:suppressAutoHyphens/>
              <w:spacing w:before="120"/>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80 pkt</w:t>
            </w:r>
          </w:p>
        </w:tc>
      </w:tr>
      <w:tr w:rsidR="00645621" w:rsidRPr="005D4D98" w14:paraId="59B067A8" w14:textId="77777777" w:rsidTr="004720F5">
        <w:trPr>
          <w:trHeight w:val="414"/>
        </w:trPr>
        <w:tc>
          <w:tcPr>
            <w:tcW w:w="850" w:type="dxa"/>
            <w:shd w:val="clear" w:color="auto" w:fill="auto"/>
            <w:vAlign w:val="center"/>
          </w:tcPr>
          <w:p w14:paraId="3528FAA0" w14:textId="77777777" w:rsidR="00645621" w:rsidRPr="005D4D98" w:rsidRDefault="00645621" w:rsidP="004720F5">
            <w:pPr>
              <w:pStyle w:val="Akapitzlist"/>
              <w:suppressAutoHyphens/>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2</w:t>
            </w:r>
          </w:p>
        </w:tc>
        <w:tc>
          <w:tcPr>
            <w:tcW w:w="5528" w:type="dxa"/>
            <w:shd w:val="clear" w:color="auto" w:fill="auto"/>
            <w:vAlign w:val="center"/>
          </w:tcPr>
          <w:p w14:paraId="0023AD9C" w14:textId="77777777" w:rsidR="00645621" w:rsidRPr="005D4D98" w:rsidRDefault="00645621" w:rsidP="004720F5">
            <w:pPr>
              <w:pStyle w:val="Akapitzlist"/>
              <w:suppressAutoHyphens/>
              <w:spacing w:before="120"/>
              <w:ind w:left="0"/>
              <w:jc w:val="both"/>
              <w:rPr>
                <w:rFonts w:ascii="Cambria" w:eastAsia="Times New Roman" w:hAnsi="Cambria"/>
                <w:b/>
                <w:color w:val="000000"/>
                <w:sz w:val="20"/>
                <w:szCs w:val="20"/>
              </w:rPr>
            </w:pPr>
            <w:r w:rsidRPr="005D4D98">
              <w:rPr>
                <w:rFonts w:ascii="Cambria" w:eastAsia="Times New Roman" w:hAnsi="Cambria"/>
                <w:b/>
                <w:color w:val="000000"/>
                <w:sz w:val="20"/>
                <w:szCs w:val="20"/>
              </w:rPr>
              <w:t xml:space="preserve">Trwałość leku po pierwszym zakłuciu fiolki </w:t>
            </w:r>
          </w:p>
        </w:tc>
        <w:tc>
          <w:tcPr>
            <w:tcW w:w="2268" w:type="dxa"/>
            <w:shd w:val="clear" w:color="auto" w:fill="auto"/>
            <w:vAlign w:val="center"/>
          </w:tcPr>
          <w:p w14:paraId="73C7F935" w14:textId="77777777" w:rsidR="00645621" w:rsidRPr="005D4D98" w:rsidRDefault="00645621" w:rsidP="004720F5">
            <w:pPr>
              <w:pStyle w:val="Akapitzlist"/>
              <w:suppressAutoHyphens/>
              <w:spacing w:before="120"/>
              <w:ind w:left="0"/>
              <w:jc w:val="center"/>
              <w:rPr>
                <w:rFonts w:ascii="Cambria" w:eastAsia="Times New Roman" w:hAnsi="Cambria"/>
                <w:b/>
                <w:color w:val="000000"/>
                <w:sz w:val="20"/>
                <w:szCs w:val="20"/>
              </w:rPr>
            </w:pPr>
            <w:r w:rsidRPr="005D4D98">
              <w:rPr>
                <w:rFonts w:ascii="Cambria" w:eastAsia="Times New Roman" w:hAnsi="Cambria"/>
                <w:b/>
                <w:color w:val="000000"/>
                <w:sz w:val="20"/>
                <w:szCs w:val="20"/>
              </w:rPr>
              <w:t>20 pkt</w:t>
            </w:r>
          </w:p>
        </w:tc>
      </w:tr>
    </w:tbl>
    <w:p w14:paraId="5F857491" w14:textId="77777777" w:rsidR="00645621" w:rsidRDefault="00645621" w:rsidP="00645621">
      <w:pPr>
        <w:suppressAutoHyphens/>
        <w:jc w:val="both"/>
        <w:rPr>
          <w:rFonts w:ascii="Cambria" w:hAnsi="Cambria" w:cs="Arial"/>
          <w:b/>
          <w:color w:val="000000"/>
        </w:rPr>
      </w:pPr>
    </w:p>
    <w:p w14:paraId="280F866E" w14:textId="3917A87F" w:rsidR="00645621" w:rsidRPr="00645621" w:rsidRDefault="00645621" w:rsidP="00645621">
      <w:pPr>
        <w:suppressAutoHyphens/>
        <w:rPr>
          <w:rFonts w:ascii="Cambria" w:hAnsi="Cambria" w:cs="Arial"/>
          <w:b/>
          <w:bCs/>
          <w:color w:val="000000"/>
        </w:rPr>
      </w:pPr>
      <w:r>
        <w:rPr>
          <w:rFonts w:ascii="Cambria" w:hAnsi="Cambria" w:cs="Arial"/>
          <w:b/>
          <w:bCs/>
          <w:color w:val="000000"/>
        </w:rPr>
        <w:t xml:space="preserve">         </w:t>
      </w:r>
      <w:r w:rsidRPr="00D67A7F">
        <w:rPr>
          <w:rFonts w:ascii="Cambria" w:hAnsi="Cambria" w:cs="Arial"/>
          <w:b/>
          <w:bCs/>
          <w:color w:val="000000"/>
        </w:rPr>
        <w:t xml:space="preserve">PAKIET nr </w:t>
      </w:r>
      <w:r>
        <w:rPr>
          <w:rFonts w:ascii="Cambria" w:hAnsi="Cambria" w:cs="Arial"/>
          <w:b/>
          <w:bCs/>
          <w:color w:val="000000"/>
        </w:rPr>
        <w:t>2-11</w:t>
      </w:r>
    </w:p>
    <w:tbl>
      <w:tblPr>
        <w:tblStyle w:val="Tabela-Siatka"/>
        <w:tblW w:w="0" w:type="auto"/>
        <w:tblInd w:w="534" w:type="dxa"/>
        <w:tblLook w:val="04A0" w:firstRow="1" w:lastRow="0" w:firstColumn="1" w:lastColumn="0" w:noHBand="0" w:noVBand="1"/>
      </w:tblPr>
      <w:tblGrid>
        <w:gridCol w:w="850"/>
        <w:gridCol w:w="5528"/>
        <w:gridCol w:w="2268"/>
      </w:tblGrid>
      <w:tr w:rsidR="00A10579" w:rsidRPr="00A10579" w14:paraId="6540C8D4" w14:textId="77777777" w:rsidTr="00FE7568">
        <w:trPr>
          <w:trHeight w:val="366"/>
        </w:trPr>
        <w:tc>
          <w:tcPr>
            <w:tcW w:w="850" w:type="dxa"/>
            <w:vAlign w:val="center"/>
          </w:tcPr>
          <w:p w14:paraId="78EA77FC" w14:textId="77777777" w:rsidR="00A10579" w:rsidRPr="00A10579" w:rsidRDefault="00A10579" w:rsidP="00FE7568">
            <w:pPr>
              <w:pStyle w:val="Akapitzlist"/>
              <w:suppressAutoHyphens/>
              <w:spacing w:before="120"/>
              <w:ind w:left="0"/>
              <w:jc w:val="center"/>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Lp.</w:t>
            </w:r>
          </w:p>
        </w:tc>
        <w:tc>
          <w:tcPr>
            <w:tcW w:w="5528" w:type="dxa"/>
            <w:vAlign w:val="center"/>
          </w:tcPr>
          <w:p w14:paraId="5609EC04" w14:textId="77777777" w:rsidR="00A10579" w:rsidRPr="00A10579" w:rsidRDefault="00A10579" w:rsidP="00FE7568">
            <w:pPr>
              <w:pStyle w:val="Akapitzlist"/>
              <w:suppressAutoHyphens/>
              <w:spacing w:before="120"/>
              <w:ind w:left="0"/>
              <w:jc w:val="center"/>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Kryterium:</w:t>
            </w:r>
          </w:p>
        </w:tc>
        <w:tc>
          <w:tcPr>
            <w:tcW w:w="2268" w:type="dxa"/>
            <w:vAlign w:val="center"/>
          </w:tcPr>
          <w:p w14:paraId="55B03DD4" w14:textId="77777777" w:rsidR="00A10579" w:rsidRPr="00A10579" w:rsidRDefault="00A10579" w:rsidP="00FE7568">
            <w:pPr>
              <w:pStyle w:val="Akapitzlist"/>
              <w:suppressAutoHyphens/>
              <w:spacing w:before="120"/>
              <w:ind w:left="0"/>
              <w:jc w:val="center"/>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Waga</w:t>
            </w:r>
          </w:p>
        </w:tc>
      </w:tr>
      <w:tr w:rsidR="00A10579" w:rsidRPr="00A10579" w14:paraId="21AB90CB" w14:textId="77777777" w:rsidTr="00FE7568">
        <w:trPr>
          <w:trHeight w:val="414"/>
        </w:trPr>
        <w:tc>
          <w:tcPr>
            <w:tcW w:w="850" w:type="dxa"/>
            <w:vAlign w:val="center"/>
          </w:tcPr>
          <w:p w14:paraId="01654C8E" w14:textId="77777777" w:rsidR="00A10579" w:rsidRPr="00A10579" w:rsidRDefault="00A10579" w:rsidP="00FE7568">
            <w:pPr>
              <w:pStyle w:val="Akapitzlist"/>
              <w:suppressAutoHyphens/>
              <w:ind w:left="0"/>
              <w:jc w:val="center"/>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1</w:t>
            </w:r>
          </w:p>
        </w:tc>
        <w:tc>
          <w:tcPr>
            <w:tcW w:w="5528" w:type="dxa"/>
            <w:vAlign w:val="center"/>
          </w:tcPr>
          <w:p w14:paraId="26368767" w14:textId="77777777" w:rsidR="00A10579" w:rsidRPr="00A10579" w:rsidRDefault="00A10579" w:rsidP="00FE7568">
            <w:pPr>
              <w:pStyle w:val="Akapitzlist"/>
              <w:suppressAutoHyphens/>
              <w:spacing w:before="120"/>
              <w:ind w:left="0"/>
              <w:jc w:val="both"/>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Cena ofertowa brutto</w:t>
            </w:r>
          </w:p>
        </w:tc>
        <w:tc>
          <w:tcPr>
            <w:tcW w:w="2268" w:type="dxa"/>
            <w:vAlign w:val="center"/>
          </w:tcPr>
          <w:p w14:paraId="14F54D84" w14:textId="77777777" w:rsidR="00A10579" w:rsidRPr="00A10579" w:rsidRDefault="00A10579" w:rsidP="00FE7568">
            <w:pPr>
              <w:pStyle w:val="Akapitzlist"/>
              <w:suppressAutoHyphens/>
              <w:spacing w:before="120"/>
              <w:ind w:left="0"/>
              <w:jc w:val="center"/>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100 pkt</w:t>
            </w:r>
          </w:p>
        </w:tc>
      </w:tr>
    </w:tbl>
    <w:p w14:paraId="4DDE70AF" w14:textId="77777777" w:rsidR="00A10579" w:rsidRPr="00A10579" w:rsidRDefault="00A10579" w:rsidP="00A10579">
      <w:pPr>
        <w:suppressAutoHyphens/>
        <w:jc w:val="both"/>
        <w:rPr>
          <w:rFonts w:asciiTheme="minorHAnsi" w:hAnsiTheme="minorHAnsi" w:cstheme="minorHAnsi"/>
          <w:b/>
          <w:color w:val="000000"/>
        </w:rPr>
      </w:pPr>
    </w:p>
    <w:p w14:paraId="6995BCDB" w14:textId="77777777" w:rsidR="00A10579" w:rsidRDefault="00A10579" w:rsidP="00A10579">
      <w:pPr>
        <w:pStyle w:val="Akapitzlist"/>
        <w:numPr>
          <w:ilvl w:val="0"/>
          <w:numId w:val="11"/>
        </w:numPr>
        <w:suppressAutoHyphens/>
        <w:ind w:left="426" w:hanging="426"/>
        <w:contextualSpacing w:val="0"/>
        <w:jc w:val="both"/>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Sposób obliczania wartości punktowej ocenianych kryteriów:</w:t>
      </w:r>
    </w:p>
    <w:p w14:paraId="58BACB80" w14:textId="77777777" w:rsidR="00645621" w:rsidRDefault="00645621" w:rsidP="00645621">
      <w:pPr>
        <w:suppressAutoHyphens/>
        <w:jc w:val="both"/>
        <w:rPr>
          <w:rFonts w:ascii="Cambria" w:hAnsi="Cambria" w:cs="Arial"/>
          <w:b/>
          <w:color w:val="000000"/>
          <w:u w:val="single"/>
        </w:rPr>
      </w:pPr>
    </w:p>
    <w:p w14:paraId="1706749E" w14:textId="322FBCB6" w:rsidR="00645621" w:rsidRPr="00645621" w:rsidRDefault="00645621" w:rsidP="00645621">
      <w:pPr>
        <w:suppressAutoHyphens/>
        <w:spacing w:before="120"/>
        <w:jc w:val="both"/>
        <w:rPr>
          <w:rFonts w:ascii="Cambria" w:hAnsi="Cambria"/>
          <w:b/>
          <w:bCs/>
          <w:color w:val="000000"/>
          <w:u w:val="single"/>
        </w:rPr>
      </w:pPr>
      <w:r w:rsidRPr="00645621">
        <w:rPr>
          <w:rFonts w:ascii="Cambria" w:hAnsi="Cambria"/>
          <w:b/>
          <w:bCs/>
          <w:color w:val="000000"/>
          <w:u w:val="single"/>
        </w:rPr>
        <w:t xml:space="preserve">PAKIET nr </w:t>
      </w:r>
      <w:r>
        <w:rPr>
          <w:rFonts w:ascii="Cambria" w:hAnsi="Cambria"/>
          <w:b/>
          <w:bCs/>
          <w:color w:val="000000"/>
          <w:u w:val="single"/>
        </w:rPr>
        <w:t>1</w:t>
      </w:r>
    </w:p>
    <w:p w14:paraId="40FBE92E" w14:textId="77777777" w:rsidR="00645621" w:rsidRDefault="00645621" w:rsidP="00645621">
      <w:pPr>
        <w:suppressAutoHyphens/>
        <w:jc w:val="both"/>
        <w:rPr>
          <w:rFonts w:ascii="Cambria" w:hAnsi="Cambria" w:cs="Arial"/>
          <w:b/>
          <w:color w:val="000000"/>
          <w:u w:val="single"/>
        </w:rPr>
      </w:pPr>
    </w:p>
    <w:p w14:paraId="11AEB432" w14:textId="77777777" w:rsidR="00645621" w:rsidRPr="00480C36" w:rsidRDefault="00645621" w:rsidP="00645621">
      <w:pPr>
        <w:numPr>
          <w:ilvl w:val="0"/>
          <w:numId w:val="7"/>
        </w:numPr>
        <w:suppressAutoHyphens/>
        <w:spacing w:before="120"/>
        <w:jc w:val="both"/>
        <w:rPr>
          <w:rFonts w:asciiTheme="minorHAnsi" w:hAnsiTheme="minorHAnsi" w:cstheme="minorHAnsi"/>
          <w:b/>
          <w:color w:val="000000"/>
          <w:lang w:eastAsia="en-US"/>
        </w:rPr>
      </w:pPr>
      <w:r w:rsidRPr="00480C36">
        <w:rPr>
          <w:rFonts w:asciiTheme="minorHAnsi" w:hAnsiTheme="minorHAnsi" w:cstheme="minorHAnsi"/>
          <w:b/>
          <w:color w:val="000000"/>
          <w:lang w:eastAsia="en-US"/>
        </w:rPr>
        <w:t>Kryterium – Cena ofertowa brutto</w:t>
      </w:r>
    </w:p>
    <w:p w14:paraId="7643A49F" w14:textId="77777777" w:rsidR="00645621" w:rsidRPr="00480C36" w:rsidRDefault="00645621" w:rsidP="00645621">
      <w:pPr>
        <w:suppressAutoHyphens/>
        <w:spacing w:before="120" w:after="200"/>
        <w:ind w:left="1260"/>
        <w:contextualSpacing/>
        <w:jc w:val="both"/>
        <w:rPr>
          <w:rFonts w:asciiTheme="minorHAnsi" w:hAnsiTheme="minorHAnsi" w:cstheme="minorHAnsi"/>
          <w:b/>
          <w:color w:val="000000"/>
          <w:lang w:eastAsia="en-US"/>
        </w:rPr>
      </w:pPr>
    </w:p>
    <w:p w14:paraId="1C0F6C63" w14:textId="77777777" w:rsidR="00645621" w:rsidRPr="00480C36" w:rsidRDefault="00645621" w:rsidP="00645621">
      <w:pPr>
        <w:suppressAutoHyphens/>
        <w:spacing w:line="259" w:lineRule="auto"/>
        <w:ind w:left="3540"/>
        <w:jc w:val="both"/>
        <w:rPr>
          <w:rFonts w:asciiTheme="minorHAnsi" w:hAnsiTheme="minorHAnsi" w:cstheme="minorHAnsi"/>
          <w:color w:val="000000"/>
        </w:rPr>
      </w:pPr>
      <w:r w:rsidRPr="00480C36">
        <w:rPr>
          <w:rFonts w:asciiTheme="minorHAnsi" w:hAnsiTheme="minorHAnsi" w:cstheme="minorHAnsi"/>
          <w:color w:val="000000"/>
        </w:rPr>
        <w:t xml:space="preserve">            najniższa cena ofertowa brutto spośród </w:t>
      </w:r>
    </w:p>
    <w:p w14:paraId="16BDD8ED" w14:textId="77777777" w:rsidR="00645621" w:rsidRPr="00480C36" w:rsidRDefault="00645621" w:rsidP="00645621">
      <w:pPr>
        <w:suppressAutoHyphens/>
        <w:spacing w:line="259" w:lineRule="auto"/>
        <w:ind w:left="2832" w:firstLine="708"/>
        <w:jc w:val="both"/>
        <w:rPr>
          <w:rFonts w:asciiTheme="minorHAnsi" w:hAnsiTheme="minorHAnsi" w:cstheme="minorHAnsi"/>
          <w:color w:val="000000"/>
        </w:rPr>
      </w:pPr>
      <w:r w:rsidRPr="00480C36">
        <w:rPr>
          <w:rFonts w:asciiTheme="minorHAnsi" w:hAnsiTheme="minorHAnsi" w:cstheme="minorHAnsi"/>
          <w:color w:val="000000"/>
        </w:rPr>
        <w:t xml:space="preserve">             wszystkich ofert podlegających ocenie </w:t>
      </w:r>
    </w:p>
    <w:p w14:paraId="0C37B01A" w14:textId="77777777" w:rsidR="00645621" w:rsidRPr="00480C36" w:rsidRDefault="00645621" w:rsidP="00645621">
      <w:pPr>
        <w:suppressAutoHyphens/>
        <w:spacing w:after="160" w:line="259" w:lineRule="auto"/>
        <w:ind w:left="708"/>
        <w:jc w:val="both"/>
        <w:rPr>
          <w:rFonts w:asciiTheme="minorHAnsi" w:hAnsiTheme="minorHAnsi" w:cstheme="minorHAnsi"/>
          <w:color w:val="000000"/>
        </w:rPr>
      </w:pPr>
      <w:r w:rsidRPr="00480C36">
        <w:rPr>
          <w:rFonts w:asciiTheme="minorHAnsi" w:hAnsiTheme="minorHAnsi" w:cstheme="minorHAnsi"/>
          <w:color w:val="000000"/>
        </w:rPr>
        <w:t>Liczba punktów oferty ocenianej =            ----------------------------------------------------        x 80</w:t>
      </w:r>
    </w:p>
    <w:p w14:paraId="4F6B8B2B" w14:textId="77777777" w:rsidR="00645621" w:rsidRPr="00480C36" w:rsidRDefault="00645621" w:rsidP="00645621">
      <w:pPr>
        <w:suppressAutoHyphens/>
        <w:spacing w:line="259" w:lineRule="auto"/>
        <w:ind w:left="3540"/>
        <w:jc w:val="both"/>
        <w:rPr>
          <w:rFonts w:asciiTheme="minorHAnsi" w:hAnsiTheme="minorHAnsi" w:cstheme="minorHAnsi"/>
          <w:color w:val="000000"/>
        </w:rPr>
      </w:pPr>
      <w:r w:rsidRPr="00480C36">
        <w:rPr>
          <w:rFonts w:asciiTheme="minorHAnsi" w:hAnsiTheme="minorHAnsi" w:cstheme="minorHAnsi"/>
          <w:color w:val="000000"/>
        </w:rPr>
        <w:t xml:space="preserve">                 cena ofertowa brutto zaoferowana </w:t>
      </w:r>
    </w:p>
    <w:p w14:paraId="6BC6D386" w14:textId="77777777" w:rsidR="00645621" w:rsidRPr="00480C36" w:rsidRDefault="00645621" w:rsidP="00645621">
      <w:pPr>
        <w:suppressAutoHyphens/>
        <w:spacing w:line="259" w:lineRule="auto"/>
        <w:ind w:left="3540"/>
        <w:jc w:val="both"/>
        <w:rPr>
          <w:rFonts w:asciiTheme="minorHAnsi" w:hAnsiTheme="minorHAnsi" w:cstheme="minorHAnsi"/>
          <w:color w:val="000000"/>
        </w:rPr>
      </w:pPr>
      <w:r w:rsidRPr="00480C36">
        <w:rPr>
          <w:rFonts w:asciiTheme="minorHAnsi" w:hAnsiTheme="minorHAnsi" w:cstheme="minorHAnsi"/>
          <w:color w:val="000000"/>
        </w:rPr>
        <w:t xml:space="preserve">                                 w badanej ofercie</w:t>
      </w:r>
    </w:p>
    <w:p w14:paraId="45ADB2E4" w14:textId="77777777" w:rsidR="00645621" w:rsidRPr="00480C36" w:rsidRDefault="00645621" w:rsidP="00645621">
      <w:pPr>
        <w:suppressAutoHyphens/>
        <w:spacing w:line="259" w:lineRule="auto"/>
        <w:ind w:left="3540"/>
        <w:jc w:val="both"/>
        <w:rPr>
          <w:rFonts w:asciiTheme="minorHAnsi" w:hAnsiTheme="minorHAnsi" w:cstheme="minorHAnsi"/>
          <w:color w:val="000000"/>
        </w:rPr>
      </w:pPr>
    </w:p>
    <w:p w14:paraId="33B4AE5E" w14:textId="77777777" w:rsidR="00645621" w:rsidRPr="00480C36" w:rsidRDefault="00645621" w:rsidP="00645621">
      <w:pPr>
        <w:numPr>
          <w:ilvl w:val="0"/>
          <w:numId w:val="7"/>
        </w:numPr>
        <w:tabs>
          <w:tab w:val="num" w:pos="851"/>
        </w:tabs>
        <w:suppressAutoHyphens/>
        <w:spacing w:before="120"/>
        <w:jc w:val="both"/>
        <w:rPr>
          <w:rFonts w:asciiTheme="minorHAnsi" w:eastAsia="Calibri" w:hAnsiTheme="minorHAnsi" w:cstheme="minorHAnsi"/>
          <w:b/>
          <w:bCs/>
          <w:color w:val="000000"/>
          <w:lang w:eastAsia="en-US"/>
        </w:rPr>
      </w:pPr>
      <w:r w:rsidRPr="00480C36">
        <w:rPr>
          <w:rFonts w:asciiTheme="minorHAnsi" w:eastAsia="Calibri" w:hAnsiTheme="minorHAnsi" w:cstheme="minorHAnsi"/>
          <w:b/>
          <w:bCs/>
          <w:color w:val="000000"/>
          <w:lang w:eastAsia="en-US"/>
        </w:rPr>
        <w:t xml:space="preserve">Kryterium – Trwałość leku po pierwszym </w:t>
      </w:r>
      <w:r>
        <w:rPr>
          <w:rFonts w:asciiTheme="minorHAnsi" w:hAnsiTheme="minorHAnsi" w:cstheme="minorHAnsi"/>
          <w:b/>
          <w:color w:val="000000"/>
          <w:lang w:eastAsia="en-US"/>
        </w:rPr>
        <w:t>zakłuciu</w:t>
      </w:r>
      <w:r w:rsidRPr="00480C36">
        <w:rPr>
          <w:rFonts w:asciiTheme="minorHAnsi" w:eastAsia="Calibri" w:hAnsiTheme="minorHAnsi" w:cstheme="minorHAnsi"/>
          <w:b/>
          <w:bCs/>
          <w:color w:val="000000"/>
          <w:lang w:eastAsia="en-US"/>
        </w:rPr>
        <w:t xml:space="preserve"> fiolki:</w:t>
      </w:r>
    </w:p>
    <w:p w14:paraId="35922850" w14:textId="77777777" w:rsidR="00645621" w:rsidRPr="00480C36" w:rsidRDefault="00645621" w:rsidP="00645621">
      <w:pPr>
        <w:suppressAutoHyphens/>
        <w:spacing w:before="120"/>
        <w:ind w:left="720"/>
        <w:jc w:val="both"/>
        <w:rPr>
          <w:rFonts w:asciiTheme="minorHAnsi" w:eastAsia="Calibri" w:hAnsiTheme="minorHAnsi" w:cstheme="minorHAnsi"/>
          <w:color w:val="000000"/>
          <w:lang w:eastAsia="en-US"/>
        </w:rPr>
      </w:pPr>
      <w:r w:rsidRPr="00480C36">
        <w:rPr>
          <w:rFonts w:asciiTheme="minorHAnsi" w:eastAsia="Calibri" w:hAnsiTheme="minorHAnsi" w:cstheme="minorHAnsi"/>
          <w:color w:val="000000"/>
          <w:lang w:eastAsia="en-US"/>
        </w:rPr>
        <w:t xml:space="preserve">Trwałość leku po pierwszym </w:t>
      </w:r>
      <w:r w:rsidRPr="00CA4807">
        <w:rPr>
          <w:rFonts w:asciiTheme="minorHAnsi" w:hAnsiTheme="minorHAnsi" w:cstheme="minorHAnsi"/>
          <w:bCs/>
          <w:color w:val="000000"/>
          <w:lang w:eastAsia="en-US"/>
        </w:rPr>
        <w:t>zakłuciu</w:t>
      </w:r>
      <w:r>
        <w:rPr>
          <w:rFonts w:asciiTheme="minorHAnsi" w:hAnsiTheme="minorHAnsi" w:cstheme="minorHAnsi"/>
          <w:bCs/>
          <w:color w:val="000000"/>
          <w:lang w:eastAsia="en-US"/>
        </w:rPr>
        <w:t xml:space="preserve"> fiolki:</w:t>
      </w:r>
      <w:r w:rsidRPr="00480C36">
        <w:rPr>
          <w:rFonts w:asciiTheme="minorHAnsi" w:eastAsia="Calibri" w:hAnsiTheme="minorHAnsi" w:cstheme="minorHAnsi"/>
          <w:color w:val="000000"/>
          <w:lang w:eastAsia="en-US"/>
        </w:rPr>
        <w:t xml:space="preserve"> do 24 godzin – 0 pkt,</w:t>
      </w:r>
    </w:p>
    <w:p w14:paraId="43214893" w14:textId="77777777" w:rsidR="00645621" w:rsidRDefault="00645621" w:rsidP="00645621">
      <w:pPr>
        <w:suppressAutoHyphens/>
        <w:spacing w:before="120"/>
        <w:ind w:left="720"/>
        <w:rPr>
          <w:rFonts w:asciiTheme="minorHAnsi" w:eastAsia="Calibri" w:hAnsiTheme="minorHAnsi" w:cstheme="minorHAnsi"/>
          <w:color w:val="000000"/>
          <w:lang w:eastAsia="en-US"/>
        </w:rPr>
      </w:pPr>
      <w:r w:rsidRPr="00480C36">
        <w:rPr>
          <w:rFonts w:asciiTheme="minorHAnsi" w:eastAsia="Calibri" w:hAnsiTheme="minorHAnsi" w:cstheme="minorHAnsi"/>
          <w:color w:val="000000"/>
          <w:lang w:eastAsia="en-US"/>
        </w:rPr>
        <w:t xml:space="preserve">Trwałość leku po pierwszym </w:t>
      </w:r>
      <w:r w:rsidRPr="00CA4807">
        <w:rPr>
          <w:rFonts w:asciiTheme="minorHAnsi" w:hAnsiTheme="minorHAnsi" w:cstheme="minorHAnsi"/>
          <w:bCs/>
          <w:color w:val="000000"/>
          <w:lang w:eastAsia="en-US"/>
        </w:rPr>
        <w:t>zakłuciu</w:t>
      </w:r>
      <w:r w:rsidRPr="00480C36">
        <w:rPr>
          <w:rFonts w:asciiTheme="minorHAnsi" w:eastAsia="Calibri" w:hAnsiTheme="minorHAnsi" w:cstheme="minorHAnsi"/>
          <w:color w:val="000000"/>
          <w:lang w:eastAsia="en-US"/>
        </w:rPr>
        <w:t xml:space="preserve"> powyżej 24 godzin (jeżeli czynności były wykonywane w </w:t>
      </w:r>
      <w:proofErr w:type="spellStart"/>
      <w:r w:rsidRPr="00480C36">
        <w:rPr>
          <w:rFonts w:asciiTheme="minorHAnsi" w:eastAsia="Calibri" w:hAnsiTheme="minorHAnsi" w:cstheme="minorHAnsi"/>
          <w:color w:val="000000"/>
          <w:lang w:eastAsia="en-US"/>
        </w:rPr>
        <w:t>zwalidowanych</w:t>
      </w:r>
      <w:proofErr w:type="spellEnd"/>
      <w:r w:rsidRPr="00480C36">
        <w:rPr>
          <w:rFonts w:asciiTheme="minorHAnsi" w:eastAsia="Calibri" w:hAnsiTheme="minorHAnsi" w:cstheme="minorHAnsi"/>
          <w:color w:val="000000"/>
          <w:lang w:eastAsia="en-US"/>
        </w:rPr>
        <w:t xml:space="preserve">, aseptycznych warunkach) – 20 pkt. </w:t>
      </w:r>
    </w:p>
    <w:p w14:paraId="6EE9FC20" w14:textId="77777777" w:rsidR="00645621" w:rsidRPr="00480C36" w:rsidRDefault="00645621" w:rsidP="00645621">
      <w:pPr>
        <w:suppressAutoHyphens/>
        <w:spacing w:before="120"/>
        <w:ind w:left="720"/>
        <w:rPr>
          <w:rFonts w:asciiTheme="minorHAnsi" w:eastAsia="Calibri" w:hAnsiTheme="minorHAnsi" w:cstheme="minorHAnsi"/>
          <w:color w:val="000000"/>
          <w:lang w:eastAsia="en-US"/>
        </w:rPr>
      </w:pPr>
    </w:p>
    <w:p w14:paraId="217A57D4" w14:textId="77777777" w:rsidR="00645621" w:rsidRDefault="00645621" w:rsidP="00645621">
      <w:pPr>
        <w:suppressAutoHyphens/>
        <w:spacing w:before="120"/>
        <w:jc w:val="both"/>
        <w:rPr>
          <w:rFonts w:asciiTheme="minorHAnsi" w:eastAsia="Calibri" w:hAnsiTheme="minorHAnsi" w:cstheme="minorHAnsi"/>
          <w:b/>
          <w:bCs/>
          <w:color w:val="000000"/>
          <w:lang w:eastAsia="en-US"/>
        </w:rPr>
      </w:pPr>
      <w:r w:rsidRPr="00480C36">
        <w:rPr>
          <w:rFonts w:asciiTheme="minorHAnsi" w:eastAsia="Calibri" w:hAnsiTheme="minorHAnsi" w:cstheme="minorHAnsi"/>
          <w:b/>
          <w:bCs/>
          <w:color w:val="000000"/>
          <w:lang w:eastAsia="en-US"/>
        </w:rPr>
        <w:t xml:space="preserve">Informacja o trwałości leku po pierwszym </w:t>
      </w:r>
      <w:r>
        <w:rPr>
          <w:rFonts w:asciiTheme="minorHAnsi" w:eastAsia="Calibri" w:hAnsiTheme="minorHAnsi" w:cstheme="minorHAnsi"/>
          <w:b/>
          <w:bCs/>
          <w:color w:val="000000"/>
          <w:lang w:eastAsia="en-US"/>
        </w:rPr>
        <w:t>zakłuciu</w:t>
      </w:r>
      <w:r w:rsidRPr="00480C36">
        <w:rPr>
          <w:rFonts w:asciiTheme="minorHAnsi" w:eastAsia="Calibri" w:hAnsiTheme="minorHAnsi" w:cstheme="minorHAnsi"/>
          <w:b/>
          <w:bCs/>
          <w:color w:val="000000"/>
          <w:lang w:eastAsia="en-US"/>
        </w:rPr>
        <w:t xml:space="preserve"> musi być zawarta w Karcie Charakterystyki Produktu Leczniczego, którą należy dołączyć do oferty. </w:t>
      </w:r>
    </w:p>
    <w:p w14:paraId="6D8831C3" w14:textId="77777777" w:rsidR="00645621" w:rsidRPr="00480C36" w:rsidRDefault="00645621" w:rsidP="00645621">
      <w:pPr>
        <w:suppressAutoHyphens/>
        <w:spacing w:before="120"/>
        <w:jc w:val="both"/>
        <w:rPr>
          <w:rFonts w:asciiTheme="minorHAnsi" w:eastAsia="Calibri" w:hAnsiTheme="minorHAnsi" w:cstheme="minorHAnsi"/>
          <w:b/>
          <w:bCs/>
          <w:color w:val="000000"/>
          <w:lang w:eastAsia="en-US"/>
        </w:rPr>
      </w:pPr>
    </w:p>
    <w:p w14:paraId="1CE9E633" w14:textId="77777777" w:rsidR="00645621" w:rsidRPr="000B2F33" w:rsidRDefault="00645621" w:rsidP="00645621">
      <w:pPr>
        <w:suppressAutoHyphens/>
        <w:spacing w:before="120"/>
        <w:jc w:val="both"/>
        <w:rPr>
          <w:rFonts w:asciiTheme="minorHAnsi" w:eastAsia="Calibri" w:hAnsiTheme="minorHAnsi" w:cstheme="minorHAnsi"/>
          <w:b/>
          <w:bCs/>
          <w:color w:val="000000"/>
          <w:u w:val="single"/>
          <w:lang w:eastAsia="en-US"/>
        </w:rPr>
      </w:pPr>
      <w:r w:rsidRPr="00480C36">
        <w:rPr>
          <w:rFonts w:asciiTheme="minorHAnsi" w:eastAsia="Calibri" w:hAnsiTheme="minorHAnsi" w:cstheme="minorHAnsi"/>
          <w:b/>
          <w:bCs/>
          <w:color w:val="000000"/>
          <w:u w:val="single"/>
          <w:lang w:eastAsia="en-US"/>
        </w:rPr>
        <w:t>W/w. dokument jest wymagany na okoliczność potwierdzenia spełnienia kryterium oceny oferty i nie będzie on uzupełniany w przypadku jego niedostarczenia wraz z ofertą.</w:t>
      </w:r>
    </w:p>
    <w:p w14:paraId="364595EC" w14:textId="77777777" w:rsidR="00645621" w:rsidRDefault="00645621" w:rsidP="00645621">
      <w:pPr>
        <w:suppressAutoHyphens/>
        <w:jc w:val="both"/>
        <w:rPr>
          <w:rFonts w:ascii="Cambria" w:hAnsi="Cambria" w:cs="Arial"/>
          <w:b/>
          <w:color w:val="000000"/>
          <w:u w:val="single"/>
        </w:rPr>
      </w:pPr>
    </w:p>
    <w:p w14:paraId="052C5C3F" w14:textId="77777777" w:rsidR="00645621" w:rsidRDefault="00645621" w:rsidP="00645621">
      <w:pPr>
        <w:suppressAutoHyphens/>
        <w:jc w:val="both"/>
        <w:rPr>
          <w:rFonts w:ascii="Cambria" w:hAnsi="Cambria" w:cs="Arial"/>
          <w:b/>
          <w:color w:val="000000"/>
          <w:u w:val="single"/>
        </w:rPr>
      </w:pPr>
    </w:p>
    <w:p w14:paraId="2D300920" w14:textId="77777777" w:rsidR="00645621" w:rsidRDefault="00645621" w:rsidP="00645621">
      <w:pPr>
        <w:suppressAutoHyphens/>
        <w:jc w:val="both"/>
        <w:rPr>
          <w:rFonts w:ascii="Cambria" w:hAnsi="Cambria" w:cs="Arial"/>
          <w:b/>
          <w:color w:val="000000"/>
          <w:u w:val="single"/>
        </w:rPr>
      </w:pPr>
    </w:p>
    <w:p w14:paraId="7664539C" w14:textId="6586F947" w:rsidR="00645621" w:rsidRPr="00645621" w:rsidRDefault="00645621" w:rsidP="00645621">
      <w:pPr>
        <w:suppressAutoHyphens/>
        <w:jc w:val="both"/>
        <w:rPr>
          <w:rFonts w:ascii="Cambria" w:hAnsi="Cambria" w:cs="Arial"/>
          <w:b/>
          <w:color w:val="000000"/>
          <w:u w:val="single"/>
        </w:rPr>
      </w:pPr>
      <w:r w:rsidRPr="00645621">
        <w:rPr>
          <w:rFonts w:ascii="Cambria" w:hAnsi="Cambria" w:cs="Arial"/>
          <w:b/>
          <w:color w:val="000000"/>
          <w:u w:val="single"/>
        </w:rPr>
        <w:t xml:space="preserve">PAKIET nr </w:t>
      </w:r>
      <w:r>
        <w:rPr>
          <w:rFonts w:ascii="Cambria" w:hAnsi="Cambria" w:cs="Arial"/>
          <w:b/>
          <w:color w:val="000000"/>
          <w:u w:val="single"/>
        </w:rPr>
        <w:t>2 -11</w:t>
      </w:r>
    </w:p>
    <w:p w14:paraId="7D890317" w14:textId="77777777" w:rsidR="00645621" w:rsidRPr="00645621" w:rsidRDefault="00645621" w:rsidP="00645621">
      <w:pPr>
        <w:suppressAutoHyphens/>
        <w:jc w:val="both"/>
        <w:rPr>
          <w:rFonts w:asciiTheme="minorHAnsi" w:hAnsiTheme="minorHAnsi" w:cstheme="minorHAnsi"/>
          <w:b/>
          <w:color w:val="000000"/>
        </w:rPr>
      </w:pPr>
    </w:p>
    <w:p w14:paraId="307B0676" w14:textId="77777777" w:rsidR="00A10579" w:rsidRPr="00A10579" w:rsidRDefault="00A10579" w:rsidP="00A10579">
      <w:pPr>
        <w:pStyle w:val="Akapitzlist"/>
        <w:numPr>
          <w:ilvl w:val="1"/>
          <w:numId w:val="13"/>
        </w:numPr>
        <w:tabs>
          <w:tab w:val="clear" w:pos="1260"/>
          <w:tab w:val="num" w:pos="851"/>
        </w:tabs>
        <w:suppressAutoHyphens/>
        <w:spacing w:before="120"/>
        <w:ind w:hanging="834"/>
        <w:contextualSpacing w:val="0"/>
        <w:jc w:val="both"/>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t>Kryterium – Cena ofertowa brutto</w:t>
      </w:r>
    </w:p>
    <w:p w14:paraId="7AB39BBB" w14:textId="77777777" w:rsidR="00A10579" w:rsidRPr="00A10579" w:rsidRDefault="00A10579" w:rsidP="00A10579">
      <w:pPr>
        <w:pStyle w:val="Akapitzlist"/>
        <w:suppressAutoHyphens/>
        <w:spacing w:before="120"/>
        <w:ind w:left="1260"/>
        <w:jc w:val="both"/>
        <w:rPr>
          <w:rFonts w:asciiTheme="minorHAnsi" w:eastAsia="Times New Roman" w:hAnsiTheme="minorHAnsi" w:cstheme="minorHAnsi"/>
          <w:b/>
          <w:color w:val="000000"/>
          <w:sz w:val="20"/>
          <w:szCs w:val="20"/>
        </w:rPr>
      </w:pPr>
    </w:p>
    <w:p w14:paraId="576A3DFB" w14:textId="77777777" w:rsidR="00A10579" w:rsidRPr="00A10579" w:rsidRDefault="00A10579" w:rsidP="00A10579">
      <w:pPr>
        <w:suppressAutoHyphens/>
        <w:ind w:left="3540"/>
        <w:jc w:val="both"/>
        <w:rPr>
          <w:rFonts w:asciiTheme="minorHAnsi" w:hAnsiTheme="minorHAnsi" w:cstheme="minorHAnsi"/>
          <w:color w:val="000000"/>
        </w:rPr>
      </w:pPr>
      <w:r w:rsidRPr="00A10579">
        <w:rPr>
          <w:rFonts w:asciiTheme="minorHAnsi" w:hAnsiTheme="minorHAnsi" w:cstheme="minorHAnsi"/>
          <w:color w:val="000000"/>
        </w:rPr>
        <w:t xml:space="preserve">            najniższa cena ofertowa brutto spośród </w:t>
      </w:r>
    </w:p>
    <w:p w14:paraId="21D8B980" w14:textId="77777777" w:rsidR="00A10579" w:rsidRPr="00A10579" w:rsidRDefault="00A10579" w:rsidP="00A10579">
      <w:pPr>
        <w:suppressAutoHyphens/>
        <w:ind w:left="2832" w:firstLine="708"/>
        <w:jc w:val="both"/>
        <w:rPr>
          <w:rFonts w:asciiTheme="minorHAnsi" w:hAnsiTheme="minorHAnsi" w:cstheme="minorHAnsi"/>
          <w:color w:val="000000"/>
        </w:rPr>
      </w:pPr>
      <w:r w:rsidRPr="00A10579">
        <w:rPr>
          <w:rFonts w:asciiTheme="minorHAnsi" w:hAnsiTheme="minorHAnsi" w:cstheme="minorHAnsi"/>
          <w:color w:val="000000"/>
        </w:rPr>
        <w:t xml:space="preserve">             wszystkich ofert podlegających ocenie </w:t>
      </w:r>
    </w:p>
    <w:p w14:paraId="12512BE2" w14:textId="5CF43259" w:rsidR="00A10579" w:rsidRPr="00A10579" w:rsidRDefault="00A10579" w:rsidP="00A10579">
      <w:pPr>
        <w:suppressAutoHyphens/>
        <w:ind w:left="708"/>
        <w:jc w:val="both"/>
        <w:rPr>
          <w:rFonts w:asciiTheme="minorHAnsi" w:hAnsiTheme="minorHAnsi" w:cstheme="minorHAnsi"/>
          <w:color w:val="000000"/>
        </w:rPr>
      </w:pPr>
      <w:r w:rsidRPr="00A10579">
        <w:rPr>
          <w:rFonts w:asciiTheme="minorHAnsi" w:hAnsiTheme="minorHAnsi" w:cstheme="minorHAnsi"/>
          <w:color w:val="000000"/>
        </w:rPr>
        <w:t xml:space="preserve">Liczba punktów oferty ocenianej = </w:t>
      </w:r>
      <w:r w:rsidR="00645621">
        <w:rPr>
          <w:rFonts w:asciiTheme="minorHAnsi" w:hAnsiTheme="minorHAnsi" w:cstheme="minorHAnsi"/>
          <w:color w:val="000000"/>
        </w:rPr>
        <w:t xml:space="preserve">            </w:t>
      </w:r>
      <w:r w:rsidRPr="00A10579">
        <w:rPr>
          <w:rFonts w:asciiTheme="minorHAnsi" w:hAnsiTheme="minorHAnsi" w:cstheme="minorHAnsi"/>
          <w:color w:val="000000"/>
        </w:rPr>
        <w:t xml:space="preserve">---------------------------------------------------- </w:t>
      </w:r>
      <w:r w:rsidR="00645621">
        <w:rPr>
          <w:rFonts w:asciiTheme="minorHAnsi" w:hAnsiTheme="minorHAnsi" w:cstheme="minorHAnsi"/>
          <w:color w:val="000000"/>
        </w:rPr>
        <w:t xml:space="preserve">         </w:t>
      </w:r>
      <w:r w:rsidRPr="00A10579">
        <w:rPr>
          <w:rFonts w:asciiTheme="minorHAnsi" w:hAnsiTheme="minorHAnsi" w:cstheme="minorHAnsi"/>
          <w:color w:val="000000"/>
        </w:rPr>
        <w:t>x 100</w:t>
      </w:r>
    </w:p>
    <w:p w14:paraId="4F0D4269" w14:textId="77777777" w:rsidR="00A10579" w:rsidRPr="00A10579" w:rsidRDefault="00A10579" w:rsidP="00A10579">
      <w:pPr>
        <w:suppressAutoHyphens/>
        <w:ind w:left="3540"/>
        <w:jc w:val="both"/>
        <w:rPr>
          <w:rFonts w:asciiTheme="minorHAnsi" w:hAnsiTheme="minorHAnsi" w:cstheme="minorHAnsi"/>
          <w:color w:val="000000"/>
        </w:rPr>
      </w:pPr>
      <w:r w:rsidRPr="00A10579">
        <w:rPr>
          <w:rFonts w:asciiTheme="minorHAnsi" w:hAnsiTheme="minorHAnsi" w:cstheme="minorHAnsi"/>
          <w:color w:val="000000"/>
        </w:rPr>
        <w:t xml:space="preserve">                 cena ofertowa brutto zaoferowana </w:t>
      </w:r>
    </w:p>
    <w:p w14:paraId="4AB990A8" w14:textId="77777777" w:rsidR="00A10579" w:rsidRPr="00A10579" w:rsidRDefault="00A10579" w:rsidP="00A10579">
      <w:pPr>
        <w:suppressAutoHyphens/>
        <w:ind w:left="3540"/>
        <w:jc w:val="both"/>
        <w:rPr>
          <w:rFonts w:asciiTheme="minorHAnsi" w:hAnsiTheme="minorHAnsi" w:cstheme="minorHAnsi"/>
          <w:color w:val="000000"/>
        </w:rPr>
      </w:pPr>
      <w:r w:rsidRPr="00A10579">
        <w:rPr>
          <w:rFonts w:asciiTheme="minorHAnsi" w:hAnsiTheme="minorHAnsi" w:cstheme="minorHAnsi"/>
          <w:color w:val="000000"/>
        </w:rPr>
        <w:t xml:space="preserve">                                 w badanej ofercie</w:t>
      </w:r>
    </w:p>
    <w:p w14:paraId="4BEF670E" w14:textId="77777777" w:rsidR="00A10579" w:rsidRPr="00A10579" w:rsidRDefault="00A10579" w:rsidP="00A10579">
      <w:pPr>
        <w:suppressAutoHyphens/>
        <w:rPr>
          <w:rFonts w:asciiTheme="minorHAnsi" w:hAnsiTheme="minorHAnsi" w:cstheme="minorHAnsi"/>
          <w:color w:val="000000"/>
        </w:rPr>
      </w:pPr>
      <w:r w:rsidRPr="00A10579">
        <w:rPr>
          <w:rFonts w:asciiTheme="minorHAnsi" w:hAnsiTheme="minorHAnsi" w:cstheme="minorHAnsi"/>
          <w:color w:val="000000"/>
        </w:rPr>
        <w:t xml:space="preserve">         </w:t>
      </w:r>
    </w:p>
    <w:p w14:paraId="3A515EC0" w14:textId="77777777" w:rsidR="00A10579" w:rsidRDefault="00A10579" w:rsidP="00A10579">
      <w:pPr>
        <w:pStyle w:val="Akapitzlist"/>
        <w:suppressAutoHyphens/>
        <w:spacing w:before="120"/>
        <w:ind w:left="426"/>
        <w:contextualSpacing w:val="0"/>
        <w:jc w:val="both"/>
        <w:rPr>
          <w:rFonts w:asciiTheme="minorHAnsi" w:eastAsia="Times New Roman" w:hAnsiTheme="minorHAnsi" w:cstheme="minorHAnsi"/>
          <w:b/>
          <w:color w:val="000000"/>
          <w:sz w:val="20"/>
          <w:szCs w:val="20"/>
        </w:rPr>
      </w:pPr>
    </w:p>
    <w:p w14:paraId="1D649F6C" w14:textId="77777777" w:rsidR="00645621" w:rsidRPr="00A10579" w:rsidRDefault="00645621" w:rsidP="00A10579">
      <w:pPr>
        <w:pStyle w:val="Akapitzlist"/>
        <w:suppressAutoHyphens/>
        <w:spacing w:before="120"/>
        <w:ind w:left="426"/>
        <w:contextualSpacing w:val="0"/>
        <w:jc w:val="both"/>
        <w:rPr>
          <w:rFonts w:asciiTheme="minorHAnsi" w:eastAsia="Times New Roman" w:hAnsiTheme="minorHAnsi" w:cstheme="minorHAnsi"/>
          <w:b/>
          <w:color w:val="000000"/>
          <w:sz w:val="20"/>
          <w:szCs w:val="20"/>
        </w:rPr>
      </w:pPr>
    </w:p>
    <w:p w14:paraId="5EACBD58" w14:textId="77777777" w:rsidR="00A10579" w:rsidRPr="00A10579" w:rsidRDefault="00A10579" w:rsidP="00A10579">
      <w:pPr>
        <w:pStyle w:val="Akapitzlist"/>
        <w:numPr>
          <w:ilvl w:val="0"/>
          <w:numId w:val="11"/>
        </w:numPr>
        <w:suppressAutoHyphens/>
        <w:spacing w:before="120"/>
        <w:ind w:left="426" w:hanging="426"/>
        <w:contextualSpacing w:val="0"/>
        <w:jc w:val="both"/>
        <w:rPr>
          <w:rFonts w:asciiTheme="minorHAnsi" w:eastAsia="Times New Roman" w:hAnsiTheme="minorHAnsi" w:cstheme="minorHAnsi"/>
          <w:b/>
          <w:color w:val="000000"/>
          <w:sz w:val="20"/>
          <w:szCs w:val="20"/>
        </w:rPr>
      </w:pPr>
      <w:r w:rsidRPr="00A10579">
        <w:rPr>
          <w:rFonts w:asciiTheme="minorHAnsi" w:eastAsia="Times New Roman" w:hAnsiTheme="minorHAnsi" w:cstheme="minorHAnsi"/>
          <w:b/>
          <w:color w:val="000000"/>
          <w:sz w:val="20"/>
          <w:szCs w:val="20"/>
        </w:rPr>
        <w:lastRenderedPageBreak/>
        <w:t>Sposób obliczania wartości punktowej ofert i ustalenia oferty najkorzystniejszej.</w:t>
      </w:r>
    </w:p>
    <w:p w14:paraId="23E8D1C1" w14:textId="77777777" w:rsidR="00A10579" w:rsidRPr="00A10579" w:rsidRDefault="00A10579" w:rsidP="00A10579">
      <w:pPr>
        <w:pStyle w:val="Akapitzlist"/>
        <w:numPr>
          <w:ilvl w:val="0"/>
          <w:numId w:val="12"/>
        </w:numPr>
        <w:suppressAutoHyphens/>
        <w:spacing w:before="120"/>
        <w:ind w:left="851"/>
        <w:contextualSpacing w:val="0"/>
        <w:jc w:val="both"/>
        <w:rPr>
          <w:rFonts w:asciiTheme="minorHAnsi" w:eastAsia="Times New Roman" w:hAnsiTheme="minorHAnsi" w:cstheme="minorHAnsi"/>
          <w:color w:val="000000"/>
          <w:sz w:val="20"/>
          <w:szCs w:val="20"/>
        </w:rPr>
      </w:pPr>
      <w:r w:rsidRPr="00A10579">
        <w:rPr>
          <w:rFonts w:asciiTheme="minorHAnsi" w:eastAsia="Times New Roman" w:hAnsiTheme="minorHAnsi" w:cstheme="minorHAnsi"/>
          <w:color w:val="000000"/>
          <w:sz w:val="20"/>
          <w:szCs w:val="20"/>
        </w:rPr>
        <w:t>Maksymalna liczna możliwych do uzyskania punktów jednocześnie we wszystkich kryteriach wynosi 100.</w:t>
      </w:r>
    </w:p>
    <w:p w14:paraId="35C3AB76" w14:textId="77777777" w:rsidR="00A10579" w:rsidRPr="00A10579" w:rsidRDefault="00A10579" w:rsidP="00A10579">
      <w:pPr>
        <w:pStyle w:val="Akapitzlist"/>
        <w:numPr>
          <w:ilvl w:val="0"/>
          <w:numId w:val="12"/>
        </w:numPr>
        <w:suppressAutoHyphens/>
        <w:spacing w:before="120"/>
        <w:ind w:left="851"/>
        <w:contextualSpacing w:val="0"/>
        <w:jc w:val="both"/>
        <w:rPr>
          <w:rFonts w:asciiTheme="minorHAnsi" w:eastAsia="Times New Roman" w:hAnsiTheme="minorHAnsi" w:cstheme="minorHAnsi"/>
          <w:color w:val="000000"/>
          <w:sz w:val="20"/>
          <w:szCs w:val="20"/>
        </w:rPr>
      </w:pPr>
      <w:r w:rsidRPr="00A10579">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14:paraId="2E95993F" w14:textId="77777777" w:rsidR="00A10579" w:rsidRPr="00A10579" w:rsidRDefault="00A10579" w:rsidP="00A10579">
      <w:pPr>
        <w:pStyle w:val="Akapitzlist"/>
        <w:numPr>
          <w:ilvl w:val="0"/>
          <w:numId w:val="12"/>
        </w:numPr>
        <w:suppressAutoHyphens/>
        <w:spacing w:before="120"/>
        <w:ind w:left="851"/>
        <w:contextualSpacing w:val="0"/>
        <w:jc w:val="both"/>
        <w:rPr>
          <w:rFonts w:asciiTheme="minorHAnsi" w:eastAsia="Times New Roman" w:hAnsiTheme="minorHAnsi" w:cstheme="minorHAnsi"/>
          <w:color w:val="000000"/>
          <w:sz w:val="20"/>
          <w:szCs w:val="20"/>
        </w:rPr>
      </w:pPr>
      <w:r w:rsidRPr="00A10579">
        <w:rPr>
          <w:rFonts w:asciiTheme="minorHAnsi" w:hAnsiTheme="minorHAnsi" w:cs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Pr="00A10579">
        <w:rPr>
          <w:rFonts w:asciiTheme="minorHAnsi" w:hAnsiTheme="minorHAnsi" w:cstheme="minorHAnsi"/>
          <w:sz w:val="20"/>
          <w:szCs w:val="20"/>
        </w:rPr>
        <w:br/>
        <w:t>a jeżeli zostały złożone oferty o takiej samej cenie zamawiający wezwie Wykonawców, którzy złożyli te oferty, do złożenia w terminie określonym przez Zamawiającego ofert dodatkowych.</w:t>
      </w:r>
    </w:p>
    <w:p w14:paraId="3C24D563" w14:textId="77777777" w:rsidR="00A10579" w:rsidRPr="00A10579" w:rsidRDefault="00A10579" w:rsidP="00A10579">
      <w:pPr>
        <w:pStyle w:val="Akapitzlist"/>
        <w:numPr>
          <w:ilvl w:val="0"/>
          <w:numId w:val="12"/>
        </w:numPr>
        <w:suppressAutoHyphens/>
        <w:spacing w:before="120"/>
        <w:ind w:left="851"/>
        <w:contextualSpacing w:val="0"/>
        <w:jc w:val="both"/>
        <w:rPr>
          <w:rFonts w:asciiTheme="minorHAnsi" w:hAnsiTheme="minorHAnsi" w:cstheme="minorHAnsi"/>
          <w:sz w:val="20"/>
          <w:szCs w:val="20"/>
        </w:rPr>
      </w:pPr>
      <w:r w:rsidRPr="00A10579">
        <w:rPr>
          <w:rFonts w:asciiTheme="minorHAnsi" w:hAnsiTheme="minorHAnsi" w:cstheme="minorHAnsi"/>
          <w:sz w:val="20"/>
          <w:szCs w:val="20"/>
        </w:rPr>
        <w:t>Wykonawcy, składając oferty dodatkowe, nie mogą zaoferować cen wyższych niż zaoferowane w złożonych ofertach.</w:t>
      </w:r>
    </w:p>
    <w:p w14:paraId="6C1B0616" w14:textId="77777777" w:rsidR="00A10579" w:rsidRPr="00A10579" w:rsidRDefault="00A10579" w:rsidP="00A10579">
      <w:pPr>
        <w:pStyle w:val="Akapitzlist"/>
        <w:numPr>
          <w:ilvl w:val="0"/>
          <w:numId w:val="12"/>
        </w:numPr>
        <w:suppressAutoHyphens/>
        <w:spacing w:before="120"/>
        <w:ind w:left="851"/>
        <w:contextualSpacing w:val="0"/>
        <w:jc w:val="both"/>
        <w:rPr>
          <w:rFonts w:asciiTheme="minorHAnsi" w:eastAsia="Times New Roman" w:hAnsiTheme="minorHAnsi" w:cstheme="minorHAnsi"/>
          <w:color w:val="000000"/>
          <w:sz w:val="20"/>
          <w:szCs w:val="20"/>
        </w:rPr>
      </w:pPr>
      <w:r w:rsidRPr="00A10579">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14:paraId="7A123F82" w14:textId="77777777" w:rsidR="00A10579" w:rsidRPr="00A10579" w:rsidRDefault="00A10579" w:rsidP="003262C3">
      <w:pPr>
        <w:rPr>
          <w:rFonts w:asciiTheme="minorHAnsi" w:eastAsiaTheme="minorHAnsi" w:hAnsiTheme="minorHAnsi" w:cstheme="minorHAnsi"/>
          <w:sz w:val="22"/>
          <w:szCs w:val="22"/>
          <w:lang w:eastAsia="en-US"/>
        </w:rPr>
      </w:pPr>
    </w:p>
    <w:p w14:paraId="36BCBA43" w14:textId="77D7D112" w:rsidR="00BA3EA4" w:rsidRPr="00BA3EA4" w:rsidRDefault="00BA3EA4" w:rsidP="00BA3EA4">
      <w:pPr>
        <w:spacing w:after="120"/>
        <w:jc w:val="both"/>
        <w:rPr>
          <w:rFonts w:ascii="Calibri" w:hAnsi="Calibri"/>
        </w:rPr>
      </w:pPr>
      <w:r>
        <w:rPr>
          <w:rFonts w:asciiTheme="minorHAnsi" w:hAnsiTheme="minorHAnsi"/>
          <w:bCs/>
        </w:rPr>
        <w:t xml:space="preserve">       </w:t>
      </w:r>
      <w:r w:rsidRPr="00BA3EA4">
        <w:rPr>
          <w:rFonts w:asciiTheme="minorHAnsi" w:hAnsiTheme="minorHAnsi"/>
          <w:bCs/>
        </w:rPr>
        <w:t xml:space="preserve">Ponadto, na postawie art. 137 ust. 6 ustawy </w:t>
      </w:r>
      <w:proofErr w:type="spellStart"/>
      <w:r w:rsidRPr="00BA3EA4">
        <w:rPr>
          <w:rFonts w:asciiTheme="minorHAnsi" w:hAnsiTheme="minorHAnsi"/>
          <w:bCs/>
        </w:rPr>
        <w:t>Pzp</w:t>
      </w:r>
      <w:proofErr w:type="spellEnd"/>
      <w:r w:rsidRPr="00BA3EA4">
        <w:rPr>
          <w:rFonts w:asciiTheme="minorHAnsi" w:hAnsiTheme="minorHAnsi"/>
          <w:bCs/>
        </w:rPr>
        <w:t xml:space="preserve"> Zamawiający przedłuża termin składania ofert o czas niezbędny na ich przygotowani</w:t>
      </w:r>
      <w:r w:rsidR="00610B25">
        <w:rPr>
          <w:rFonts w:asciiTheme="minorHAnsi" w:hAnsiTheme="minorHAnsi"/>
          <w:bCs/>
        </w:rPr>
        <w:t>a</w:t>
      </w:r>
      <w:r w:rsidRPr="00BA3EA4">
        <w:rPr>
          <w:rFonts w:asciiTheme="minorHAnsi" w:hAnsiTheme="minorHAnsi"/>
          <w:bCs/>
        </w:rPr>
        <w:t xml:space="preserve"> tj. do dnia </w:t>
      </w:r>
      <w:r>
        <w:rPr>
          <w:rFonts w:asciiTheme="minorHAnsi" w:hAnsiTheme="minorHAnsi"/>
          <w:b/>
        </w:rPr>
        <w:t>26</w:t>
      </w:r>
      <w:r w:rsidRPr="00BA3EA4">
        <w:rPr>
          <w:rFonts w:asciiTheme="minorHAnsi" w:hAnsiTheme="minorHAnsi"/>
          <w:b/>
        </w:rPr>
        <w:t xml:space="preserve"> </w:t>
      </w:r>
      <w:r>
        <w:rPr>
          <w:rFonts w:asciiTheme="minorHAnsi" w:hAnsiTheme="minorHAnsi"/>
          <w:b/>
        </w:rPr>
        <w:t>kwietnia</w:t>
      </w:r>
      <w:r w:rsidRPr="00BA3EA4">
        <w:rPr>
          <w:rFonts w:asciiTheme="minorHAnsi" w:hAnsiTheme="minorHAnsi"/>
          <w:b/>
        </w:rPr>
        <w:t xml:space="preserve"> 2024 r. godz. 9.00</w:t>
      </w:r>
      <w:r w:rsidRPr="00BA3EA4">
        <w:rPr>
          <w:rFonts w:asciiTheme="minorHAnsi" w:hAnsiTheme="minorHAnsi"/>
          <w:bCs/>
        </w:rPr>
        <w:t xml:space="preserve"> </w:t>
      </w:r>
      <w:r w:rsidRPr="00BA3EA4">
        <w:rPr>
          <w:rFonts w:ascii="Calibri" w:hAnsi="Calibri"/>
        </w:rPr>
        <w:t xml:space="preserve">i wyznacza nowy termin otwarcia ofert tj. </w:t>
      </w:r>
      <w:r w:rsidRPr="00BA3EA4">
        <w:rPr>
          <w:rFonts w:ascii="Calibri" w:hAnsi="Calibri"/>
          <w:b/>
          <w:bCs/>
        </w:rPr>
        <w:t xml:space="preserve"> </w:t>
      </w:r>
      <w:r>
        <w:rPr>
          <w:rFonts w:ascii="Calibri" w:hAnsi="Calibri"/>
          <w:b/>
          <w:bCs/>
        </w:rPr>
        <w:t>26</w:t>
      </w:r>
      <w:r w:rsidRPr="00BA3EA4">
        <w:rPr>
          <w:rFonts w:ascii="Calibri" w:hAnsi="Calibri"/>
          <w:b/>
          <w:bCs/>
        </w:rPr>
        <w:t xml:space="preserve"> </w:t>
      </w:r>
      <w:r>
        <w:rPr>
          <w:rFonts w:ascii="Calibri" w:hAnsi="Calibri"/>
          <w:b/>
          <w:bCs/>
        </w:rPr>
        <w:t>kwietnia</w:t>
      </w:r>
      <w:r w:rsidRPr="00BA3EA4">
        <w:rPr>
          <w:rFonts w:ascii="Calibri" w:hAnsi="Calibri"/>
          <w:b/>
          <w:bCs/>
        </w:rPr>
        <w:t xml:space="preserve"> 2024 r. godz. 10:00</w:t>
      </w:r>
      <w:r w:rsidRPr="00BA3EA4">
        <w:rPr>
          <w:rFonts w:ascii="Calibri" w:hAnsi="Calibri"/>
        </w:rPr>
        <w:t>.</w:t>
      </w:r>
    </w:p>
    <w:p w14:paraId="01425A62" w14:textId="7BC698F0" w:rsidR="00BA3EA4" w:rsidRPr="00BA3EA4" w:rsidRDefault="00BA3EA4" w:rsidP="00BA3EA4">
      <w:pPr>
        <w:jc w:val="both"/>
        <w:rPr>
          <w:rFonts w:ascii="Calibri" w:hAnsi="Calibri"/>
          <w:b/>
        </w:rPr>
      </w:pPr>
      <w:r w:rsidRPr="00BA3EA4">
        <w:rPr>
          <w:rFonts w:ascii="Calibri" w:hAnsi="Calibri"/>
          <w:bCs/>
        </w:rPr>
        <w:t xml:space="preserve">Na podstawie art. 137 ust. 1 ustawy </w:t>
      </w:r>
      <w:proofErr w:type="spellStart"/>
      <w:r w:rsidRPr="00BA3EA4">
        <w:rPr>
          <w:rFonts w:ascii="Calibri" w:hAnsi="Calibri"/>
          <w:bCs/>
        </w:rPr>
        <w:t>Pzp</w:t>
      </w:r>
      <w:proofErr w:type="spellEnd"/>
      <w:r w:rsidRPr="00BA3EA4">
        <w:rPr>
          <w:rFonts w:ascii="Calibri" w:hAnsi="Calibri"/>
          <w:bCs/>
        </w:rPr>
        <w:t xml:space="preserve"> </w:t>
      </w:r>
      <w:r>
        <w:rPr>
          <w:rFonts w:ascii="Calibri" w:hAnsi="Calibri"/>
          <w:bCs/>
        </w:rPr>
        <w:t>z</w:t>
      </w:r>
      <w:r w:rsidRPr="00BA3EA4">
        <w:rPr>
          <w:rFonts w:ascii="Calibri" w:hAnsi="Calibri"/>
          <w:bCs/>
        </w:rPr>
        <w:t xml:space="preserve">mianie ulega również termin związania z ofertą tj. do dnia </w:t>
      </w:r>
      <w:r w:rsidRPr="00BA3EA4">
        <w:rPr>
          <w:rFonts w:ascii="Calibri" w:hAnsi="Calibri"/>
          <w:bCs/>
        </w:rPr>
        <w:br/>
      </w:r>
      <w:r>
        <w:rPr>
          <w:rFonts w:ascii="Calibri" w:hAnsi="Calibri"/>
          <w:b/>
        </w:rPr>
        <w:t>24</w:t>
      </w:r>
      <w:r w:rsidRPr="00BA3EA4">
        <w:rPr>
          <w:rFonts w:ascii="Calibri" w:hAnsi="Calibri"/>
          <w:b/>
        </w:rPr>
        <w:t xml:space="preserve"> </w:t>
      </w:r>
      <w:r>
        <w:rPr>
          <w:rFonts w:ascii="Calibri" w:hAnsi="Calibri"/>
          <w:b/>
        </w:rPr>
        <w:t>lipca</w:t>
      </w:r>
      <w:r w:rsidRPr="00BA3EA4">
        <w:rPr>
          <w:rFonts w:ascii="Calibri" w:hAnsi="Calibri"/>
          <w:b/>
        </w:rPr>
        <w:t xml:space="preserve"> 2024 r.</w:t>
      </w:r>
    </w:p>
    <w:p w14:paraId="6992245C" w14:textId="77777777" w:rsidR="00BA3EA4" w:rsidRPr="00BA3EA4" w:rsidRDefault="00BA3EA4" w:rsidP="00BA3EA4">
      <w:pPr>
        <w:jc w:val="both"/>
        <w:rPr>
          <w:rFonts w:ascii="Calibri" w:hAnsi="Calibri"/>
          <w:b/>
          <w:u w:val="single"/>
        </w:rPr>
      </w:pPr>
    </w:p>
    <w:p w14:paraId="2689D78F" w14:textId="77777777" w:rsidR="00BA3EA4" w:rsidRPr="00BA3EA4" w:rsidRDefault="00BA3EA4" w:rsidP="00BA3EA4">
      <w:pPr>
        <w:autoSpaceDE w:val="0"/>
        <w:autoSpaceDN w:val="0"/>
        <w:adjustRightInd w:val="0"/>
        <w:jc w:val="both"/>
        <w:rPr>
          <w:rFonts w:asciiTheme="minorHAnsi" w:hAnsiTheme="minorHAnsi"/>
          <w:bCs/>
        </w:rPr>
      </w:pPr>
      <w:r w:rsidRPr="00BA3EA4">
        <w:rPr>
          <w:rFonts w:asciiTheme="minorHAnsi" w:hAnsiTheme="minorHAnsi"/>
          <w:bCs/>
        </w:rPr>
        <w:t xml:space="preserve">W związku z powyższymi zmianami, stosownie do treści art. 137 ust. 4 ustawy </w:t>
      </w:r>
      <w:proofErr w:type="spellStart"/>
      <w:r w:rsidRPr="00BA3EA4">
        <w:rPr>
          <w:rFonts w:asciiTheme="minorHAnsi" w:hAnsiTheme="minorHAnsi"/>
          <w:bCs/>
        </w:rPr>
        <w:t>Pzp</w:t>
      </w:r>
      <w:proofErr w:type="spellEnd"/>
      <w:r w:rsidRPr="00BA3EA4">
        <w:rPr>
          <w:rFonts w:asciiTheme="minorHAnsi" w:hAnsiTheme="minorHAnsi"/>
          <w:bCs/>
        </w:rPr>
        <w:t xml:space="preserve"> na podstawie art. 90 ust. 1 ustawy </w:t>
      </w:r>
      <w:proofErr w:type="spellStart"/>
      <w:r w:rsidRPr="00BA3EA4">
        <w:rPr>
          <w:rFonts w:asciiTheme="minorHAnsi" w:hAnsiTheme="minorHAnsi"/>
          <w:bCs/>
        </w:rPr>
        <w:t>Pzp</w:t>
      </w:r>
      <w:proofErr w:type="spellEnd"/>
      <w:r w:rsidRPr="00BA3EA4">
        <w:rPr>
          <w:rFonts w:asciiTheme="minorHAnsi" w:hAnsiTheme="minorHAnsi"/>
          <w:bCs/>
        </w:rPr>
        <w:t xml:space="preserve"> zmianie ulega Ogłoszenie o zamówienia.</w:t>
      </w:r>
    </w:p>
    <w:p w14:paraId="6E3570B6" w14:textId="77777777" w:rsidR="003262C3" w:rsidRPr="00C81D2C" w:rsidRDefault="003262C3" w:rsidP="000B2F33">
      <w:pPr>
        <w:jc w:val="both"/>
        <w:rPr>
          <w:rFonts w:asciiTheme="minorHAnsi" w:hAnsiTheme="minorHAnsi" w:cstheme="minorHAnsi"/>
        </w:rPr>
      </w:pPr>
    </w:p>
    <w:p w14:paraId="468B395D" w14:textId="77777777" w:rsidR="000B2F33" w:rsidRPr="00C81D2C" w:rsidRDefault="000B2F33" w:rsidP="00AA2FF3">
      <w:pPr>
        <w:autoSpaceDE w:val="0"/>
        <w:autoSpaceDN w:val="0"/>
        <w:adjustRightInd w:val="0"/>
        <w:jc w:val="both"/>
        <w:rPr>
          <w:rFonts w:asciiTheme="minorHAnsi" w:hAnsiTheme="minorHAnsi" w:cstheme="minorHAnsi"/>
          <w:bCs/>
        </w:rPr>
      </w:pPr>
    </w:p>
    <w:p w14:paraId="05A3AA2B" w14:textId="49A01350" w:rsidR="000B2F33" w:rsidRPr="00C81D2C" w:rsidRDefault="00480C36" w:rsidP="00AA2FF3">
      <w:pPr>
        <w:autoSpaceDE w:val="0"/>
        <w:autoSpaceDN w:val="0"/>
        <w:adjustRightInd w:val="0"/>
        <w:jc w:val="both"/>
        <w:rPr>
          <w:rFonts w:asciiTheme="minorHAnsi" w:hAnsiTheme="minorHAnsi" w:cstheme="minorHAnsi"/>
          <w:b/>
        </w:rPr>
      </w:pPr>
      <w:r w:rsidRPr="00C81D2C">
        <w:rPr>
          <w:rFonts w:asciiTheme="minorHAnsi" w:hAnsiTheme="minorHAnsi" w:cstheme="minorHAnsi"/>
          <w:b/>
        </w:rPr>
        <w:t>W załączeniu aktualny Załącznik nr 1 do SWZ – Formularz oferty.</w:t>
      </w:r>
    </w:p>
    <w:p w14:paraId="2495A9A7" w14:textId="502504BC" w:rsidR="00C81D2C" w:rsidRPr="00C81D2C" w:rsidRDefault="00C81D2C" w:rsidP="00AA2FF3">
      <w:pPr>
        <w:autoSpaceDE w:val="0"/>
        <w:autoSpaceDN w:val="0"/>
        <w:adjustRightInd w:val="0"/>
        <w:jc w:val="both"/>
        <w:rPr>
          <w:rFonts w:asciiTheme="minorHAnsi" w:hAnsiTheme="minorHAnsi" w:cstheme="minorHAnsi"/>
          <w:b/>
        </w:rPr>
      </w:pPr>
      <w:r w:rsidRPr="00C81D2C">
        <w:rPr>
          <w:rFonts w:asciiTheme="minorHAnsi" w:hAnsiTheme="minorHAnsi" w:cstheme="minorHAnsi"/>
          <w:b/>
        </w:rPr>
        <w:t>W załączeniu aktualny Załącznik nr 6 do SWZ – Wzór umowy.</w:t>
      </w:r>
    </w:p>
    <w:p w14:paraId="017B9EF1" w14:textId="254FE8D3" w:rsidR="0029576A" w:rsidRPr="00C81D2C" w:rsidRDefault="0029576A" w:rsidP="00AA2FF3">
      <w:pPr>
        <w:autoSpaceDE w:val="0"/>
        <w:autoSpaceDN w:val="0"/>
        <w:adjustRightInd w:val="0"/>
        <w:jc w:val="both"/>
        <w:rPr>
          <w:rFonts w:asciiTheme="minorHAnsi" w:hAnsiTheme="minorHAnsi" w:cstheme="minorHAnsi"/>
          <w:bCs/>
        </w:rPr>
      </w:pPr>
      <w:r w:rsidRPr="00C81D2C">
        <w:rPr>
          <w:rFonts w:asciiTheme="minorHAnsi" w:hAnsiTheme="minorHAnsi" w:cstheme="minorHAnsi"/>
          <w:bCs/>
        </w:rPr>
        <w:t>Powyższe odpowiedzi i zmiany są wiążące dla wszystkich uczestników postępowania i należy je uwzględnić</w:t>
      </w:r>
      <w:r w:rsidR="00C52698" w:rsidRPr="00C81D2C">
        <w:rPr>
          <w:rFonts w:asciiTheme="minorHAnsi" w:hAnsiTheme="minorHAnsi" w:cstheme="minorHAnsi"/>
          <w:bCs/>
        </w:rPr>
        <w:t xml:space="preserve"> </w:t>
      </w:r>
      <w:r w:rsidRPr="00C81D2C">
        <w:rPr>
          <w:rFonts w:asciiTheme="minorHAnsi" w:hAnsiTheme="minorHAnsi" w:cstheme="minorHAnsi"/>
          <w:bCs/>
        </w:rPr>
        <w:t>w składanej ofercie. Pozostałe zapisy SWZ pozostają bez zmian.</w:t>
      </w:r>
    </w:p>
    <w:p w14:paraId="7E8D329A" w14:textId="77777777" w:rsidR="0029576A" w:rsidRPr="0040376C" w:rsidRDefault="0029576A" w:rsidP="0029576A">
      <w:pPr>
        <w:autoSpaceDE w:val="0"/>
        <w:autoSpaceDN w:val="0"/>
        <w:adjustRightInd w:val="0"/>
        <w:ind w:left="4956" w:firstLine="708"/>
        <w:rPr>
          <w:rFonts w:asciiTheme="minorHAnsi" w:hAnsiTheme="minorHAnsi"/>
          <w:spacing w:val="-1"/>
        </w:rPr>
      </w:pPr>
    </w:p>
    <w:p w14:paraId="09DB40DA" w14:textId="103B6399" w:rsidR="0029576A" w:rsidRPr="0040376C" w:rsidRDefault="00BE4C7C" w:rsidP="0029576A">
      <w:pPr>
        <w:autoSpaceDE w:val="0"/>
        <w:autoSpaceDN w:val="0"/>
        <w:adjustRightInd w:val="0"/>
        <w:ind w:left="4248"/>
        <w:jc w:val="center"/>
        <w:rPr>
          <w:rFonts w:asciiTheme="minorHAnsi" w:hAnsiTheme="minorHAnsi"/>
          <w:spacing w:val="-1"/>
        </w:rPr>
      </w:pPr>
      <w:r w:rsidRPr="0040376C">
        <w:rPr>
          <w:rFonts w:asciiTheme="minorHAnsi" w:hAnsiTheme="minorHAnsi"/>
          <w:spacing w:val="-1"/>
        </w:rPr>
        <w:t xml:space="preserve">         </w:t>
      </w:r>
      <w:r w:rsidR="00A77DED" w:rsidRPr="0040376C">
        <w:rPr>
          <w:rFonts w:asciiTheme="minorHAnsi" w:hAnsiTheme="minorHAnsi"/>
          <w:spacing w:val="-1"/>
        </w:rPr>
        <w:t xml:space="preserve">     </w:t>
      </w:r>
      <w:r w:rsidRPr="0040376C">
        <w:rPr>
          <w:rFonts w:asciiTheme="minorHAnsi" w:hAnsiTheme="minorHAnsi"/>
          <w:spacing w:val="-1"/>
        </w:rPr>
        <w:t xml:space="preserve"> </w:t>
      </w:r>
      <w:r w:rsidR="00DB66C7" w:rsidRPr="0040376C">
        <w:rPr>
          <w:rFonts w:asciiTheme="minorHAnsi" w:hAnsiTheme="minorHAnsi"/>
          <w:spacing w:val="-1"/>
        </w:rPr>
        <w:t xml:space="preserve">             </w:t>
      </w:r>
      <w:r w:rsidR="00610B25">
        <w:rPr>
          <w:rFonts w:asciiTheme="minorHAnsi" w:hAnsiTheme="minorHAnsi"/>
          <w:spacing w:val="-1"/>
        </w:rPr>
        <w:t xml:space="preserve">       </w:t>
      </w:r>
      <w:r w:rsidR="0029576A" w:rsidRPr="0040376C">
        <w:rPr>
          <w:rFonts w:asciiTheme="minorHAnsi" w:hAnsiTheme="minorHAnsi"/>
          <w:spacing w:val="-1"/>
        </w:rPr>
        <w:t>Z poważaniem</w:t>
      </w:r>
    </w:p>
    <w:p w14:paraId="3B53906F" w14:textId="77777777" w:rsidR="00175CFC" w:rsidRPr="0040376C" w:rsidRDefault="00175CFC" w:rsidP="00175CFC">
      <w:pPr>
        <w:rPr>
          <w:rFonts w:asciiTheme="minorHAnsi" w:hAnsiTheme="minorHAnsi"/>
        </w:rPr>
      </w:pPr>
    </w:p>
    <w:p w14:paraId="0860B82F" w14:textId="77777777" w:rsidR="003C75BE" w:rsidRPr="002B5AC5" w:rsidRDefault="003C75BE" w:rsidP="002B5AC5">
      <w:pPr>
        <w:jc w:val="right"/>
        <w:rPr>
          <w:rFonts w:asciiTheme="minorHAnsi" w:hAnsiTheme="minorHAnsi" w:cstheme="minorHAnsi"/>
          <w:i/>
          <w:iCs/>
        </w:rPr>
      </w:pPr>
    </w:p>
    <w:p w14:paraId="121A6EE6" w14:textId="77777777" w:rsidR="002B5AC5" w:rsidRPr="002B5AC5" w:rsidRDefault="002B5AC5" w:rsidP="002B5AC5">
      <w:pPr>
        <w:jc w:val="right"/>
        <w:rPr>
          <w:rFonts w:asciiTheme="minorHAnsi" w:hAnsiTheme="minorHAnsi" w:cstheme="minorHAnsi"/>
          <w:i/>
          <w:iCs/>
        </w:rPr>
      </w:pPr>
      <w:r w:rsidRPr="002B5AC5">
        <w:rPr>
          <w:rFonts w:asciiTheme="minorHAnsi" w:hAnsiTheme="minorHAnsi" w:cstheme="minorHAnsi"/>
          <w:i/>
          <w:iCs/>
        </w:rPr>
        <w:t>Kierownik Działu Zamówień Publicznych mgr Mariusz Klimczak</w:t>
      </w:r>
    </w:p>
    <w:p w14:paraId="0FD8D6BB" w14:textId="0333C34D" w:rsidR="00175CFC" w:rsidRDefault="00175CFC" w:rsidP="00175CFC">
      <w:pPr>
        <w:jc w:val="right"/>
      </w:pPr>
      <w:r>
        <w:rPr>
          <w:rFonts w:asciiTheme="minorHAnsi" w:hAnsiTheme="minorHAnsi"/>
          <w:sz w:val="22"/>
          <w:szCs w:val="22"/>
        </w:rPr>
        <w:tab/>
      </w:r>
    </w:p>
    <w:p w14:paraId="5AAA2788" w14:textId="6F29D7B0" w:rsidR="00071A73" w:rsidRPr="004E3D89" w:rsidRDefault="00071A73" w:rsidP="00442DE9">
      <w:pPr>
        <w:rPr>
          <w:rFonts w:asciiTheme="minorHAnsi" w:hAnsiTheme="minorHAnsi" w:cstheme="minorHAnsi"/>
          <w:color w:val="FFFFFF" w:themeColor="background1"/>
          <w:sz w:val="22"/>
          <w:szCs w:val="22"/>
        </w:rPr>
      </w:pPr>
      <w:r w:rsidRPr="004E3D89">
        <w:rPr>
          <w:rFonts w:asciiTheme="minorHAnsi" w:hAnsiTheme="minorHAnsi" w:cstheme="minorHAnsi"/>
          <w:color w:val="FFFFFF" w:themeColor="background1"/>
          <w:sz w:val="22"/>
          <w:szCs w:val="22"/>
        </w:rPr>
        <w:t xml:space="preserve">Kierownik Sekcji </w:t>
      </w:r>
    </w:p>
    <w:p w14:paraId="0CB286B3" w14:textId="77777777" w:rsidR="00663E44" w:rsidRPr="00175CFC" w:rsidRDefault="00663E44" w:rsidP="00175CFC">
      <w:pPr>
        <w:tabs>
          <w:tab w:val="left" w:pos="7065"/>
        </w:tabs>
        <w:rPr>
          <w:rFonts w:asciiTheme="minorHAnsi" w:hAnsiTheme="minorHAnsi"/>
          <w:sz w:val="22"/>
          <w:szCs w:val="22"/>
        </w:rPr>
      </w:pPr>
    </w:p>
    <w:sectPr w:rsidR="00663E44" w:rsidRPr="00175CFC" w:rsidSect="00EC3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38"/>
    <w:multiLevelType w:val="hybridMultilevel"/>
    <w:tmpl w:val="CC7C577C"/>
    <w:lvl w:ilvl="0" w:tplc="C28C2B2A">
      <w:start w:val="1"/>
      <w:numFmt w:val="decimal"/>
      <w:lvlText w:val="%1."/>
      <w:lvlJc w:val="left"/>
      <w:pPr>
        <w:ind w:left="720" w:hanging="360"/>
      </w:pPr>
      <w:rPr>
        <w:rFonts w:eastAsia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0A6CDF"/>
    <w:multiLevelType w:val="hybridMultilevel"/>
    <w:tmpl w:val="D5FCBEA6"/>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 w15:restartNumberingAfterBreak="0">
    <w:nsid w:val="12B55DE8"/>
    <w:multiLevelType w:val="hybridMultilevel"/>
    <w:tmpl w:val="891CA1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F33F47"/>
    <w:multiLevelType w:val="hybridMultilevel"/>
    <w:tmpl w:val="E0B872B6"/>
    <w:lvl w:ilvl="0" w:tplc="1B96CB2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C447C"/>
    <w:multiLevelType w:val="hybridMultilevel"/>
    <w:tmpl w:val="1FB8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42EDC"/>
    <w:multiLevelType w:val="hybridMultilevel"/>
    <w:tmpl w:val="947E0FEA"/>
    <w:lvl w:ilvl="0" w:tplc="79A67518">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51376950"/>
    <w:multiLevelType w:val="hybridMultilevel"/>
    <w:tmpl w:val="D08E9768"/>
    <w:lvl w:ilvl="0" w:tplc="A38CA05E">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720C7E72"/>
    <w:multiLevelType w:val="hybridMultilevel"/>
    <w:tmpl w:val="5F5A9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1473714">
    <w:abstractNumId w:val="2"/>
  </w:num>
  <w:num w:numId="2" w16cid:durableId="35081845">
    <w:abstractNumId w:val="7"/>
  </w:num>
  <w:num w:numId="3" w16cid:durableId="593166783">
    <w:abstractNumId w:val="8"/>
  </w:num>
  <w:num w:numId="4" w16cid:durableId="507642320">
    <w:abstractNumId w:val="3"/>
  </w:num>
  <w:num w:numId="5" w16cid:durableId="1076438301">
    <w:abstractNumId w:val="9"/>
  </w:num>
  <w:num w:numId="6" w16cid:durableId="1487741236">
    <w:abstractNumId w:val="11"/>
  </w:num>
  <w:num w:numId="7" w16cid:durableId="204417151">
    <w:abstractNumId w:val="1"/>
  </w:num>
  <w:num w:numId="8" w16cid:durableId="945423915">
    <w:abstractNumId w:val="10"/>
  </w:num>
  <w:num w:numId="9" w16cid:durableId="143805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8290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797889">
    <w:abstractNumId w:val="12"/>
  </w:num>
  <w:num w:numId="12" w16cid:durableId="1845971067">
    <w:abstractNumId w:val="13"/>
  </w:num>
  <w:num w:numId="13" w16cid:durableId="912393770">
    <w:abstractNumId w:val="5"/>
  </w:num>
  <w:num w:numId="14" w16cid:durableId="1111970077">
    <w:abstractNumId w:val="4"/>
  </w:num>
  <w:num w:numId="15" w16cid:durableId="1346983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BB"/>
    <w:rsid w:val="00031382"/>
    <w:rsid w:val="0007077F"/>
    <w:rsid w:val="00071A73"/>
    <w:rsid w:val="0008431D"/>
    <w:rsid w:val="000B2F33"/>
    <w:rsid w:val="000B6558"/>
    <w:rsid w:val="00144E40"/>
    <w:rsid w:val="00175CFC"/>
    <w:rsid w:val="001A1534"/>
    <w:rsid w:val="001B7181"/>
    <w:rsid w:val="001E7349"/>
    <w:rsid w:val="001E740C"/>
    <w:rsid w:val="002648B9"/>
    <w:rsid w:val="0029576A"/>
    <w:rsid w:val="002B5AC5"/>
    <w:rsid w:val="00311AAA"/>
    <w:rsid w:val="003262C3"/>
    <w:rsid w:val="003461CD"/>
    <w:rsid w:val="0036625A"/>
    <w:rsid w:val="003C75BE"/>
    <w:rsid w:val="003D5E35"/>
    <w:rsid w:val="003F7287"/>
    <w:rsid w:val="0040376C"/>
    <w:rsid w:val="00433EBB"/>
    <w:rsid w:val="00442DE9"/>
    <w:rsid w:val="00480C36"/>
    <w:rsid w:val="004820FC"/>
    <w:rsid w:val="00484F65"/>
    <w:rsid w:val="00490BBE"/>
    <w:rsid w:val="004B654C"/>
    <w:rsid w:val="004E3D89"/>
    <w:rsid w:val="00523767"/>
    <w:rsid w:val="0052557F"/>
    <w:rsid w:val="005462B2"/>
    <w:rsid w:val="0057171D"/>
    <w:rsid w:val="005C6387"/>
    <w:rsid w:val="005F3E39"/>
    <w:rsid w:val="00604E34"/>
    <w:rsid w:val="00610B25"/>
    <w:rsid w:val="00624237"/>
    <w:rsid w:val="00645621"/>
    <w:rsid w:val="0064769B"/>
    <w:rsid w:val="00663A51"/>
    <w:rsid w:val="00663E44"/>
    <w:rsid w:val="006D7E1C"/>
    <w:rsid w:val="006E6DC1"/>
    <w:rsid w:val="00720C87"/>
    <w:rsid w:val="007578F4"/>
    <w:rsid w:val="00762C83"/>
    <w:rsid w:val="00791DD1"/>
    <w:rsid w:val="007960D5"/>
    <w:rsid w:val="007A6C86"/>
    <w:rsid w:val="007E07A9"/>
    <w:rsid w:val="007F2FA2"/>
    <w:rsid w:val="007F58A6"/>
    <w:rsid w:val="0081501E"/>
    <w:rsid w:val="00840DB1"/>
    <w:rsid w:val="008516FA"/>
    <w:rsid w:val="0088681F"/>
    <w:rsid w:val="008938DF"/>
    <w:rsid w:val="008E5886"/>
    <w:rsid w:val="008F2F45"/>
    <w:rsid w:val="008F665A"/>
    <w:rsid w:val="00907995"/>
    <w:rsid w:val="00920C37"/>
    <w:rsid w:val="00943DCC"/>
    <w:rsid w:val="00944D83"/>
    <w:rsid w:val="009509A2"/>
    <w:rsid w:val="00960903"/>
    <w:rsid w:val="00987220"/>
    <w:rsid w:val="009905BD"/>
    <w:rsid w:val="009A282E"/>
    <w:rsid w:val="009D492E"/>
    <w:rsid w:val="009D557D"/>
    <w:rsid w:val="009F363C"/>
    <w:rsid w:val="00A07390"/>
    <w:rsid w:val="00A10579"/>
    <w:rsid w:val="00A21BB9"/>
    <w:rsid w:val="00A277DA"/>
    <w:rsid w:val="00A52998"/>
    <w:rsid w:val="00A7349D"/>
    <w:rsid w:val="00A76686"/>
    <w:rsid w:val="00A77DED"/>
    <w:rsid w:val="00A972E2"/>
    <w:rsid w:val="00AA2FF3"/>
    <w:rsid w:val="00AD3BF6"/>
    <w:rsid w:val="00AE33E7"/>
    <w:rsid w:val="00AE788C"/>
    <w:rsid w:val="00B10D2B"/>
    <w:rsid w:val="00B128BD"/>
    <w:rsid w:val="00B23B9A"/>
    <w:rsid w:val="00B444CF"/>
    <w:rsid w:val="00BA3EA4"/>
    <w:rsid w:val="00BB43E0"/>
    <w:rsid w:val="00BD7932"/>
    <w:rsid w:val="00BD7BFC"/>
    <w:rsid w:val="00BE4C7C"/>
    <w:rsid w:val="00BE4D1D"/>
    <w:rsid w:val="00BE59F3"/>
    <w:rsid w:val="00C0210F"/>
    <w:rsid w:val="00C12535"/>
    <w:rsid w:val="00C2702B"/>
    <w:rsid w:val="00C4440D"/>
    <w:rsid w:val="00C52698"/>
    <w:rsid w:val="00C567DD"/>
    <w:rsid w:val="00C576C8"/>
    <w:rsid w:val="00C81D2C"/>
    <w:rsid w:val="00CA4807"/>
    <w:rsid w:val="00CB1B65"/>
    <w:rsid w:val="00D1141C"/>
    <w:rsid w:val="00D325B0"/>
    <w:rsid w:val="00D462A9"/>
    <w:rsid w:val="00D92627"/>
    <w:rsid w:val="00DB66C7"/>
    <w:rsid w:val="00DD23AD"/>
    <w:rsid w:val="00DF1EE2"/>
    <w:rsid w:val="00E36448"/>
    <w:rsid w:val="00EC3CC5"/>
    <w:rsid w:val="00EE5AD0"/>
    <w:rsid w:val="00EF3DBA"/>
    <w:rsid w:val="00EF4A3B"/>
    <w:rsid w:val="00F07A91"/>
    <w:rsid w:val="00F70231"/>
    <w:rsid w:val="00F855EE"/>
    <w:rsid w:val="00F9661B"/>
    <w:rsid w:val="00FA4639"/>
    <w:rsid w:val="00FC1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EA9B3"/>
  <w15:docId w15:val="{06B695E0-F6A3-417E-A2BA-2AEFE09D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3AD"/>
    <w:pPr>
      <w:spacing w:after="0" w:line="240" w:lineRule="auto"/>
    </w:pPr>
    <w:rPr>
      <w:rFonts w:ascii="MS Sans Serif" w:eastAsia="Times New Roman" w:hAnsi="MS Sans Serif" w:cs="Times New Roman"/>
      <w:sz w:val="20"/>
      <w:szCs w:val="20"/>
      <w:lang w:eastAsia="pl-PL"/>
    </w:rPr>
  </w:style>
  <w:style w:type="paragraph" w:styleId="Nagwek2">
    <w:name w:val="heading 2"/>
    <w:basedOn w:val="Normalny"/>
    <w:next w:val="Normalny"/>
    <w:link w:val="Nagwek2Znak"/>
    <w:qFormat/>
    <w:rsid w:val="00A10579"/>
    <w:pPr>
      <w:keepNext/>
      <w:spacing w:after="160" w:line="259" w:lineRule="auto"/>
      <w:outlineLvl w:val="1"/>
    </w:pPr>
    <w:rPr>
      <w:rFonts w:ascii="Times New Roman" w:hAnsi="Times New Roman"/>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55EE"/>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rsid w:val="00DD23AD"/>
    <w:pPr>
      <w:spacing w:after="120"/>
      <w:ind w:left="283"/>
    </w:pPr>
  </w:style>
  <w:style w:type="character" w:customStyle="1" w:styleId="TekstpodstawowywcityZnak">
    <w:name w:val="Tekst podstawowy wcięty Znak"/>
    <w:basedOn w:val="Domylnaczcionkaakapitu"/>
    <w:link w:val="Tekstpodstawowywcity"/>
    <w:rsid w:val="00DD23AD"/>
    <w:rPr>
      <w:rFonts w:ascii="MS Sans Serif" w:eastAsia="Times New Roman" w:hAnsi="MS Sans Serif" w:cs="Times New Roman"/>
      <w:sz w:val="20"/>
      <w:szCs w:val="20"/>
      <w:lang w:eastAsia="pl-PL"/>
    </w:rPr>
  </w:style>
  <w:style w:type="paragraph" w:styleId="Bezodstpw">
    <w:name w:val="No Spacing"/>
    <w:qFormat/>
    <w:rsid w:val="00663E44"/>
    <w:pPr>
      <w:spacing w:after="0" w:line="240"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663E44"/>
    <w:pPr>
      <w:spacing w:after="120"/>
    </w:pPr>
  </w:style>
  <w:style w:type="character" w:customStyle="1" w:styleId="TekstpodstawowyZnak">
    <w:name w:val="Tekst podstawowy Znak"/>
    <w:basedOn w:val="Domylnaczcionkaakapitu"/>
    <w:link w:val="Tekstpodstawowy"/>
    <w:uiPriority w:val="99"/>
    <w:semiHidden/>
    <w:rsid w:val="00663E44"/>
    <w:rPr>
      <w:rFonts w:ascii="MS Sans Serif" w:eastAsia="Times New Roman" w:hAnsi="MS Sans Serif" w:cs="Times New Roman"/>
      <w:sz w:val="20"/>
      <w:szCs w:val="20"/>
      <w:lang w:eastAsia="pl-PL"/>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663E44"/>
    <w:pPr>
      <w:ind w:left="720"/>
      <w:contextualSpacing/>
    </w:pPr>
    <w:rPr>
      <w:rFonts w:ascii="Times New Roman" w:eastAsia="Calibri" w:hAnsi="Times New Roman"/>
      <w:sz w:val="24"/>
      <w:szCs w:val="22"/>
      <w:lang w:eastAsia="en-US"/>
    </w:rPr>
  </w:style>
  <w:style w:type="character" w:customStyle="1" w:styleId="Teksttreci3">
    <w:name w:val="Tekst treści (3)_"/>
    <w:link w:val="Teksttreci30"/>
    <w:rsid w:val="0052557F"/>
    <w:rPr>
      <w:rFonts w:cs="Calibri"/>
      <w:sz w:val="18"/>
      <w:szCs w:val="18"/>
      <w:shd w:val="clear" w:color="auto" w:fill="FFFFFF"/>
    </w:rPr>
  </w:style>
  <w:style w:type="paragraph" w:customStyle="1" w:styleId="Teksttreci30">
    <w:name w:val="Tekst treści (3)"/>
    <w:basedOn w:val="Normalny"/>
    <w:link w:val="Teksttreci3"/>
    <w:rsid w:val="0052557F"/>
    <w:pPr>
      <w:shd w:val="clear" w:color="auto" w:fill="FFFFFF"/>
      <w:spacing w:before="360" w:line="274" w:lineRule="exact"/>
    </w:pPr>
    <w:rPr>
      <w:rFonts w:asciiTheme="minorHAnsi" w:eastAsiaTheme="minorHAnsi" w:hAnsiTheme="minorHAnsi" w:cs="Calibri"/>
      <w:sz w:val="18"/>
      <w:szCs w:val="18"/>
      <w:lang w:eastAsia="en-US"/>
    </w:rPr>
  </w:style>
  <w:style w:type="paragraph" w:customStyle="1" w:styleId="Normalny10">
    <w:name w:val="Normalny + 10"/>
    <w:basedOn w:val="Normalny"/>
    <w:rsid w:val="00C52698"/>
    <w:rPr>
      <w:rFonts w:ascii="Times New Roman" w:hAnsi="Times New Roman"/>
      <w:sz w:val="24"/>
      <w:szCs w:val="24"/>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0B2F33"/>
    <w:rPr>
      <w:rFonts w:ascii="Times New Roman" w:eastAsia="Calibri" w:hAnsi="Times New Roman" w:cs="Times New Roman"/>
      <w:sz w:val="24"/>
    </w:rPr>
  </w:style>
  <w:style w:type="paragraph" w:styleId="Tekstpodstawowy2">
    <w:name w:val="Body Text 2"/>
    <w:basedOn w:val="Normalny"/>
    <w:link w:val="Tekstpodstawowy2Znak"/>
    <w:uiPriority w:val="99"/>
    <w:semiHidden/>
    <w:unhideWhenUsed/>
    <w:rsid w:val="003262C3"/>
    <w:pPr>
      <w:spacing w:after="120" w:line="480" w:lineRule="auto"/>
    </w:pPr>
  </w:style>
  <w:style w:type="character" w:customStyle="1" w:styleId="Tekstpodstawowy2Znak">
    <w:name w:val="Tekst podstawowy 2 Znak"/>
    <w:basedOn w:val="Domylnaczcionkaakapitu"/>
    <w:link w:val="Tekstpodstawowy2"/>
    <w:uiPriority w:val="99"/>
    <w:semiHidden/>
    <w:rsid w:val="003262C3"/>
    <w:rPr>
      <w:rFonts w:ascii="MS Sans Serif" w:eastAsia="Times New Roman" w:hAnsi="MS Sans Serif" w:cs="Times New Roman"/>
      <w:sz w:val="20"/>
      <w:szCs w:val="20"/>
      <w:lang w:eastAsia="pl-PL"/>
    </w:rPr>
  </w:style>
  <w:style w:type="character" w:customStyle="1" w:styleId="Nagwek2Znak">
    <w:name w:val="Nagłówek 2 Znak"/>
    <w:basedOn w:val="Domylnaczcionkaakapitu"/>
    <w:link w:val="Nagwek2"/>
    <w:rsid w:val="00A10579"/>
    <w:rPr>
      <w:rFonts w:ascii="Times New Roman" w:eastAsia="Times New Roman" w:hAnsi="Times New Roman" w:cs="Times New Roman"/>
      <w:b/>
      <w:sz w:val="24"/>
      <w:szCs w:val="20"/>
      <w:u w:val="single"/>
      <w:lang w:eastAsia="pl-PL"/>
    </w:rPr>
  </w:style>
  <w:style w:type="table" w:styleId="Tabela-Siatka">
    <w:name w:val="Table Grid"/>
    <w:basedOn w:val="Standardowy"/>
    <w:uiPriority w:val="59"/>
    <w:rsid w:val="00A105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498">
      <w:bodyDiv w:val="1"/>
      <w:marLeft w:val="0"/>
      <w:marRight w:val="0"/>
      <w:marTop w:val="0"/>
      <w:marBottom w:val="0"/>
      <w:divBdr>
        <w:top w:val="none" w:sz="0" w:space="0" w:color="auto"/>
        <w:left w:val="none" w:sz="0" w:space="0" w:color="auto"/>
        <w:bottom w:val="none" w:sz="0" w:space="0" w:color="auto"/>
        <w:right w:val="none" w:sz="0" w:space="0" w:color="auto"/>
      </w:divBdr>
    </w:div>
    <w:div w:id="591401699">
      <w:bodyDiv w:val="1"/>
      <w:marLeft w:val="0"/>
      <w:marRight w:val="0"/>
      <w:marTop w:val="0"/>
      <w:marBottom w:val="0"/>
      <w:divBdr>
        <w:top w:val="none" w:sz="0" w:space="0" w:color="auto"/>
        <w:left w:val="none" w:sz="0" w:space="0" w:color="auto"/>
        <w:bottom w:val="none" w:sz="0" w:space="0" w:color="auto"/>
        <w:right w:val="none" w:sz="0" w:space="0" w:color="auto"/>
      </w:divBdr>
    </w:div>
    <w:div w:id="877814326">
      <w:bodyDiv w:val="1"/>
      <w:marLeft w:val="0"/>
      <w:marRight w:val="0"/>
      <w:marTop w:val="0"/>
      <w:marBottom w:val="0"/>
      <w:divBdr>
        <w:top w:val="none" w:sz="0" w:space="0" w:color="auto"/>
        <w:left w:val="none" w:sz="0" w:space="0" w:color="auto"/>
        <w:bottom w:val="none" w:sz="0" w:space="0" w:color="auto"/>
        <w:right w:val="none" w:sz="0" w:space="0" w:color="auto"/>
      </w:divBdr>
    </w:div>
    <w:div w:id="882016122">
      <w:bodyDiv w:val="1"/>
      <w:marLeft w:val="0"/>
      <w:marRight w:val="0"/>
      <w:marTop w:val="0"/>
      <w:marBottom w:val="0"/>
      <w:divBdr>
        <w:top w:val="none" w:sz="0" w:space="0" w:color="auto"/>
        <w:left w:val="none" w:sz="0" w:space="0" w:color="auto"/>
        <w:bottom w:val="none" w:sz="0" w:space="0" w:color="auto"/>
        <w:right w:val="none" w:sz="0" w:space="0" w:color="auto"/>
      </w:divBdr>
    </w:div>
    <w:div w:id="1276522539">
      <w:bodyDiv w:val="1"/>
      <w:marLeft w:val="0"/>
      <w:marRight w:val="0"/>
      <w:marTop w:val="0"/>
      <w:marBottom w:val="0"/>
      <w:divBdr>
        <w:top w:val="none" w:sz="0" w:space="0" w:color="auto"/>
        <w:left w:val="none" w:sz="0" w:space="0" w:color="auto"/>
        <w:bottom w:val="none" w:sz="0" w:space="0" w:color="auto"/>
        <w:right w:val="none" w:sz="0" w:space="0" w:color="auto"/>
      </w:divBdr>
    </w:div>
    <w:div w:id="1464889510">
      <w:bodyDiv w:val="1"/>
      <w:marLeft w:val="0"/>
      <w:marRight w:val="0"/>
      <w:marTop w:val="0"/>
      <w:marBottom w:val="0"/>
      <w:divBdr>
        <w:top w:val="none" w:sz="0" w:space="0" w:color="auto"/>
        <w:left w:val="none" w:sz="0" w:space="0" w:color="auto"/>
        <w:bottom w:val="none" w:sz="0" w:space="0" w:color="auto"/>
        <w:right w:val="none" w:sz="0" w:space="0" w:color="auto"/>
      </w:divBdr>
    </w:div>
    <w:div w:id="1470051015">
      <w:bodyDiv w:val="1"/>
      <w:marLeft w:val="0"/>
      <w:marRight w:val="0"/>
      <w:marTop w:val="0"/>
      <w:marBottom w:val="0"/>
      <w:divBdr>
        <w:top w:val="none" w:sz="0" w:space="0" w:color="auto"/>
        <w:left w:val="none" w:sz="0" w:space="0" w:color="auto"/>
        <w:bottom w:val="none" w:sz="0" w:space="0" w:color="auto"/>
        <w:right w:val="none" w:sz="0" w:space="0" w:color="auto"/>
      </w:divBdr>
    </w:div>
    <w:div w:id="1572159149">
      <w:bodyDiv w:val="1"/>
      <w:marLeft w:val="0"/>
      <w:marRight w:val="0"/>
      <w:marTop w:val="0"/>
      <w:marBottom w:val="0"/>
      <w:divBdr>
        <w:top w:val="none" w:sz="0" w:space="0" w:color="auto"/>
        <w:left w:val="none" w:sz="0" w:space="0" w:color="auto"/>
        <w:bottom w:val="none" w:sz="0" w:space="0" w:color="auto"/>
        <w:right w:val="none" w:sz="0" w:space="0" w:color="auto"/>
      </w:divBdr>
    </w:div>
    <w:div w:id="1762412734">
      <w:bodyDiv w:val="1"/>
      <w:marLeft w:val="0"/>
      <w:marRight w:val="0"/>
      <w:marTop w:val="0"/>
      <w:marBottom w:val="0"/>
      <w:divBdr>
        <w:top w:val="none" w:sz="0" w:space="0" w:color="auto"/>
        <w:left w:val="none" w:sz="0" w:space="0" w:color="auto"/>
        <w:bottom w:val="none" w:sz="0" w:space="0" w:color="auto"/>
        <w:right w:val="none" w:sz="0" w:space="0" w:color="auto"/>
      </w:divBdr>
    </w:div>
    <w:div w:id="1827739324">
      <w:bodyDiv w:val="1"/>
      <w:marLeft w:val="0"/>
      <w:marRight w:val="0"/>
      <w:marTop w:val="0"/>
      <w:marBottom w:val="0"/>
      <w:divBdr>
        <w:top w:val="none" w:sz="0" w:space="0" w:color="auto"/>
        <w:left w:val="none" w:sz="0" w:space="0" w:color="auto"/>
        <w:bottom w:val="none" w:sz="0" w:space="0" w:color="auto"/>
        <w:right w:val="none" w:sz="0" w:space="0" w:color="auto"/>
      </w:divBdr>
    </w:div>
    <w:div w:id="21019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1DED-05DF-4217-A9BF-BF2817DA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1083</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Motyka Maja</dc:creator>
  <cp:lastModifiedBy>Motyka Maja</cp:lastModifiedBy>
  <cp:revision>66</cp:revision>
  <cp:lastPrinted>2023-10-10T06:08:00Z</cp:lastPrinted>
  <dcterms:created xsi:type="dcterms:W3CDTF">2022-02-03T07:36:00Z</dcterms:created>
  <dcterms:modified xsi:type="dcterms:W3CDTF">2024-04-10T07:58:00Z</dcterms:modified>
</cp:coreProperties>
</file>