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A624" w14:textId="77777777" w:rsidR="00E27516" w:rsidRDefault="00E27516" w:rsidP="373EAC8A">
      <w:pPr>
        <w:spacing w:after="10" w:line="257" w:lineRule="auto"/>
        <w:jc w:val="right"/>
        <w:rPr>
          <w:rFonts w:ascii="Calibri" w:eastAsia="Calibri" w:hAnsi="Calibri" w:cs="Calibri"/>
          <w:color w:val="000000" w:themeColor="text1"/>
        </w:rPr>
      </w:pPr>
    </w:p>
    <w:p w14:paraId="0462CA75" w14:textId="10402B1B" w:rsidR="373EAC8A" w:rsidRPr="000E142F" w:rsidRDefault="44F6C1AA" w:rsidP="000E142F">
      <w:pPr>
        <w:spacing w:after="10" w:line="257" w:lineRule="auto"/>
        <w:jc w:val="right"/>
        <w:rPr>
          <w:rFonts w:ascii="Calibri" w:eastAsia="Calibri" w:hAnsi="Calibri" w:cs="Calibri"/>
          <w:color w:val="000000" w:themeColor="text1"/>
        </w:rPr>
      </w:pPr>
      <w:r w:rsidRPr="373EAC8A">
        <w:rPr>
          <w:rFonts w:ascii="Calibri" w:eastAsia="Calibri" w:hAnsi="Calibri" w:cs="Calibri"/>
          <w:color w:val="000000" w:themeColor="text1"/>
        </w:rPr>
        <w:t>ZAŁĄCZNIK NR 5 DO SPECYFIKACJI WARUNKÓW ZAMÓWIENIA</w:t>
      </w:r>
    </w:p>
    <w:p w14:paraId="5AD6293B" w14:textId="7BB86C4A" w:rsidR="373EAC8A" w:rsidRDefault="373EAC8A" w:rsidP="373EAC8A">
      <w:r w:rsidRPr="373EAC8A">
        <w:rPr>
          <w:rFonts w:ascii="Arial" w:eastAsia="Arial" w:hAnsi="Arial" w:cs="Arial"/>
          <w:color w:val="000000" w:themeColor="text1"/>
          <w:sz w:val="16"/>
          <w:szCs w:val="16"/>
        </w:rPr>
        <w:t xml:space="preserve"> </w:t>
      </w:r>
    </w:p>
    <w:p w14:paraId="4EF5BB60" w14:textId="6C06F015" w:rsidR="373EAC8A" w:rsidRDefault="373EAC8A" w:rsidP="373EAC8A">
      <w:r w:rsidRPr="5B0EA5FE">
        <w:rPr>
          <w:rFonts w:ascii="Arial" w:eastAsia="Arial" w:hAnsi="Arial" w:cs="Arial"/>
          <w:color w:val="000000" w:themeColor="text1"/>
          <w:sz w:val="18"/>
          <w:szCs w:val="18"/>
        </w:rPr>
        <w:t xml:space="preserve">..................................................................... </w:t>
      </w:r>
      <w:r>
        <w:tab/>
      </w:r>
      <w:r>
        <w:tab/>
      </w:r>
      <w:r>
        <w:tab/>
      </w:r>
      <w:r>
        <w:tab/>
      </w:r>
      <w:r>
        <w:tab/>
      </w:r>
      <w:r>
        <w:tab/>
      </w:r>
      <w:r>
        <w:tab/>
      </w:r>
      <w:r>
        <w:tab/>
      </w:r>
      <w:r>
        <w:tab/>
      </w:r>
      <w:r>
        <w:tab/>
      </w:r>
      <w:r>
        <w:tab/>
      </w:r>
      <w:r w:rsidRPr="5B0EA5FE">
        <w:rPr>
          <w:rFonts w:ascii="Arial" w:eastAsia="Arial" w:hAnsi="Arial" w:cs="Arial"/>
          <w:color w:val="000000" w:themeColor="text1"/>
          <w:sz w:val="18"/>
          <w:szCs w:val="18"/>
        </w:rPr>
        <w:t>………………………, dn………….</w:t>
      </w:r>
      <w:r>
        <w:br/>
      </w:r>
      <w:r>
        <w:tab/>
      </w:r>
      <w:r>
        <w:tab/>
      </w:r>
      <w:r w:rsidRPr="5B0EA5FE">
        <w:rPr>
          <w:rFonts w:ascii="Arial" w:eastAsia="Arial" w:hAnsi="Arial" w:cs="Arial"/>
          <w:i/>
          <w:iCs/>
          <w:color w:val="000000" w:themeColor="text1"/>
          <w:sz w:val="18"/>
          <w:szCs w:val="18"/>
        </w:rPr>
        <w:t xml:space="preserve">Nazwa Wykonawcy                                                                                          </w:t>
      </w:r>
      <w:r>
        <w:tab/>
      </w:r>
      <w:r>
        <w:tab/>
      </w:r>
      <w:r>
        <w:tab/>
      </w:r>
      <w:r>
        <w:tab/>
      </w:r>
      <w:r>
        <w:tab/>
      </w:r>
      <w:r w:rsidRPr="5B0EA5FE">
        <w:rPr>
          <w:rFonts w:ascii="Arial" w:eastAsia="Arial" w:hAnsi="Arial" w:cs="Arial"/>
          <w:i/>
          <w:iCs/>
          <w:color w:val="000000" w:themeColor="text1"/>
          <w:sz w:val="18"/>
          <w:szCs w:val="18"/>
        </w:rPr>
        <w:t xml:space="preserve">      miejscowość</w:t>
      </w:r>
    </w:p>
    <w:p w14:paraId="61355501" w14:textId="77777777" w:rsidR="000E142F" w:rsidRDefault="000E142F" w:rsidP="373EAC8A"/>
    <w:p w14:paraId="463CA404" w14:textId="310B99F6" w:rsidR="373EAC8A" w:rsidRDefault="373EAC8A" w:rsidP="373EAC8A">
      <w:pPr>
        <w:jc w:val="center"/>
      </w:pPr>
      <w:r w:rsidRPr="373EAC8A">
        <w:rPr>
          <w:rFonts w:ascii="Arial" w:eastAsia="Arial" w:hAnsi="Arial" w:cs="Arial"/>
          <w:b/>
          <w:bCs/>
          <w:color w:val="000000" w:themeColor="text1"/>
        </w:rPr>
        <w:t>WYKAZ DOSTAW</w:t>
      </w:r>
    </w:p>
    <w:p w14:paraId="0A3E8076" w14:textId="7EF7A550" w:rsidR="373EAC8A" w:rsidRDefault="373EAC8A" w:rsidP="000E142F">
      <w:pPr>
        <w:spacing w:line="276" w:lineRule="auto"/>
        <w:jc w:val="center"/>
      </w:pPr>
      <w:r w:rsidRPr="373EAC8A">
        <w:rPr>
          <w:rFonts w:ascii="Arial" w:eastAsia="Arial" w:hAnsi="Arial" w:cs="Arial"/>
          <w:color w:val="000000" w:themeColor="text1"/>
          <w:sz w:val="20"/>
          <w:szCs w:val="20"/>
        </w:rPr>
        <w:t xml:space="preserve">w postępowaniu o udzielenie zamówienia publicznego w trybie przetargu nieograniczonego którego przedmiotem zamówienia jest: </w:t>
      </w:r>
    </w:p>
    <w:p w14:paraId="060B9A26" w14:textId="07B9E874" w:rsidR="373EAC8A" w:rsidRPr="003103D5" w:rsidRDefault="5B0EA5FE" w:rsidP="6FEF4049">
      <w:pPr>
        <w:spacing w:beforeAutospacing="1" w:afterAutospacing="1" w:line="271" w:lineRule="auto"/>
        <w:jc w:val="both"/>
        <w:rPr>
          <w:rFonts w:ascii="Arial" w:eastAsia="Calibri" w:hAnsi="Arial" w:cs="Arial"/>
          <w:color w:val="000000" w:themeColor="text1"/>
          <w:sz w:val="20"/>
          <w:szCs w:val="20"/>
        </w:rPr>
      </w:pPr>
      <w:r w:rsidRPr="003103D5">
        <w:rPr>
          <w:rFonts w:ascii="Arial" w:eastAsia="Calibri" w:hAnsi="Arial" w:cs="Arial"/>
          <w:b/>
          <w:bCs/>
          <w:color w:val="000000" w:themeColor="text1"/>
          <w:sz w:val="20"/>
          <w:szCs w:val="20"/>
        </w:rPr>
        <w:t>PROJEKT, WYKONANIE, DOSTAWA, MONTAŻ I PODŁĄCZENIE DO WSZYSTKICH INSTALACJI ZESTAWÓW MEBLI LABORATORYJNYCH, DYGESTORIÓW, SZAF CHEMICZNYCH, KOMORY LAMINARNEJ ORAZ SPRZĘTU AGD W ZABUDOWIE DLA MAŁOPOLSKIEGO CENTRUM NAUKI COGITEON</w:t>
      </w:r>
      <w:r w:rsidR="373EAC8A" w:rsidRPr="003103D5">
        <w:rPr>
          <w:rFonts w:ascii="Arial" w:eastAsia="Arial" w:hAnsi="Arial" w:cs="Arial"/>
          <w:b/>
          <w:bCs/>
          <w:color w:val="000000" w:themeColor="text1"/>
          <w:sz w:val="20"/>
          <w:szCs w:val="20"/>
        </w:rPr>
        <w:t xml:space="preserve"> – znak sprawy: </w:t>
      </w:r>
      <w:r w:rsidRPr="003103D5">
        <w:rPr>
          <w:rFonts w:ascii="Arial" w:eastAsia="Arial" w:hAnsi="Arial" w:cs="Arial"/>
          <w:b/>
          <w:bCs/>
          <w:sz w:val="20"/>
          <w:szCs w:val="20"/>
        </w:rPr>
        <w:t>MCN.5.261.12.2022</w:t>
      </w:r>
    </w:p>
    <w:tbl>
      <w:tblPr>
        <w:tblW w:w="13950" w:type="dxa"/>
        <w:tblInd w:w="105" w:type="dxa"/>
        <w:tblLayout w:type="fixed"/>
        <w:tblLook w:val="04A0" w:firstRow="1" w:lastRow="0" w:firstColumn="1" w:lastColumn="0" w:noHBand="0" w:noVBand="1"/>
      </w:tblPr>
      <w:tblGrid>
        <w:gridCol w:w="824"/>
        <w:gridCol w:w="1373"/>
        <w:gridCol w:w="5768"/>
        <w:gridCol w:w="2126"/>
        <w:gridCol w:w="1806"/>
        <w:gridCol w:w="2053"/>
      </w:tblGrid>
      <w:tr w:rsidR="373EAC8A" w14:paraId="289CE8DD" w14:textId="77777777" w:rsidTr="008C5769">
        <w:trPr>
          <w:trHeight w:val="2363"/>
        </w:trPr>
        <w:tc>
          <w:tcPr>
            <w:tcW w:w="824" w:type="dxa"/>
            <w:tcBorders>
              <w:top w:val="single" w:sz="8" w:space="0" w:color="auto"/>
              <w:left w:val="single" w:sz="8" w:space="0" w:color="auto"/>
              <w:bottom w:val="single" w:sz="8" w:space="0" w:color="auto"/>
              <w:right w:val="single" w:sz="8" w:space="0" w:color="auto"/>
            </w:tcBorders>
            <w:vAlign w:val="center"/>
          </w:tcPr>
          <w:p w14:paraId="0C7B3192" w14:textId="6F58AC16" w:rsidR="373EAC8A" w:rsidRDefault="373EAC8A" w:rsidP="373EAC8A">
            <w:pPr>
              <w:jc w:val="center"/>
            </w:pPr>
            <w:r w:rsidRPr="373EAC8A">
              <w:rPr>
                <w:rFonts w:ascii="Arial" w:eastAsia="Arial" w:hAnsi="Arial" w:cs="Arial"/>
                <w:b/>
                <w:bCs/>
                <w:color w:val="000000" w:themeColor="text1"/>
                <w:sz w:val="18"/>
                <w:szCs w:val="18"/>
              </w:rPr>
              <w:t>Lp.</w:t>
            </w:r>
          </w:p>
        </w:tc>
        <w:tc>
          <w:tcPr>
            <w:tcW w:w="1373" w:type="dxa"/>
            <w:tcBorders>
              <w:top w:val="single" w:sz="8" w:space="0" w:color="auto"/>
              <w:left w:val="single" w:sz="8" w:space="0" w:color="auto"/>
              <w:bottom w:val="single" w:sz="8" w:space="0" w:color="auto"/>
              <w:right w:val="single" w:sz="8" w:space="0" w:color="auto"/>
            </w:tcBorders>
            <w:vAlign w:val="center"/>
          </w:tcPr>
          <w:p w14:paraId="770CE296" w14:textId="1412F85D" w:rsidR="373EAC8A" w:rsidRDefault="373EAC8A" w:rsidP="373EAC8A">
            <w:pPr>
              <w:jc w:val="center"/>
            </w:pPr>
            <w:r w:rsidRPr="373EAC8A">
              <w:rPr>
                <w:rFonts w:ascii="Arial" w:eastAsia="Arial" w:hAnsi="Arial" w:cs="Arial"/>
                <w:b/>
                <w:bCs/>
                <w:color w:val="000000" w:themeColor="text1"/>
                <w:sz w:val="18"/>
                <w:szCs w:val="18"/>
              </w:rPr>
              <w:t xml:space="preserve"> </w:t>
            </w:r>
          </w:p>
          <w:p w14:paraId="18CA096B" w14:textId="6A98314D" w:rsidR="373EAC8A" w:rsidRDefault="373EAC8A" w:rsidP="373EAC8A">
            <w:pPr>
              <w:jc w:val="center"/>
            </w:pPr>
            <w:r w:rsidRPr="373EAC8A">
              <w:rPr>
                <w:rFonts w:ascii="Arial" w:eastAsia="Arial" w:hAnsi="Arial" w:cs="Arial"/>
                <w:b/>
                <w:bCs/>
                <w:color w:val="000000" w:themeColor="text1"/>
                <w:sz w:val="18"/>
                <w:szCs w:val="18"/>
              </w:rPr>
              <w:t xml:space="preserve">Warunek określony </w:t>
            </w:r>
          </w:p>
          <w:p w14:paraId="0CA21E95" w14:textId="0BA361FB" w:rsidR="373EAC8A" w:rsidRDefault="373EAC8A" w:rsidP="373EAC8A">
            <w:pPr>
              <w:jc w:val="center"/>
            </w:pPr>
            <w:r w:rsidRPr="373EAC8A">
              <w:rPr>
                <w:rFonts w:ascii="Arial" w:eastAsia="Arial" w:hAnsi="Arial" w:cs="Arial"/>
                <w:b/>
                <w:bCs/>
                <w:color w:val="000000" w:themeColor="text1"/>
                <w:sz w:val="18"/>
                <w:szCs w:val="18"/>
              </w:rPr>
              <w:t xml:space="preserve">w </w:t>
            </w:r>
            <w:r w:rsidR="003103D5">
              <w:rPr>
                <w:rFonts w:ascii="Arial" w:eastAsia="Arial" w:hAnsi="Arial" w:cs="Arial"/>
                <w:b/>
                <w:bCs/>
                <w:color w:val="000000" w:themeColor="text1"/>
                <w:sz w:val="18"/>
                <w:szCs w:val="18"/>
              </w:rPr>
              <w:t>S</w:t>
            </w:r>
            <w:r w:rsidRPr="373EAC8A">
              <w:rPr>
                <w:rFonts w:ascii="Arial" w:eastAsia="Arial" w:hAnsi="Arial" w:cs="Arial"/>
                <w:b/>
                <w:bCs/>
                <w:color w:val="000000" w:themeColor="text1"/>
                <w:sz w:val="18"/>
                <w:szCs w:val="18"/>
              </w:rPr>
              <w:t>WZ:</w:t>
            </w:r>
          </w:p>
        </w:tc>
        <w:tc>
          <w:tcPr>
            <w:tcW w:w="5768" w:type="dxa"/>
            <w:tcBorders>
              <w:top w:val="single" w:sz="8" w:space="0" w:color="auto"/>
              <w:left w:val="single" w:sz="8" w:space="0" w:color="auto"/>
              <w:bottom w:val="single" w:sz="8" w:space="0" w:color="auto"/>
              <w:right w:val="single" w:sz="8" w:space="0" w:color="auto"/>
            </w:tcBorders>
            <w:vAlign w:val="center"/>
          </w:tcPr>
          <w:p w14:paraId="42532700" w14:textId="11D623AC" w:rsidR="373EAC8A" w:rsidRDefault="373EAC8A" w:rsidP="373EAC8A">
            <w:pPr>
              <w:jc w:val="center"/>
            </w:pPr>
            <w:r w:rsidRPr="373EAC8A">
              <w:rPr>
                <w:rFonts w:ascii="Arial" w:eastAsia="Arial" w:hAnsi="Arial" w:cs="Arial"/>
                <w:b/>
                <w:bCs/>
                <w:color w:val="000000" w:themeColor="text1"/>
                <w:sz w:val="18"/>
                <w:szCs w:val="18"/>
              </w:rPr>
              <w:t>Informacje dotyczące warunku udziału w postępowaniu</w:t>
            </w:r>
          </w:p>
          <w:p w14:paraId="3134AC74" w14:textId="21B60D07" w:rsidR="373EAC8A" w:rsidRDefault="373EAC8A" w:rsidP="373EAC8A">
            <w:pPr>
              <w:jc w:val="center"/>
            </w:pPr>
            <w:r w:rsidRPr="373EAC8A">
              <w:rPr>
                <w:rFonts w:ascii="Arial" w:eastAsia="Arial" w:hAnsi="Arial" w:cs="Arial"/>
                <w:b/>
                <w:bCs/>
                <w:color w:val="000000" w:themeColor="text1"/>
                <w:sz w:val="18"/>
                <w:szCs w:val="18"/>
              </w:rPr>
              <w:t xml:space="preserve"> </w:t>
            </w:r>
          </w:p>
        </w:tc>
        <w:tc>
          <w:tcPr>
            <w:tcW w:w="2126" w:type="dxa"/>
            <w:tcBorders>
              <w:top w:val="single" w:sz="8" w:space="0" w:color="auto"/>
              <w:left w:val="single" w:sz="8" w:space="0" w:color="auto"/>
              <w:bottom w:val="single" w:sz="8" w:space="0" w:color="auto"/>
              <w:right w:val="single" w:sz="8" w:space="0" w:color="auto"/>
            </w:tcBorders>
            <w:vAlign w:val="center"/>
          </w:tcPr>
          <w:p w14:paraId="4308ECE7" w14:textId="5006DC2F" w:rsidR="373EAC8A" w:rsidRDefault="373EAC8A" w:rsidP="373EAC8A">
            <w:pPr>
              <w:jc w:val="center"/>
            </w:pPr>
            <w:r w:rsidRPr="5B0EA5FE">
              <w:rPr>
                <w:rFonts w:ascii="Arial" w:eastAsia="Arial" w:hAnsi="Arial" w:cs="Arial"/>
                <w:b/>
                <w:bCs/>
                <w:color w:val="000000" w:themeColor="text1"/>
                <w:sz w:val="18"/>
                <w:szCs w:val="18"/>
              </w:rPr>
              <w:t xml:space="preserve">Określić rodzaj </w:t>
            </w:r>
            <w:r w:rsidR="5B0EA5FE" w:rsidRPr="5B0EA5FE">
              <w:rPr>
                <w:rFonts w:ascii="Arial" w:eastAsia="Arial" w:hAnsi="Arial" w:cs="Arial"/>
                <w:b/>
                <w:bCs/>
                <w:color w:val="000000" w:themeColor="text1"/>
                <w:sz w:val="18"/>
                <w:szCs w:val="18"/>
              </w:rPr>
              <w:t xml:space="preserve">dostaw wraz z montażem </w:t>
            </w:r>
            <w:r w:rsidRPr="5B0EA5FE">
              <w:rPr>
                <w:rFonts w:ascii="Arial" w:eastAsia="Arial" w:hAnsi="Arial" w:cs="Arial"/>
                <w:b/>
                <w:bCs/>
                <w:color w:val="000000" w:themeColor="text1"/>
                <w:sz w:val="18"/>
                <w:szCs w:val="18"/>
              </w:rPr>
              <w:t>/ zastosowane rozwiązanie</w:t>
            </w:r>
          </w:p>
          <w:p w14:paraId="2BD77DCE" w14:textId="5B4E61DC" w:rsidR="373EAC8A" w:rsidRDefault="373EAC8A" w:rsidP="373EAC8A">
            <w:pPr>
              <w:jc w:val="center"/>
            </w:pPr>
            <w:r w:rsidRPr="5B0EA5FE">
              <w:rPr>
                <w:rFonts w:ascii="Arial" w:eastAsia="Arial" w:hAnsi="Arial" w:cs="Arial"/>
                <w:color w:val="000000" w:themeColor="text1"/>
                <w:sz w:val="18"/>
                <w:szCs w:val="18"/>
              </w:rPr>
              <w:t>(należy wskazać informacje niezbędnych do wykazania spełniania warunków udziału w postępowaniu)</w:t>
            </w:r>
          </w:p>
        </w:tc>
        <w:tc>
          <w:tcPr>
            <w:tcW w:w="1806" w:type="dxa"/>
            <w:tcBorders>
              <w:top w:val="single" w:sz="8" w:space="0" w:color="auto"/>
              <w:left w:val="single" w:sz="8" w:space="0" w:color="auto"/>
              <w:bottom w:val="single" w:sz="8" w:space="0" w:color="auto"/>
              <w:right w:val="single" w:sz="8" w:space="0" w:color="auto"/>
            </w:tcBorders>
            <w:vAlign w:val="center"/>
          </w:tcPr>
          <w:p w14:paraId="4DB6A63F" w14:textId="467059DD" w:rsidR="373EAC8A" w:rsidRDefault="373EAC8A" w:rsidP="5B0EA5FE">
            <w:pPr>
              <w:jc w:val="center"/>
              <w:rPr>
                <w:rFonts w:ascii="Arial" w:eastAsia="Arial" w:hAnsi="Arial" w:cs="Arial"/>
                <w:b/>
                <w:bCs/>
                <w:color w:val="000000" w:themeColor="text1"/>
                <w:sz w:val="18"/>
                <w:szCs w:val="18"/>
              </w:rPr>
            </w:pPr>
            <w:r w:rsidRPr="5B0EA5FE">
              <w:rPr>
                <w:rFonts w:ascii="Arial" w:eastAsia="Arial" w:hAnsi="Arial" w:cs="Arial"/>
                <w:b/>
                <w:bCs/>
                <w:color w:val="000000" w:themeColor="text1"/>
                <w:sz w:val="18"/>
                <w:szCs w:val="18"/>
              </w:rPr>
              <w:t xml:space="preserve"> </w:t>
            </w:r>
          </w:p>
          <w:p w14:paraId="62EEA6F9" w14:textId="3BA943D3" w:rsidR="373EAC8A" w:rsidRDefault="373EAC8A" w:rsidP="5B0EA5FE">
            <w:pPr>
              <w:jc w:val="center"/>
              <w:rPr>
                <w:rFonts w:ascii="Arial" w:eastAsia="Arial" w:hAnsi="Arial" w:cs="Arial"/>
                <w:b/>
                <w:bCs/>
                <w:color w:val="000000" w:themeColor="text1"/>
                <w:sz w:val="18"/>
                <w:szCs w:val="18"/>
              </w:rPr>
            </w:pPr>
            <w:r w:rsidRPr="5B0EA5FE">
              <w:rPr>
                <w:rFonts w:ascii="Arial" w:eastAsia="Arial" w:hAnsi="Arial" w:cs="Arial"/>
                <w:b/>
                <w:bCs/>
                <w:color w:val="000000" w:themeColor="text1"/>
                <w:sz w:val="18"/>
                <w:szCs w:val="18"/>
              </w:rPr>
              <w:t>Czas</w:t>
            </w:r>
          </w:p>
          <w:p w14:paraId="48FB621D" w14:textId="61F20477" w:rsidR="373EAC8A" w:rsidRDefault="373EAC8A" w:rsidP="5B0EA5FE">
            <w:pPr>
              <w:jc w:val="center"/>
              <w:rPr>
                <w:rFonts w:ascii="Arial" w:eastAsia="Arial" w:hAnsi="Arial" w:cs="Arial"/>
                <w:b/>
                <w:bCs/>
                <w:color w:val="000000" w:themeColor="text1"/>
                <w:sz w:val="18"/>
                <w:szCs w:val="18"/>
              </w:rPr>
            </w:pPr>
            <w:r w:rsidRPr="5B0EA5FE">
              <w:rPr>
                <w:rFonts w:ascii="Arial" w:eastAsia="Arial" w:hAnsi="Arial" w:cs="Arial"/>
                <w:b/>
                <w:bCs/>
                <w:color w:val="000000" w:themeColor="text1"/>
                <w:sz w:val="18"/>
                <w:szCs w:val="18"/>
              </w:rPr>
              <w:t xml:space="preserve">realizacji </w:t>
            </w:r>
          </w:p>
          <w:p w14:paraId="60F15419" w14:textId="1DF14EC2" w:rsidR="373EAC8A" w:rsidRDefault="373EAC8A" w:rsidP="5B0EA5FE">
            <w:pPr>
              <w:jc w:val="center"/>
              <w:rPr>
                <w:rFonts w:ascii="Arial" w:eastAsia="Arial" w:hAnsi="Arial" w:cs="Arial"/>
                <w:b/>
                <w:bCs/>
                <w:color w:val="000000" w:themeColor="text1"/>
                <w:sz w:val="18"/>
                <w:szCs w:val="18"/>
              </w:rPr>
            </w:pPr>
            <w:r w:rsidRPr="5B0EA5FE">
              <w:rPr>
                <w:rFonts w:ascii="Arial" w:eastAsia="Arial" w:hAnsi="Arial" w:cs="Arial"/>
                <w:b/>
                <w:bCs/>
                <w:color w:val="000000" w:themeColor="text1"/>
                <w:sz w:val="18"/>
                <w:szCs w:val="18"/>
              </w:rPr>
              <w:t>– początek i koniec</w:t>
            </w:r>
          </w:p>
          <w:p w14:paraId="1C323D44" w14:textId="38E72C69" w:rsidR="373EAC8A" w:rsidRDefault="373EAC8A" w:rsidP="5B0EA5FE">
            <w:pPr>
              <w:jc w:val="center"/>
              <w:rPr>
                <w:rFonts w:ascii="Arial" w:eastAsia="Arial" w:hAnsi="Arial" w:cs="Arial"/>
                <w:color w:val="000000" w:themeColor="text1"/>
                <w:sz w:val="18"/>
                <w:szCs w:val="18"/>
              </w:rPr>
            </w:pPr>
            <w:r w:rsidRPr="5B0EA5FE">
              <w:rPr>
                <w:rFonts w:ascii="Arial" w:eastAsia="Arial" w:hAnsi="Arial" w:cs="Arial"/>
                <w:color w:val="000000" w:themeColor="text1"/>
                <w:sz w:val="18"/>
                <w:szCs w:val="18"/>
              </w:rPr>
              <w:t>(dzień/miesiąc/rok)</w:t>
            </w:r>
          </w:p>
          <w:p w14:paraId="0760F498" w14:textId="2925A39E" w:rsidR="373EAC8A" w:rsidRDefault="373EAC8A" w:rsidP="5B0EA5FE">
            <w:pPr>
              <w:jc w:val="center"/>
              <w:rPr>
                <w:rFonts w:ascii="Arial" w:eastAsia="Arial" w:hAnsi="Arial" w:cs="Arial"/>
                <w:b/>
                <w:bCs/>
                <w:color w:val="000000" w:themeColor="text1"/>
                <w:sz w:val="18"/>
                <w:szCs w:val="18"/>
              </w:rPr>
            </w:pPr>
            <w:r w:rsidRPr="5B0EA5FE">
              <w:rPr>
                <w:rFonts w:ascii="Arial" w:eastAsia="Arial" w:hAnsi="Arial" w:cs="Arial"/>
                <w:b/>
                <w:bCs/>
                <w:color w:val="000000" w:themeColor="text1"/>
                <w:sz w:val="18"/>
                <w:szCs w:val="18"/>
              </w:rPr>
              <w:t xml:space="preserve"> </w:t>
            </w:r>
          </w:p>
          <w:p w14:paraId="17861EE1" w14:textId="0A56FEED" w:rsidR="373EAC8A" w:rsidRDefault="373EAC8A" w:rsidP="5B0EA5FE">
            <w:pPr>
              <w:jc w:val="center"/>
              <w:rPr>
                <w:rFonts w:ascii="Arial" w:eastAsia="Arial" w:hAnsi="Arial" w:cs="Arial"/>
                <w:b/>
                <w:bCs/>
                <w:color w:val="000000" w:themeColor="text1"/>
                <w:sz w:val="18"/>
                <w:szCs w:val="18"/>
              </w:rPr>
            </w:pPr>
            <w:r w:rsidRPr="5B0EA5FE">
              <w:rPr>
                <w:rFonts w:ascii="Arial" w:eastAsia="Arial" w:hAnsi="Arial" w:cs="Arial"/>
                <w:b/>
                <w:bCs/>
                <w:color w:val="000000" w:themeColor="text1"/>
                <w:sz w:val="18"/>
                <w:szCs w:val="18"/>
              </w:rPr>
              <w:t xml:space="preserve"> </w:t>
            </w:r>
          </w:p>
        </w:tc>
        <w:tc>
          <w:tcPr>
            <w:tcW w:w="2053" w:type="dxa"/>
            <w:tcBorders>
              <w:top w:val="single" w:sz="8" w:space="0" w:color="auto"/>
              <w:left w:val="single" w:sz="8" w:space="0" w:color="auto"/>
              <w:bottom w:val="single" w:sz="8" w:space="0" w:color="auto"/>
              <w:right w:val="single" w:sz="8" w:space="0" w:color="auto"/>
            </w:tcBorders>
            <w:vAlign w:val="center"/>
          </w:tcPr>
          <w:p w14:paraId="6D8F0B37" w14:textId="6069200D" w:rsidR="373EAC8A" w:rsidRDefault="373EAC8A" w:rsidP="373EAC8A">
            <w:pPr>
              <w:jc w:val="center"/>
            </w:pPr>
            <w:r w:rsidRPr="373EAC8A">
              <w:rPr>
                <w:rFonts w:ascii="Arial" w:eastAsia="Arial" w:hAnsi="Arial" w:cs="Arial"/>
                <w:b/>
                <w:bCs/>
                <w:color w:val="000000" w:themeColor="text1"/>
                <w:sz w:val="18"/>
                <w:szCs w:val="18"/>
              </w:rPr>
              <w:t xml:space="preserve">Podmiot, </w:t>
            </w:r>
          </w:p>
          <w:p w14:paraId="5EFEC96E" w14:textId="40279118" w:rsidR="373EAC8A" w:rsidRDefault="373EAC8A" w:rsidP="373EAC8A">
            <w:pPr>
              <w:jc w:val="center"/>
            </w:pPr>
            <w:r w:rsidRPr="373EAC8A">
              <w:rPr>
                <w:rFonts w:ascii="Arial" w:eastAsia="Arial" w:hAnsi="Arial" w:cs="Arial"/>
                <w:b/>
                <w:bCs/>
                <w:color w:val="000000" w:themeColor="text1"/>
                <w:sz w:val="18"/>
                <w:szCs w:val="18"/>
              </w:rPr>
              <w:t>na rzecz którego dostawa/y zostały wykonane</w:t>
            </w:r>
          </w:p>
          <w:p w14:paraId="561015E4" w14:textId="3C7ACBB4" w:rsidR="373EAC8A" w:rsidRDefault="373EAC8A" w:rsidP="373EAC8A">
            <w:pPr>
              <w:jc w:val="center"/>
            </w:pPr>
            <w:r w:rsidRPr="373EAC8A">
              <w:rPr>
                <w:rFonts w:ascii="Arial" w:eastAsia="Arial" w:hAnsi="Arial" w:cs="Arial"/>
                <w:color w:val="000000" w:themeColor="text1"/>
                <w:sz w:val="18"/>
                <w:szCs w:val="18"/>
              </w:rPr>
              <w:t>(nazwa i adres)</w:t>
            </w:r>
          </w:p>
        </w:tc>
      </w:tr>
      <w:tr w:rsidR="373EAC8A" w14:paraId="790CD6D3" w14:textId="77777777" w:rsidTr="008C5769">
        <w:trPr>
          <w:trHeight w:val="870"/>
        </w:trPr>
        <w:tc>
          <w:tcPr>
            <w:tcW w:w="824" w:type="dxa"/>
            <w:tcBorders>
              <w:top w:val="single" w:sz="8" w:space="0" w:color="auto"/>
              <w:left w:val="single" w:sz="8" w:space="0" w:color="auto"/>
              <w:bottom w:val="single" w:sz="8" w:space="0" w:color="auto"/>
              <w:right w:val="single" w:sz="8" w:space="0" w:color="auto"/>
            </w:tcBorders>
            <w:vAlign w:val="center"/>
          </w:tcPr>
          <w:p w14:paraId="392D25E9" w14:textId="65198C01" w:rsidR="373EAC8A" w:rsidRDefault="373EAC8A" w:rsidP="373EAC8A">
            <w:pPr>
              <w:jc w:val="center"/>
            </w:pPr>
            <w:r w:rsidRPr="373EAC8A">
              <w:rPr>
                <w:rFonts w:ascii="Arial" w:eastAsia="Arial" w:hAnsi="Arial" w:cs="Arial"/>
                <w:color w:val="000000" w:themeColor="text1"/>
                <w:sz w:val="18"/>
                <w:szCs w:val="18"/>
              </w:rPr>
              <w:t>1.</w:t>
            </w:r>
          </w:p>
        </w:tc>
        <w:tc>
          <w:tcPr>
            <w:tcW w:w="1373" w:type="dxa"/>
            <w:tcBorders>
              <w:top w:val="single" w:sz="8" w:space="0" w:color="auto"/>
              <w:left w:val="single" w:sz="8" w:space="0" w:color="auto"/>
              <w:bottom w:val="single" w:sz="8" w:space="0" w:color="auto"/>
              <w:right w:val="single" w:sz="8" w:space="0" w:color="auto"/>
            </w:tcBorders>
            <w:vAlign w:val="center"/>
          </w:tcPr>
          <w:p w14:paraId="01F6EC72" w14:textId="0BC89A38" w:rsidR="373EAC8A" w:rsidRDefault="373EAC8A" w:rsidP="373EAC8A">
            <w:pPr>
              <w:jc w:val="center"/>
            </w:pPr>
            <w:r w:rsidRPr="373EAC8A">
              <w:rPr>
                <w:rFonts w:ascii="Arial" w:eastAsia="Arial" w:hAnsi="Arial" w:cs="Arial"/>
                <w:color w:val="000000" w:themeColor="text1"/>
                <w:sz w:val="18"/>
                <w:szCs w:val="18"/>
              </w:rPr>
              <w:t xml:space="preserve"> </w:t>
            </w:r>
          </w:p>
          <w:p w14:paraId="230CD4B6" w14:textId="302518B7" w:rsidR="373EAC8A" w:rsidRDefault="373EAC8A" w:rsidP="373EAC8A">
            <w:pPr>
              <w:jc w:val="center"/>
            </w:pPr>
            <w:r w:rsidRPr="373EAC8A">
              <w:rPr>
                <w:rFonts w:ascii="Arial" w:eastAsia="Arial" w:hAnsi="Arial" w:cs="Arial"/>
                <w:color w:val="000000" w:themeColor="text1"/>
                <w:sz w:val="18"/>
                <w:szCs w:val="18"/>
              </w:rPr>
              <w:t xml:space="preserve"> </w:t>
            </w:r>
          </w:p>
          <w:p w14:paraId="176C01C8" w14:textId="59B20795" w:rsidR="373EAC8A" w:rsidRDefault="373EAC8A" w:rsidP="373EAC8A">
            <w:pPr>
              <w:jc w:val="center"/>
            </w:pPr>
            <w:r w:rsidRPr="373EAC8A">
              <w:rPr>
                <w:rFonts w:ascii="Arial" w:eastAsia="Arial" w:hAnsi="Arial" w:cs="Arial"/>
                <w:b/>
                <w:bCs/>
                <w:color w:val="000000" w:themeColor="text1"/>
                <w:sz w:val="18"/>
                <w:szCs w:val="18"/>
              </w:rPr>
              <w:t>Rozdz. V pkt</w:t>
            </w:r>
          </w:p>
          <w:p w14:paraId="3353667E" w14:textId="752C2A02" w:rsidR="373EAC8A" w:rsidRDefault="373EAC8A" w:rsidP="373EAC8A">
            <w:pPr>
              <w:jc w:val="center"/>
            </w:pPr>
            <w:r w:rsidRPr="373EAC8A">
              <w:rPr>
                <w:rFonts w:ascii="Arial" w:eastAsia="Arial" w:hAnsi="Arial" w:cs="Arial"/>
                <w:b/>
                <w:bCs/>
                <w:color w:val="000000" w:themeColor="text1"/>
                <w:sz w:val="18"/>
                <w:szCs w:val="18"/>
              </w:rPr>
              <w:t>1.4</w:t>
            </w:r>
          </w:p>
          <w:p w14:paraId="6952DF8F" w14:textId="242A3C38" w:rsidR="373EAC8A" w:rsidRDefault="373EAC8A" w:rsidP="373EAC8A">
            <w:pPr>
              <w:jc w:val="center"/>
            </w:pPr>
            <w:r w:rsidRPr="373EAC8A">
              <w:rPr>
                <w:rFonts w:ascii="Arial" w:eastAsia="Arial" w:hAnsi="Arial" w:cs="Arial"/>
                <w:color w:val="000000" w:themeColor="text1"/>
                <w:sz w:val="18"/>
                <w:szCs w:val="18"/>
              </w:rPr>
              <w:lastRenderedPageBreak/>
              <w:t xml:space="preserve"> </w:t>
            </w:r>
          </w:p>
        </w:tc>
        <w:tc>
          <w:tcPr>
            <w:tcW w:w="5768" w:type="dxa"/>
            <w:tcBorders>
              <w:top w:val="single" w:sz="8" w:space="0" w:color="auto"/>
              <w:left w:val="single" w:sz="8" w:space="0" w:color="auto"/>
              <w:bottom w:val="single" w:sz="8" w:space="0" w:color="auto"/>
              <w:right w:val="single" w:sz="8" w:space="0" w:color="auto"/>
            </w:tcBorders>
          </w:tcPr>
          <w:p w14:paraId="30624E77" w14:textId="5792F334" w:rsidR="5B0EA5FE" w:rsidRPr="008C5769" w:rsidRDefault="373EAC8A" w:rsidP="5B0EA5FE">
            <w:r w:rsidRPr="5B0EA5FE">
              <w:rPr>
                <w:rFonts w:ascii="Arial" w:eastAsia="Arial" w:hAnsi="Arial" w:cs="Arial"/>
                <w:sz w:val="18"/>
                <w:szCs w:val="18"/>
              </w:rPr>
              <w:lastRenderedPageBreak/>
              <w:t>Czy Wykonawca w ciągu ostatnich 5 (pięciu) lat przed upływem terminu składania ofert, a jeżeli okres prowadzenia działalności jest krótszy - w tym okresie, zrealizował należycie</w:t>
            </w:r>
            <w:r w:rsidRPr="5B0EA5FE">
              <w:rPr>
                <w:rFonts w:ascii="Arial" w:eastAsia="Arial" w:hAnsi="Arial" w:cs="Arial"/>
                <w:color w:val="000000" w:themeColor="text1"/>
                <w:sz w:val="18"/>
                <w:szCs w:val="18"/>
              </w:rPr>
              <w:t>:</w:t>
            </w:r>
          </w:p>
          <w:p w14:paraId="749A391B" w14:textId="7F14F232" w:rsidR="5B0EA5FE" w:rsidRPr="003D5D53" w:rsidRDefault="5B0EA5FE" w:rsidP="5B0EA5FE">
            <w:pPr>
              <w:spacing w:after="5" w:line="240" w:lineRule="auto"/>
              <w:ind w:left="10" w:right="3" w:hanging="10"/>
              <w:jc w:val="both"/>
              <w:rPr>
                <w:rFonts w:ascii="Arial" w:eastAsia="Arial" w:hAnsi="Arial" w:cs="Arial"/>
                <w:b/>
                <w:bCs/>
                <w:sz w:val="18"/>
                <w:szCs w:val="18"/>
              </w:rPr>
            </w:pPr>
            <w:r w:rsidRPr="003D5D53">
              <w:rPr>
                <w:rFonts w:ascii="Arial" w:eastAsia="Arial" w:hAnsi="Arial" w:cs="Arial"/>
                <w:b/>
                <w:bCs/>
                <w:sz w:val="18"/>
                <w:szCs w:val="18"/>
              </w:rPr>
              <w:t xml:space="preserve">co najmniej dwie dostawy mebli laboratoryjnych wraz z zabudową meblową laboratoryjną (m.in. stoły laboratoryjne). W tym minimum jedna dostawa uwzględniająca minimum jedną szafę ognioodporną i przeciwwybuchową oraz minimum jedna dostawa uwzględniająca minimum jedno dygestorium. Wszystkie dostawy </w:t>
            </w:r>
            <w:r w:rsidRPr="003D5D53">
              <w:rPr>
                <w:rFonts w:ascii="Arial" w:eastAsia="Arial" w:hAnsi="Arial" w:cs="Arial"/>
                <w:b/>
                <w:bCs/>
                <w:sz w:val="18"/>
                <w:szCs w:val="18"/>
              </w:rPr>
              <w:lastRenderedPageBreak/>
              <w:t>muszą uwzględniać montaż (wraz z rozmieszczeniem i instalacją). Każda dostawa o wartości brutto nie mniejszej niż 150 000 zł każda.</w:t>
            </w:r>
          </w:p>
          <w:p w14:paraId="343C1913" w14:textId="07A3F246" w:rsidR="5B0EA5FE" w:rsidRPr="003D5D53" w:rsidRDefault="5B0EA5FE" w:rsidP="008C5769">
            <w:pPr>
              <w:pStyle w:val="paragraph"/>
              <w:spacing w:line="240" w:lineRule="auto"/>
              <w:ind w:firstLine="0"/>
              <w:jc w:val="both"/>
              <w:rPr>
                <w:rFonts w:ascii="Arial" w:eastAsia="Calibri" w:hAnsi="Arial" w:cs="Arial"/>
                <w:sz w:val="20"/>
                <w:szCs w:val="20"/>
              </w:rPr>
            </w:pPr>
            <w:r w:rsidRPr="003D5D53">
              <w:rPr>
                <w:rFonts w:ascii="Arial" w:eastAsia="Calibri" w:hAnsi="Arial" w:cs="Arial"/>
                <w:sz w:val="20"/>
                <w:szCs w:val="20"/>
              </w:rPr>
              <w:t>Na potrzeby oceny spełnienia powyższego warunku udziału w postępowaniu Zamawiający wprowadz</w:t>
            </w:r>
            <w:r w:rsidR="003D5D53" w:rsidRPr="003D5D53">
              <w:rPr>
                <w:rFonts w:ascii="Arial" w:eastAsia="Calibri" w:hAnsi="Arial" w:cs="Arial"/>
                <w:sz w:val="20"/>
                <w:szCs w:val="20"/>
              </w:rPr>
              <w:t>ił</w:t>
            </w:r>
            <w:r w:rsidRPr="003D5D53">
              <w:rPr>
                <w:rFonts w:ascii="Arial" w:eastAsia="Calibri" w:hAnsi="Arial" w:cs="Arial"/>
                <w:sz w:val="20"/>
                <w:szCs w:val="20"/>
              </w:rPr>
              <w:t xml:space="preserve"> poniższe definicje dygestoriów, ognioodpornych i przeciwwybuchowych szaf chemicznych oraz stołów laboratoryjnych. </w:t>
            </w:r>
            <w:r w:rsidRPr="003D5D53">
              <w:rPr>
                <w:rFonts w:ascii="Arial" w:hAnsi="Arial" w:cs="Arial"/>
              </w:rPr>
              <w:br/>
            </w:r>
            <w:r w:rsidRPr="003D5D53">
              <w:rPr>
                <w:rFonts w:ascii="Arial" w:eastAsia="Calibri" w:hAnsi="Arial" w:cs="Arial"/>
                <w:b/>
                <w:bCs/>
                <w:sz w:val="20"/>
                <w:szCs w:val="20"/>
              </w:rPr>
              <w:t>Dygestorium</w:t>
            </w:r>
            <w:r w:rsidRPr="003D5D53">
              <w:rPr>
                <w:rFonts w:ascii="Arial" w:eastAsia="Calibri" w:hAnsi="Arial" w:cs="Arial"/>
                <w:sz w:val="20"/>
                <w:szCs w:val="20"/>
              </w:rPr>
              <w:t xml:space="preserve">, to przeszklona komora o kształcie dużej szafy prostokątnej lub okrągłej, zaopatrzona w układ umożliwiający efektywne usuwanie z niej powietrza poza teren laboratorium. Jego podstawowym zadaniem jest zapobieganie wydostawania się do atmosfery laboratorium szkodliwych substancji, a także ochrona pracowników oraz laboratorium przed ewentualnymi eksplozjami i pożarami. Dygestoria muszą być wykonane w sposób zapewniający ich odporność na stosowane w nich chemikalia oraz wydzielające się niebezpieczne opary. We wszystkich dygestoriach występuje ruchoma szyba tak by można było do dygestorium włożyć ręce, chroniąc jednocześnie twarz za szybą. Wewnątrz dygestorium jest zwykle oświetlenie, instalacja wodna, gazowa oraz chemoodporny blat roboczy. Instalacje elektryczne (gniazda), doprowadzenia gazów i innych mediów są opcjonalnym wyposażeniem dygestorium i mogą być montowane (w zależności od modelu) wewnątrz komory roboczej dygestorium lub na zewnątrz (na przedniej ścianie dygestorium). Pod blatem roboczym bardzo często znajduje się także szafka, w której przetrzymuje się substancje najczęściej używane w dygestorium. Szafka ta może być wentylowana niezależnie lub zależnie od komory dygestorium i chemoodporna. Według Norm europejskich dygestoria muszą być wyposażone w czujnik kontroli przepływu powietrza oraz blokadę podnoszenia okna z możliwością kontrolowanego zwolnienia blokady, musi spełniać odpowiednie normy, dla Polski odpowiednik to norma PN EN 14175. </w:t>
            </w:r>
          </w:p>
          <w:p w14:paraId="48F7A946" w14:textId="045C79BD" w:rsidR="5B0EA5FE" w:rsidRPr="003D5D53" w:rsidRDefault="5B0EA5FE" w:rsidP="003D5D53">
            <w:pPr>
              <w:pStyle w:val="paragraph"/>
              <w:spacing w:line="240" w:lineRule="auto"/>
              <w:jc w:val="both"/>
              <w:rPr>
                <w:rFonts w:ascii="Arial" w:eastAsia="Calibri" w:hAnsi="Arial" w:cs="Arial"/>
                <w:sz w:val="20"/>
                <w:szCs w:val="20"/>
              </w:rPr>
            </w:pPr>
            <w:r w:rsidRPr="003D5D53">
              <w:rPr>
                <w:rFonts w:ascii="Arial" w:eastAsia="Calibri" w:hAnsi="Arial" w:cs="Arial"/>
                <w:b/>
                <w:bCs/>
                <w:sz w:val="20"/>
                <w:szCs w:val="20"/>
              </w:rPr>
              <w:t>Szafa na butle gazowe, ognioodporna i przeciwwybuchowa</w:t>
            </w:r>
            <w:r w:rsidRPr="003D5D53">
              <w:rPr>
                <w:rFonts w:ascii="Arial" w:eastAsia="Calibri" w:hAnsi="Arial" w:cs="Arial"/>
                <w:sz w:val="20"/>
                <w:szCs w:val="20"/>
              </w:rPr>
              <w:t xml:space="preserve"> to szafa przeznaczona do bezpiecznego, zgodnego z normami użytkowania butli z gazami sprężonymi do wysokich ciśnień </w:t>
            </w:r>
            <w:r w:rsidRPr="003D5D53">
              <w:rPr>
                <w:rFonts w:ascii="Arial" w:eastAsia="Calibri" w:hAnsi="Arial" w:cs="Arial"/>
                <w:sz w:val="20"/>
                <w:szCs w:val="20"/>
              </w:rPr>
              <w:lastRenderedPageBreak/>
              <w:t xml:space="preserve">(zwyczajowo ok. 200 atmosfer). Szafa pozwala na bezpieczną pracę z gazami palnymi, toksycznymi, wybuchowymi. Wyposażone jest w układ pozwalający na jej wentylację oraz posiada zabezpieczenia pozwalające na bezpieczne przechowywanie butli z gazami sprężonymi w przypadku pożaru pomieszczenia, w którym znajdują się butle. Odporność ogniowa szaf na butle gazowe musi spełniać odpowiednie normy. Konstrukcja szafy musi być samonośna, wszystkie ściany i drzwi muszą posiadać podwójne ścianki wypełnione wkładem ognioodpornym, odpowiednim dla klasy odporności ogniowej. Szafa zawiera uchwyty do butli z gazami oraz przystosowana jest do wyprowadzania gazów na zewnątrz szafy. Szafa wykonana jest z materiałów niepalnych i jest odporna na atmosferę panującą w laboratoriach chemicznych. </w:t>
            </w:r>
          </w:p>
          <w:p w14:paraId="5479F49C" w14:textId="16296478" w:rsidR="5B0EA5FE" w:rsidRPr="003D5D53" w:rsidRDefault="5B0EA5FE" w:rsidP="003D5D53">
            <w:pPr>
              <w:pStyle w:val="paragraph"/>
              <w:spacing w:line="240" w:lineRule="auto"/>
              <w:jc w:val="both"/>
              <w:rPr>
                <w:rFonts w:ascii="Arial" w:eastAsia="Calibri" w:hAnsi="Arial" w:cs="Arial"/>
                <w:sz w:val="20"/>
                <w:szCs w:val="20"/>
              </w:rPr>
            </w:pPr>
            <w:r w:rsidRPr="003D5D53">
              <w:rPr>
                <w:rFonts w:ascii="Arial" w:eastAsia="Calibri" w:hAnsi="Arial" w:cs="Arial"/>
                <w:b/>
                <w:bCs/>
                <w:sz w:val="20"/>
                <w:szCs w:val="20"/>
              </w:rPr>
              <w:t xml:space="preserve">Szafa ognioodporna i przeciwwybuchowa </w:t>
            </w:r>
            <w:r w:rsidRPr="003D5D53">
              <w:rPr>
                <w:rFonts w:ascii="Arial" w:eastAsia="Calibri" w:hAnsi="Arial" w:cs="Arial"/>
                <w:sz w:val="20"/>
                <w:szCs w:val="20"/>
              </w:rPr>
              <w:t>to szafa,</w:t>
            </w:r>
            <w:r w:rsidRPr="003D5D53">
              <w:rPr>
                <w:rFonts w:ascii="Arial" w:eastAsia="Calibri" w:hAnsi="Arial" w:cs="Arial"/>
                <w:b/>
                <w:bCs/>
                <w:sz w:val="20"/>
                <w:szCs w:val="20"/>
              </w:rPr>
              <w:t xml:space="preserve"> </w:t>
            </w:r>
            <w:r w:rsidRPr="003D5D53">
              <w:rPr>
                <w:rFonts w:ascii="Arial" w:eastAsia="Calibri" w:hAnsi="Arial" w:cs="Arial"/>
                <w:sz w:val="20"/>
                <w:szCs w:val="20"/>
              </w:rPr>
              <w:t>do przechowywania substancji niebezpiecznych i łatwopalnych: cieczy palnych, kwasów i ługów, substancji trujących i substancji zagrażających skażeniem wody. Wyposażona jest w układ pozwalający na wentylację oraz posiada zabezpieczenia pozwalające na bezpieczne przechowywanie substancji niebezpiecznych i łatwopalnych w przypadku pożaru pomieszczenia, w którym znajduje się szafa. Odporność ogniowa szaf musi spełniać odpowiednie normy.</w:t>
            </w:r>
          </w:p>
          <w:p w14:paraId="45D68DC3" w14:textId="008183B7" w:rsidR="5B0EA5FE" w:rsidRPr="003D5D53" w:rsidRDefault="5B0EA5FE" w:rsidP="003D5D53">
            <w:pPr>
              <w:spacing w:after="5" w:line="240" w:lineRule="auto"/>
              <w:ind w:left="10" w:right="3" w:hanging="10"/>
              <w:jc w:val="both"/>
              <w:rPr>
                <w:rFonts w:ascii="Arial" w:eastAsia="Calibri" w:hAnsi="Arial" w:cs="Arial"/>
                <w:sz w:val="20"/>
                <w:szCs w:val="20"/>
              </w:rPr>
            </w:pPr>
            <w:r w:rsidRPr="003D5D53">
              <w:rPr>
                <w:rFonts w:ascii="Arial" w:eastAsia="Calibri" w:hAnsi="Arial" w:cs="Arial"/>
                <w:b/>
                <w:bCs/>
                <w:sz w:val="20"/>
                <w:szCs w:val="20"/>
              </w:rPr>
              <w:t>Stoły laboratoryjne</w:t>
            </w:r>
            <w:r w:rsidRPr="003D5D53">
              <w:rPr>
                <w:rFonts w:ascii="Arial" w:eastAsia="Calibri" w:hAnsi="Arial" w:cs="Arial"/>
                <w:sz w:val="20"/>
                <w:szCs w:val="20"/>
              </w:rPr>
              <w:t xml:space="preserve">, to specjalne stoły przystosowane do prowadzenia badań w laboratoriach chemicznych. Stoły laboratoryjne muszą posiadać blaty z materiałów chemoodpornych oraz być wykonane w technologii zapewniające ich odporność na typowe odczynniki chemiczne (kwasy, zasady, rozpuszczalniki organiczne, barwniki itp.). Stoły posiadają możliwość podłączenia mediów (wody, odprowadzeń wody, gniazd elektrycznych, zaworów na gazy sprężone itp.). Stoły mogą być wyposażone w szafki podblatowe, szuflady, zlewy, przystawki lub nadstawki i inne wyposażenie. Stoły muszą zapewniać bezpieczeństwo pracy w laboratorium, nie mogą posiadać ostrych krawędzi. Szafki podblatowe muszą być przystosowane do przechowywania w </w:t>
            </w:r>
            <w:r w:rsidRPr="003D5D53">
              <w:rPr>
                <w:rFonts w:ascii="Arial" w:eastAsia="Calibri" w:hAnsi="Arial" w:cs="Arial"/>
                <w:sz w:val="20"/>
                <w:szCs w:val="20"/>
              </w:rPr>
              <w:lastRenderedPageBreak/>
              <w:t>nich szkła laboratoryjnego, odczynników chemicznych lub urządzeń laboratoryjnych.</w:t>
            </w:r>
          </w:p>
          <w:p w14:paraId="52F6A3EA" w14:textId="77D3821B" w:rsidR="373EAC8A" w:rsidRDefault="373EAC8A" w:rsidP="5B0EA5FE">
            <w:pPr>
              <w:jc w:val="both"/>
            </w:pPr>
          </w:p>
          <w:p w14:paraId="2A3815DF" w14:textId="0DE240F4" w:rsidR="373EAC8A" w:rsidRDefault="373EAC8A">
            <w:r w:rsidRPr="373EAC8A">
              <w:rPr>
                <w:rFonts w:ascii="Arial" w:eastAsia="Arial" w:hAnsi="Arial" w:cs="Arial"/>
                <w:b/>
                <w:bCs/>
                <w:color w:val="000000" w:themeColor="text1"/>
                <w:sz w:val="18"/>
                <w:szCs w:val="18"/>
              </w:rPr>
              <w:t>Tak/Nie</w:t>
            </w:r>
            <w:r w:rsidRPr="373EAC8A">
              <w:rPr>
                <w:rFonts w:ascii="Arial" w:eastAsia="Arial" w:hAnsi="Arial" w:cs="Arial"/>
                <w:color w:val="000000" w:themeColor="text1"/>
                <w:sz w:val="18"/>
                <w:szCs w:val="18"/>
              </w:rPr>
              <w:t>*</w:t>
            </w:r>
            <w:r w:rsidRPr="373EAC8A">
              <w:rPr>
                <w:rFonts w:ascii="Arial" w:eastAsia="Arial" w:hAnsi="Arial" w:cs="Arial"/>
                <w:color w:val="000000" w:themeColor="text1"/>
                <w:sz w:val="18"/>
                <w:szCs w:val="18"/>
                <w:vertAlign w:val="superscript"/>
              </w:rPr>
              <w:t>)</w:t>
            </w:r>
          </w:p>
        </w:tc>
        <w:tc>
          <w:tcPr>
            <w:tcW w:w="2126" w:type="dxa"/>
            <w:tcBorders>
              <w:top w:val="single" w:sz="8" w:space="0" w:color="auto"/>
              <w:left w:val="single" w:sz="8" w:space="0" w:color="auto"/>
              <w:bottom w:val="single" w:sz="8" w:space="0" w:color="auto"/>
              <w:right w:val="single" w:sz="8" w:space="0" w:color="auto"/>
            </w:tcBorders>
          </w:tcPr>
          <w:p w14:paraId="168E23D0" w14:textId="58F9DC14" w:rsidR="373EAC8A" w:rsidRDefault="373EAC8A" w:rsidP="373EAC8A">
            <w:pPr>
              <w:jc w:val="center"/>
            </w:pPr>
            <w:r w:rsidRPr="373EAC8A">
              <w:rPr>
                <w:rFonts w:ascii="Arial" w:eastAsia="Arial" w:hAnsi="Arial" w:cs="Arial"/>
                <w:color w:val="000000" w:themeColor="text1"/>
                <w:sz w:val="18"/>
                <w:szCs w:val="18"/>
              </w:rPr>
              <w:lastRenderedPageBreak/>
              <w:t xml:space="preserve"> </w:t>
            </w:r>
          </w:p>
        </w:tc>
        <w:tc>
          <w:tcPr>
            <w:tcW w:w="1806" w:type="dxa"/>
            <w:tcBorders>
              <w:top w:val="single" w:sz="8" w:space="0" w:color="auto"/>
              <w:left w:val="single" w:sz="8" w:space="0" w:color="auto"/>
              <w:bottom w:val="single" w:sz="8" w:space="0" w:color="auto"/>
              <w:right w:val="single" w:sz="8" w:space="0" w:color="auto"/>
            </w:tcBorders>
          </w:tcPr>
          <w:p w14:paraId="71C5BFDF" w14:textId="4F2F43B4" w:rsidR="373EAC8A" w:rsidRDefault="373EAC8A" w:rsidP="373EAC8A">
            <w:pPr>
              <w:jc w:val="center"/>
            </w:pPr>
            <w:r w:rsidRPr="373EAC8A">
              <w:rPr>
                <w:rFonts w:ascii="Arial" w:eastAsia="Arial" w:hAnsi="Arial" w:cs="Arial"/>
                <w:color w:val="000000" w:themeColor="text1"/>
                <w:sz w:val="18"/>
                <w:szCs w:val="18"/>
              </w:rPr>
              <w:t xml:space="preserve"> </w:t>
            </w:r>
          </w:p>
          <w:p w14:paraId="680A87E2" w14:textId="09AA97EA" w:rsidR="373EAC8A" w:rsidRDefault="373EAC8A" w:rsidP="373EAC8A">
            <w:pPr>
              <w:jc w:val="center"/>
            </w:pPr>
            <w:r w:rsidRPr="373EAC8A">
              <w:rPr>
                <w:rFonts w:ascii="Arial" w:eastAsia="Arial" w:hAnsi="Arial" w:cs="Arial"/>
                <w:color w:val="000000" w:themeColor="text1"/>
                <w:sz w:val="18"/>
                <w:szCs w:val="18"/>
              </w:rPr>
              <w:t xml:space="preserve"> </w:t>
            </w:r>
          </w:p>
          <w:p w14:paraId="35134601" w14:textId="657373D1" w:rsidR="373EAC8A" w:rsidRDefault="373EAC8A" w:rsidP="373EAC8A">
            <w:pPr>
              <w:jc w:val="center"/>
            </w:pPr>
            <w:r w:rsidRPr="373EAC8A">
              <w:rPr>
                <w:rFonts w:ascii="Arial" w:eastAsia="Arial" w:hAnsi="Arial" w:cs="Arial"/>
                <w:color w:val="000000" w:themeColor="text1"/>
                <w:sz w:val="18"/>
                <w:szCs w:val="18"/>
              </w:rPr>
              <w:t xml:space="preserve"> </w:t>
            </w:r>
          </w:p>
          <w:p w14:paraId="0F66BD8A" w14:textId="604F92F6" w:rsidR="373EAC8A" w:rsidRDefault="373EAC8A" w:rsidP="373EAC8A">
            <w:pPr>
              <w:jc w:val="center"/>
            </w:pPr>
            <w:r w:rsidRPr="373EAC8A">
              <w:rPr>
                <w:rFonts w:ascii="Arial" w:eastAsia="Arial" w:hAnsi="Arial" w:cs="Arial"/>
                <w:color w:val="000000" w:themeColor="text1"/>
                <w:sz w:val="18"/>
                <w:szCs w:val="18"/>
              </w:rPr>
              <w:t xml:space="preserve"> </w:t>
            </w:r>
          </w:p>
        </w:tc>
        <w:tc>
          <w:tcPr>
            <w:tcW w:w="2053" w:type="dxa"/>
            <w:tcBorders>
              <w:top w:val="single" w:sz="8" w:space="0" w:color="auto"/>
              <w:left w:val="single" w:sz="8" w:space="0" w:color="auto"/>
              <w:bottom w:val="single" w:sz="8" w:space="0" w:color="auto"/>
              <w:right w:val="single" w:sz="8" w:space="0" w:color="auto"/>
            </w:tcBorders>
          </w:tcPr>
          <w:p w14:paraId="5C17DF9F" w14:textId="57705391" w:rsidR="373EAC8A" w:rsidRDefault="373EAC8A" w:rsidP="373EAC8A">
            <w:pPr>
              <w:jc w:val="both"/>
            </w:pPr>
            <w:r w:rsidRPr="373EAC8A">
              <w:rPr>
                <w:rFonts w:ascii="Arial" w:eastAsia="Arial" w:hAnsi="Arial" w:cs="Arial"/>
                <w:color w:val="000000" w:themeColor="text1"/>
                <w:sz w:val="18"/>
                <w:szCs w:val="18"/>
              </w:rPr>
              <w:t xml:space="preserve"> </w:t>
            </w:r>
          </w:p>
        </w:tc>
      </w:tr>
    </w:tbl>
    <w:p w14:paraId="4B9AEB6C" w14:textId="344011F5" w:rsidR="003D5D53" w:rsidRPr="003103D5" w:rsidRDefault="373EAC8A" w:rsidP="373EAC8A">
      <w:r w:rsidRPr="373EAC8A">
        <w:rPr>
          <w:rFonts w:ascii="Arial" w:eastAsia="Arial" w:hAnsi="Arial" w:cs="Arial"/>
          <w:color w:val="000000" w:themeColor="text1"/>
          <w:sz w:val="18"/>
          <w:szCs w:val="18"/>
        </w:rPr>
        <w:lastRenderedPageBreak/>
        <w:t xml:space="preserve"> </w:t>
      </w:r>
    </w:p>
    <w:p w14:paraId="0C6B241A" w14:textId="5CC6C59F" w:rsidR="003D5D53" w:rsidRDefault="373EAC8A" w:rsidP="373EAC8A">
      <w:pPr>
        <w:rPr>
          <w:rFonts w:ascii="Arial" w:eastAsia="Arial" w:hAnsi="Arial" w:cs="Arial"/>
          <w:color w:val="000000" w:themeColor="text1"/>
          <w:sz w:val="18"/>
          <w:szCs w:val="18"/>
          <w:vertAlign w:val="superscript"/>
        </w:rPr>
      </w:pPr>
      <w:r w:rsidRPr="373EAC8A">
        <w:rPr>
          <w:rFonts w:ascii="Arial" w:eastAsia="Arial" w:hAnsi="Arial" w:cs="Arial"/>
          <w:color w:val="000000" w:themeColor="text1"/>
          <w:sz w:val="18"/>
          <w:szCs w:val="18"/>
        </w:rPr>
        <w:t xml:space="preserve">Powyższy wykaz obejmuje zamówienia zrealizowane przez </w:t>
      </w:r>
      <w:r w:rsidRPr="373EAC8A">
        <w:rPr>
          <w:rFonts w:ascii="Arial" w:eastAsia="Arial" w:hAnsi="Arial" w:cs="Arial"/>
          <w:color w:val="000000" w:themeColor="text1"/>
          <w:sz w:val="18"/>
          <w:szCs w:val="18"/>
          <w:vertAlign w:val="superscript"/>
        </w:rPr>
        <w:t xml:space="preserve">**) </w:t>
      </w:r>
    </w:p>
    <w:p w14:paraId="4EF9D5AC" w14:textId="627A0F78" w:rsidR="373EAC8A" w:rsidRDefault="373EAC8A" w:rsidP="373EAC8A">
      <w:r w:rsidRPr="373EAC8A">
        <w:rPr>
          <w:rFonts w:ascii="Arial" w:eastAsia="Arial" w:hAnsi="Arial" w:cs="Arial"/>
          <w:color w:val="000000" w:themeColor="text1"/>
          <w:sz w:val="18"/>
          <w:szCs w:val="18"/>
        </w:rPr>
        <w:t xml:space="preserve">……..………………………………………………………………………………………………………………………………………... </w:t>
      </w:r>
    </w:p>
    <w:p w14:paraId="50177B72" w14:textId="50984AD0" w:rsidR="373EAC8A" w:rsidRDefault="373EAC8A" w:rsidP="373EAC8A">
      <w:r w:rsidRPr="373EAC8A">
        <w:rPr>
          <w:rFonts w:ascii="Arial" w:eastAsia="Arial" w:hAnsi="Arial" w:cs="Arial"/>
          <w:color w:val="000000" w:themeColor="text1"/>
          <w:sz w:val="18"/>
          <w:szCs w:val="18"/>
        </w:rPr>
        <w:t>……………………………………………………………………………………………………………………………………………………………………………………………………………</w:t>
      </w:r>
    </w:p>
    <w:p w14:paraId="733DA2DF" w14:textId="70B1DD2A" w:rsidR="373EAC8A" w:rsidRDefault="373EAC8A" w:rsidP="373EAC8A">
      <w:r w:rsidRPr="373EAC8A">
        <w:rPr>
          <w:rFonts w:ascii="Arial" w:eastAsia="Arial" w:hAnsi="Arial" w:cs="Arial"/>
          <w:color w:val="000000" w:themeColor="text1"/>
          <w:sz w:val="18"/>
          <w:szCs w:val="18"/>
        </w:rPr>
        <w:t>(nazwa i adres podmiotu, na którym Wykonawca polega na podstawie art. 118 ust.1 ustawy Pzp</w:t>
      </w:r>
      <w:r w:rsidRPr="373EAC8A">
        <w:rPr>
          <w:rFonts w:ascii="Arial" w:eastAsia="Arial" w:hAnsi="Arial" w:cs="Arial"/>
          <w:b/>
          <w:bCs/>
          <w:color w:val="000000" w:themeColor="text1"/>
          <w:sz w:val="18"/>
          <w:szCs w:val="18"/>
        </w:rPr>
        <w:t xml:space="preserve"> </w:t>
      </w:r>
    </w:p>
    <w:p w14:paraId="0B0C9537" w14:textId="767881A5" w:rsidR="373EAC8A" w:rsidRDefault="373EAC8A" w:rsidP="373EAC8A">
      <w:pPr>
        <w:jc w:val="both"/>
      </w:pPr>
      <w:r w:rsidRPr="373EAC8A">
        <w:rPr>
          <w:rFonts w:ascii="Arial" w:eastAsia="Arial" w:hAnsi="Arial" w:cs="Arial"/>
          <w:color w:val="000000" w:themeColor="text1"/>
          <w:sz w:val="18"/>
          <w:szCs w:val="18"/>
        </w:rPr>
        <w:t xml:space="preserve"> </w:t>
      </w:r>
    </w:p>
    <w:p w14:paraId="62B257A2" w14:textId="369E6C1B" w:rsidR="373EAC8A" w:rsidRDefault="373EAC8A" w:rsidP="373EAC8A">
      <w:pPr>
        <w:jc w:val="both"/>
      </w:pPr>
      <w:r w:rsidRPr="5B0EA5FE">
        <w:rPr>
          <w:rFonts w:ascii="Arial" w:eastAsia="Arial" w:hAnsi="Arial" w:cs="Arial"/>
          <w:sz w:val="18"/>
          <w:szCs w:val="18"/>
        </w:rPr>
        <w:t xml:space="preserve">Do wykazu dostaw należy załączyć </w:t>
      </w:r>
      <w:r w:rsidRPr="5B0EA5FE">
        <w:rPr>
          <w:rFonts w:ascii="Arial" w:eastAsia="Arial" w:hAnsi="Arial" w:cs="Arial"/>
          <w:b/>
          <w:bCs/>
          <w:color w:val="000000" w:themeColor="text1"/>
          <w:sz w:val="18"/>
          <w:szCs w:val="18"/>
        </w:rPr>
        <w:t>dowody</w:t>
      </w:r>
      <w:r w:rsidRPr="5B0EA5FE">
        <w:rPr>
          <w:rFonts w:ascii="Arial" w:eastAsia="Arial" w:hAnsi="Arial" w:cs="Arial"/>
          <w:color w:val="000000" w:themeColor="text1"/>
          <w:sz w:val="18"/>
          <w:szCs w:val="18"/>
        </w:rPr>
        <w:t xml:space="preserve"> </w:t>
      </w:r>
      <w:r w:rsidRPr="5B0EA5FE">
        <w:rPr>
          <w:rFonts w:ascii="Arial" w:eastAsia="Arial" w:hAnsi="Arial" w:cs="Arial"/>
          <w:b/>
          <w:bCs/>
          <w:color w:val="000000" w:themeColor="text1"/>
          <w:sz w:val="18"/>
          <w:szCs w:val="18"/>
        </w:rPr>
        <w:t xml:space="preserve">określające </w:t>
      </w:r>
      <w:r w:rsidRPr="5B0EA5FE">
        <w:rPr>
          <w:rFonts w:ascii="Arial" w:eastAsia="Arial" w:hAnsi="Arial" w:cs="Arial"/>
          <w:b/>
          <w:bCs/>
          <w:sz w:val="18"/>
          <w:szCs w:val="18"/>
        </w:rPr>
        <w:t>czy wskazane dostawy zostały wykonane należycie</w:t>
      </w:r>
      <w:r w:rsidRPr="5B0EA5FE">
        <w:rPr>
          <w:rFonts w:ascii="Arial" w:eastAsia="Arial" w:hAnsi="Arial" w:cs="Arial"/>
          <w:sz w:val="18"/>
          <w:szCs w:val="18"/>
        </w:rPr>
        <w:t>.</w:t>
      </w:r>
    </w:p>
    <w:p w14:paraId="56E7AFA3" w14:textId="7F478191" w:rsidR="373EAC8A" w:rsidRDefault="373EAC8A" w:rsidP="373EAC8A">
      <w:pPr>
        <w:jc w:val="both"/>
      </w:pPr>
      <w:r w:rsidRPr="373EAC8A">
        <w:rPr>
          <w:rFonts w:ascii="Arial" w:eastAsia="Arial" w:hAnsi="Arial" w:cs="Arial"/>
          <w:i/>
          <w:iCs/>
          <w:color w:val="000000" w:themeColor="text1"/>
          <w:sz w:val="16"/>
          <w:szCs w:val="16"/>
        </w:rPr>
        <w:t xml:space="preserve">*    </w:t>
      </w:r>
      <w:r w:rsidRPr="373EAC8A">
        <w:rPr>
          <w:rFonts w:ascii="Arial" w:eastAsia="Arial" w:hAnsi="Arial" w:cs="Arial"/>
          <w:i/>
          <w:iCs/>
          <w:color w:val="000000" w:themeColor="text1"/>
          <w:sz w:val="18"/>
          <w:szCs w:val="18"/>
        </w:rPr>
        <w:t>niepotrzebne skreślić</w:t>
      </w:r>
    </w:p>
    <w:p w14:paraId="62A76678" w14:textId="2D324C3C" w:rsidR="373EAC8A" w:rsidRDefault="373EAC8A" w:rsidP="003103D5">
      <w:pPr>
        <w:spacing w:line="252" w:lineRule="auto"/>
      </w:pPr>
      <w:r w:rsidRPr="373EAC8A">
        <w:rPr>
          <w:rFonts w:ascii="Arial" w:eastAsia="Arial" w:hAnsi="Arial" w:cs="Arial"/>
          <w:color w:val="000000" w:themeColor="text1"/>
          <w:sz w:val="18"/>
          <w:szCs w:val="18"/>
        </w:rPr>
        <w:t xml:space="preserve">** </w:t>
      </w:r>
      <w:r w:rsidRPr="373EAC8A">
        <w:rPr>
          <w:rFonts w:ascii="Arial" w:eastAsia="Arial" w:hAnsi="Arial" w:cs="Arial"/>
          <w:i/>
          <w:iCs/>
          <w:color w:val="000000" w:themeColor="text1"/>
          <w:sz w:val="18"/>
          <w:szCs w:val="18"/>
        </w:rPr>
        <w:t>wypełnić w przypadku określonym w art. 118 ust. 1 ustawy Pzp</w:t>
      </w:r>
    </w:p>
    <w:p w14:paraId="0EAF1144" w14:textId="5E3E896A" w:rsidR="373EAC8A" w:rsidRDefault="373EAC8A" w:rsidP="5B0EA5FE">
      <w:pPr>
        <w:tabs>
          <w:tab w:val="left" w:pos="8504"/>
          <w:tab w:val="right" w:leader="dot" w:pos="12472"/>
        </w:tabs>
        <w:spacing w:line="300" w:lineRule="auto"/>
        <w:ind w:left="9204"/>
        <w:jc w:val="both"/>
        <w:rPr>
          <w:rFonts w:ascii="Arial" w:eastAsia="Arial" w:hAnsi="Arial" w:cs="Arial"/>
          <w:sz w:val="20"/>
          <w:szCs w:val="20"/>
        </w:rPr>
      </w:pPr>
      <w:r w:rsidRPr="5B0EA5FE">
        <w:rPr>
          <w:rFonts w:ascii="Arial" w:eastAsia="Arial" w:hAnsi="Arial" w:cs="Arial"/>
          <w:sz w:val="20"/>
          <w:szCs w:val="20"/>
        </w:rPr>
        <w:t>…………………………………………………..</w:t>
      </w:r>
      <w:r>
        <w:tab/>
      </w:r>
    </w:p>
    <w:p w14:paraId="154A6A19" w14:textId="4A2EA3A0" w:rsidR="373EAC8A" w:rsidRDefault="373EAC8A" w:rsidP="5B0EA5FE">
      <w:pPr>
        <w:tabs>
          <w:tab w:val="center" w:pos="10490"/>
        </w:tabs>
        <w:spacing w:line="300" w:lineRule="auto"/>
        <w:ind w:left="8496"/>
        <w:jc w:val="both"/>
      </w:pPr>
      <w:r w:rsidRPr="5B0EA5FE">
        <w:rPr>
          <w:rFonts w:ascii="Arial" w:eastAsia="Arial" w:hAnsi="Arial" w:cs="Arial"/>
          <w:i/>
          <w:iCs/>
          <w:sz w:val="18"/>
          <w:szCs w:val="18"/>
        </w:rPr>
        <w:t xml:space="preserve">    (podpis osoby uprawnionej do reprezentowania Wykonawcy</w:t>
      </w:r>
    </w:p>
    <w:p w14:paraId="3C24CB65" w14:textId="1884C8B4" w:rsidR="373EAC8A" w:rsidRDefault="373EAC8A" w:rsidP="373EAC8A">
      <w:pPr>
        <w:tabs>
          <w:tab w:val="center" w:pos="10490"/>
        </w:tabs>
        <w:spacing w:line="300" w:lineRule="auto"/>
        <w:jc w:val="both"/>
      </w:pPr>
      <w:r w:rsidRPr="5B0EA5FE">
        <w:rPr>
          <w:rFonts w:ascii="Arial" w:eastAsia="Arial" w:hAnsi="Arial" w:cs="Arial"/>
          <w:i/>
          <w:iCs/>
          <w:sz w:val="18"/>
          <w:szCs w:val="18"/>
        </w:rPr>
        <w:t xml:space="preserve"> </w:t>
      </w:r>
      <w:r>
        <w:tab/>
      </w:r>
      <w:r w:rsidRPr="5B0EA5FE">
        <w:rPr>
          <w:rFonts w:ascii="Arial" w:eastAsia="Arial" w:hAnsi="Arial" w:cs="Arial"/>
          <w:i/>
          <w:iCs/>
          <w:sz w:val="18"/>
          <w:szCs w:val="18"/>
        </w:rPr>
        <w:t xml:space="preserve">                       lub upoważnionej do występowania w jego imieniu)</w:t>
      </w:r>
    </w:p>
    <w:p w14:paraId="16706843" w14:textId="5CBDE7EA" w:rsidR="00D23094" w:rsidRDefault="00D23094" w:rsidP="003D5D53">
      <w:pPr>
        <w:tabs>
          <w:tab w:val="left" w:pos="8931"/>
        </w:tabs>
        <w:spacing w:line="276" w:lineRule="auto"/>
        <w:rPr>
          <w:rFonts w:ascii="Arial" w:eastAsia="Arial" w:hAnsi="Arial" w:cs="Arial"/>
          <w:color w:val="000000" w:themeColor="text1"/>
          <w:sz w:val="20"/>
          <w:szCs w:val="20"/>
        </w:rPr>
      </w:pPr>
    </w:p>
    <w:sectPr w:rsidR="00D23094">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4A09" w14:textId="77777777" w:rsidR="005C3F0F" w:rsidRDefault="005C3F0F" w:rsidP="00E27516">
      <w:pPr>
        <w:spacing w:after="0" w:line="240" w:lineRule="auto"/>
      </w:pPr>
      <w:r>
        <w:separator/>
      </w:r>
    </w:p>
  </w:endnote>
  <w:endnote w:type="continuationSeparator" w:id="0">
    <w:p w14:paraId="03CFA0E6" w14:textId="77777777" w:rsidR="005C3F0F" w:rsidRDefault="005C3F0F" w:rsidP="00E2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E7D045A" w14:paraId="1C8E3BD6" w14:textId="77777777" w:rsidTr="6E7D045A">
      <w:tc>
        <w:tcPr>
          <w:tcW w:w="4650" w:type="dxa"/>
        </w:tcPr>
        <w:p w14:paraId="3CB626E0" w14:textId="38266030" w:rsidR="6E7D045A" w:rsidRDefault="6E7D045A" w:rsidP="6E7D045A">
          <w:pPr>
            <w:pStyle w:val="Nagwek"/>
            <w:ind w:left="-115"/>
          </w:pPr>
        </w:p>
      </w:tc>
      <w:tc>
        <w:tcPr>
          <w:tcW w:w="4650" w:type="dxa"/>
        </w:tcPr>
        <w:p w14:paraId="77A328DF" w14:textId="4432F227" w:rsidR="6E7D045A" w:rsidRDefault="6E7D045A" w:rsidP="6E7D045A">
          <w:pPr>
            <w:pStyle w:val="Nagwek"/>
            <w:jc w:val="center"/>
          </w:pPr>
        </w:p>
      </w:tc>
      <w:tc>
        <w:tcPr>
          <w:tcW w:w="4650" w:type="dxa"/>
        </w:tcPr>
        <w:p w14:paraId="127AB220" w14:textId="0ECC448B" w:rsidR="6E7D045A" w:rsidRDefault="6E7D045A" w:rsidP="6E7D045A">
          <w:pPr>
            <w:pStyle w:val="Nagwek"/>
            <w:ind w:right="-115"/>
            <w:jc w:val="right"/>
          </w:pPr>
        </w:p>
      </w:tc>
    </w:tr>
  </w:tbl>
  <w:p w14:paraId="248D1AE7" w14:textId="521A395F" w:rsidR="6E7D045A" w:rsidRDefault="6E7D045A" w:rsidP="6E7D04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6CB5" w14:textId="77777777" w:rsidR="005C3F0F" w:rsidRDefault="005C3F0F" w:rsidP="00E27516">
      <w:pPr>
        <w:spacing w:after="0" w:line="240" w:lineRule="auto"/>
      </w:pPr>
      <w:r>
        <w:separator/>
      </w:r>
    </w:p>
  </w:footnote>
  <w:footnote w:type="continuationSeparator" w:id="0">
    <w:p w14:paraId="294B83E8" w14:textId="77777777" w:rsidR="005C3F0F" w:rsidRDefault="005C3F0F" w:rsidP="00E27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9E84" w14:textId="60647465" w:rsidR="00E27516" w:rsidRDefault="00E27516" w:rsidP="00E27516">
    <w:pPr>
      <w:pStyle w:val="Nagwek"/>
      <w:jc w:val="center"/>
    </w:pPr>
    <w:r>
      <w:rPr>
        <w:noProof/>
        <w:color w:val="2B579A"/>
        <w:shd w:val="clear" w:color="auto" w:fill="E6E6E6"/>
      </w:rPr>
      <w:drawing>
        <wp:inline distT="0" distB="0" distL="0" distR="0" wp14:anchorId="08D23BF5" wp14:editId="0452E3C0">
          <wp:extent cx="5581013" cy="342900"/>
          <wp:effectExtent l="0" t="0" r="635" b="0"/>
          <wp:docPr id="20869782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581013" cy="342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BA2DE2"/>
    <w:rsid w:val="000E142F"/>
    <w:rsid w:val="003103D5"/>
    <w:rsid w:val="003D5D53"/>
    <w:rsid w:val="005C3F0F"/>
    <w:rsid w:val="0084A596"/>
    <w:rsid w:val="008C5769"/>
    <w:rsid w:val="009D4530"/>
    <w:rsid w:val="00D23094"/>
    <w:rsid w:val="00E27516"/>
    <w:rsid w:val="00E66217"/>
    <w:rsid w:val="01027FEE"/>
    <w:rsid w:val="02B30216"/>
    <w:rsid w:val="07D88BE6"/>
    <w:rsid w:val="09AE049F"/>
    <w:rsid w:val="0A6FA71E"/>
    <w:rsid w:val="0B49D500"/>
    <w:rsid w:val="0C0B777F"/>
    <w:rsid w:val="0D283E70"/>
    <w:rsid w:val="0D65B4D5"/>
    <w:rsid w:val="0E58417E"/>
    <w:rsid w:val="10A40CD3"/>
    <w:rsid w:val="1414F5CD"/>
    <w:rsid w:val="18E866F0"/>
    <w:rsid w:val="1901C3AE"/>
    <w:rsid w:val="1908899E"/>
    <w:rsid w:val="199861E4"/>
    <w:rsid w:val="1B798DDB"/>
    <w:rsid w:val="1C2007B2"/>
    <w:rsid w:val="1C773F7C"/>
    <w:rsid w:val="1E130FDD"/>
    <w:rsid w:val="1EBA2DE2"/>
    <w:rsid w:val="2244C7E6"/>
    <w:rsid w:val="23D51DFC"/>
    <w:rsid w:val="25974960"/>
    <w:rsid w:val="2BE4F131"/>
    <w:rsid w:val="2D042CC7"/>
    <w:rsid w:val="2DDAB53C"/>
    <w:rsid w:val="2E5862B3"/>
    <w:rsid w:val="33800796"/>
    <w:rsid w:val="354D7B0E"/>
    <w:rsid w:val="373EAC8A"/>
    <w:rsid w:val="386CD15A"/>
    <w:rsid w:val="3AA9C3D5"/>
    <w:rsid w:val="3B65DF62"/>
    <w:rsid w:val="3BF2B556"/>
    <w:rsid w:val="3DA9D7F1"/>
    <w:rsid w:val="3DD6EA98"/>
    <w:rsid w:val="3DE16497"/>
    <w:rsid w:val="41291140"/>
    <w:rsid w:val="44F6C1AA"/>
    <w:rsid w:val="45534605"/>
    <w:rsid w:val="488AE6C7"/>
    <w:rsid w:val="48C8C1D3"/>
    <w:rsid w:val="4BC28789"/>
    <w:rsid w:val="4EFA284B"/>
    <w:rsid w:val="4F6B9D17"/>
    <w:rsid w:val="53792E10"/>
    <w:rsid w:val="5577202B"/>
    <w:rsid w:val="5ADBEA8F"/>
    <w:rsid w:val="5B0EA5FE"/>
    <w:rsid w:val="5C40C15A"/>
    <w:rsid w:val="5D334E03"/>
    <w:rsid w:val="5D53FE44"/>
    <w:rsid w:val="6322876D"/>
    <w:rsid w:val="67C37375"/>
    <w:rsid w:val="695F43D6"/>
    <w:rsid w:val="697EE55C"/>
    <w:rsid w:val="6A858BE4"/>
    <w:rsid w:val="6A959B48"/>
    <w:rsid w:val="6C4DE126"/>
    <w:rsid w:val="6DB73FB3"/>
    <w:rsid w:val="6DB7B55F"/>
    <w:rsid w:val="6E7D045A"/>
    <w:rsid w:val="6FEF4049"/>
    <w:rsid w:val="7522E192"/>
    <w:rsid w:val="7602B83E"/>
    <w:rsid w:val="7A9ACDAA"/>
    <w:rsid w:val="7BA2164B"/>
    <w:rsid w:val="7DFC9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2DE2"/>
  <w15:chartTrackingRefBased/>
  <w15:docId w15:val="{2DAE28BE-A28C-4D7D-A738-C7975326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uiPriority w:val="1"/>
    <w:rsid w:val="5B0EA5FE"/>
    <w:pPr>
      <w:spacing w:beforeAutospacing="1" w:afterAutospacing="1"/>
      <w:ind w:hanging="10"/>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27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516"/>
  </w:style>
  <w:style w:type="paragraph" w:styleId="Stopka">
    <w:name w:val="footer"/>
    <w:basedOn w:val="Normalny"/>
    <w:link w:val="StopkaZnak"/>
    <w:uiPriority w:val="99"/>
    <w:unhideWhenUsed/>
    <w:rsid w:val="00E27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8B89377E81D24DA4429766C43348F1" ma:contentTypeVersion="13" ma:contentTypeDescription="Utwórz nowy dokument." ma:contentTypeScope="" ma:versionID="eabf8c00d6900275407b0f9f9de72f37">
  <xsd:schema xmlns:xsd="http://www.w3.org/2001/XMLSchema" xmlns:xs="http://www.w3.org/2001/XMLSchema" xmlns:p="http://schemas.microsoft.com/office/2006/metadata/properties" xmlns:ns2="83ffb42c-1737-4299-b820-fcc2f78f2d03" xmlns:ns3="cdca29c1-6cc6-4f09-8463-6f7c88dd3af5" targetNamespace="http://schemas.microsoft.com/office/2006/metadata/properties" ma:root="true" ma:fieldsID="1257b64596c34728ce7aab051c9c2f1d" ns2:_="" ns3:_="">
    <xsd:import namespace="83ffb42c-1737-4299-b820-fcc2f78f2d03"/>
    <xsd:import namespace="cdca29c1-6cc6-4f09-8463-6f7c88dd3a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b42c-1737-4299-b820-fcc2f78f2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ca29c1-6cc6-4f09-8463-6f7c88dd3af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3B259-6048-410C-9050-62D0F368C6B5}">
  <ds:schemaRefs>
    <ds:schemaRef ds:uri="http://schemas.microsoft.com/sharepoint/v3/contenttype/forms"/>
  </ds:schemaRefs>
</ds:datastoreItem>
</file>

<file path=customXml/itemProps2.xml><?xml version="1.0" encoding="utf-8"?>
<ds:datastoreItem xmlns:ds="http://schemas.openxmlformats.org/officeDocument/2006/customXml" ds:itemID="{69B5206A-7525-4AB7-8EC2-53D6D12E9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B1E9E-F56E-46F1-8FB7-BFD4C884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b42c-1737-4299-b820-fcc2f78f2d03"/>
    <ds:schemaRef ds:uri="cdca29c1-6cc6-4f09-8463-6f7c88dd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5391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Chrobaczyńska | MCN Cogiteon</dc:creator>
  <cp:keywords/>
  <dc:description/>
  <cp:lastModifiedBy>Katarzyna Jasińska | MCN Cogiteon</cp:lastModifiedBy>
  <cp:revision>7</cp:revision>
  <dcterms:created xsi:type="dcterms:W3CDTF">2021-12-21T10:12:00Z</dcterms:created>
  <dcterms:modified xsi:type="dcterms:W3CDTF">2022-03-16T08:25:00Z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0x0101004E8B89377E81D24DA4429766C43348F1</vt:lpwstr>
  </property>
</Properties>
</file>