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SPECYFIKACJA WARUNKÓW ZAMÓWIENIA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zwana dalej SWZ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"/>
        </w:num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Nazwa i adres Zamawiającego: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Izerskie Centrum Pulmonologii i Chemioterapii „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Izer-med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” Sp. z o.o., ul. Sanatoryjna 1,     58-580 Szklarska Poręba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Strona internetowa prowadzonego postępowania: </w:t>
      </w:r>
    </w:p>
    <w:p w:rsidR="00316E0A" w:rsidRPr="00316E0A" w:rsidRDefault="00341245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hyperlink r:id="rId7" w:history="1">
        <w:r w:rsidR="00321468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321468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Kanał elektronicznej </w:t>
      </w:r>
      <w:r w:rsidRPr="00316E0A">
        <w:rPr>
          <w:rFonts w:ascii="Garamond" w:eastAsia="Times New Roman" w:hAnsi="Garamond" w:cs="Times New Roman"/>
          <w:bCs/>
          <w:lang w:eastAsia="pl-PL"/>
        </w:rPr>
        <w:t xml:space="preserve">komunikacji:  </w:t>
      </w:r>
      <w:hyperlink r:id="rId8" w:history="1">
        <w:r w:rsidR="00466969" w:rsidRPr="00466969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466969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Osoba uprawniona do komunikowania się z Wykonawcami: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Monika </w:t>
      </w:r>
      <w:proofErr w:type="spellStart"/>
      <w:r>
        <w:rPr>
          <w:rFonts w:ascii="Garamond" w:eastAsia="Times New Roman" w:hAnsi="Garamond" w:cs="Times New Roman"/>
          <w:b/>
          <w:bCs/>
          <w:lang w:eastAsia="pl-PL"/>
        </w:rPr>
        <w:t>Rakucka</w:t>
      </w:r>
      <w:proofErr w:type="spellEnd"/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Adres poczty elektronicznej: </w:t>
      </w:r>
      <w:hyperlink r:id="rId9" w:history="1">
        <w:r w:rsidRPr="002915F4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ksiegowosc@izer-med.com.pl</w:t>
        </w:r>
      </w:hyperlink>
      <w:r w:rsidRPr="00316E0A">
        <w:rPr>
          <w:rFonts w:ascii="Garamond" w:eastAsia="Times New Roman" w:hAnsi="Garamond" w:cs="Times New Roman"/>
          <w:bCs/>
          <w:lang w:eastAsia="pl-PL"/>
        </w:rPr>
        <w:t xml:space="preserve"> Telefon: </w:t>
      </w:r>
      <w:r>
        <w:rPr>
          <w:rFonts w:ascii="Garamond" w:eastAsia="Times New Roman" w:hAnsi="Garamond" w:cs="Times New Roman"/>
          <w:b/>
          <w:bCs/>
          <w:lang w:eastAsia="pl-PL"/>
        </w:rPr>
        <w:t>75 75 47 143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2. 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Tryb udzielenia zamówienia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publiczne udzielane jest zgodnie z ustawą z dnia 11 września 2019 r. - Prawo zamówień publicznych (Dz. U. z 2019 r. poz. 2019 z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późn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zm.), zwaną dalej „ustawą”, w trybie przetargu nieograniczonego. Wartość zamówienia przekracza progi unijne określone w art. 3 ustawy. 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Opis przedmiotu zamówienia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Przedmiotem zamówienia jest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dostawa sprzętu do diagnostyki i leczenia raka płuc w 2021 r. dla Narodowej Strategii Onkologicznej w zakresie pneumonologii wraz z instalacją, </w:t>
      </w:r>
      <w:r>
        <w:rPr>
          <w:rFonts w:ascii="Garamond" w:eastAsia="Times New Roman" w:hAnsi="Garamond" w:cs="Times New Roman"/>
          <w:b/>
          <w:color w:val="000000"/>
          <w:lang w:eastAsia="pl-PL"/>
        </w:rPr>
        <w:t xml:space="preserve"> i </w:t>
      </w:r>
      <w:r w:rsidR="000538CE">
        <w:rPr>
          <w:rFonts w:ascii="Garamond" w:eastAsia="Times New Roman" w:hAnsi="Garamond" w:cs="Times New Roman"/>
          <w:b/>
          <w:color w:val="000000"/>
          <w:lang w:eastAsia="pl-PL"/>
        </w:rPr>
        <w:t xml:space="preserve">uruchomieniem oraz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szkoleniem personelu.</w:t>
      </w:r>
    </w:p>
    <w:p w:rsidR="00316E0A" w:rsidRPr="00316E0A" w:rsidRDefault="00316E0A" w:rsidP="00316E0A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Zamówienie realizowane jest w ramach programu Narodowej Strategii Onkologicznej, zadania pn. „Zakup sprzętu do diagnostyki i leczenia raka płuc” w 2021 w zakresie pneumonologii dofinansowanego przez Ministerstwo Zdrowia.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dopuszcza składanie ofert częściowych.</w:t>
      </w:r>
      <w:r w:rsidRPr="0031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zostało podzielone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na 2 części. Oferty można składać w odniesieniu do wszystkich części zamówienia. </w:t>
      </w:r>
    </w:p>
    <w:p w:rsidR="00316E0A" w:rsidRPr="006142C6" w:rsidRDefault="00316E0A" w:rsidP="006142C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CPV: 33168000-5 (dotyczy części 1); 33112200-0 (dotyczy części 2)</w:t>
      </w:r>
      <w:r w:rsidR="006142C6">
        <w:rPr>
          <w:rFonts w:ascii="Garamond" w:eastAsia="Times New Roman" w:hAnsi="Garamond" w:cs="Times New Roman"/>
          <w:bCs/>
          <w:color w:val="000000"/>
          <w:lang w:eastAsia="pl-PL"/>
        </w:rPr>
        <w:t>; 33168000-5 (dotyczy części 3)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Szczegółowy opis przedmiotu zamówienia zawiera załącznik nr 1a do SWZ. Opis ten należy odczytywać wraz z ewentualnymi zmianami treści SWZ, będącymi np. wynikiem udzielonych odpowiedzi na zapytania Wykonawców.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Oferowany sprzęt musi być wyrobem medycznym dopuszczonym do obrotu i używania na terenie Polski zgodnie z postanowieniami ustawy z dnia 20.05.2010 r. o wyrobach medycznych</w:t>
      </w:r>
      <w:r w:rsidR="00CE5DDD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CE5DDD" w:rsidRPr="00CE5DDD">
        <w:rPr>
          <w:rFonts w:ascii="Garamond" w:eastAsia="Times New Roman" w:hAnsi="Garamond" w:cs="Times New Roman"/>
          <w:color w:val="FF0000"/>
          <w:lang w:eastAsia="pl-PL"/>
        </w:rPr>
        <w:t>(nie dotyczy sprzętu określonego w części 3 w pkt. 14 opisu przedmiotu zamówienia – zał. nr 1a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Oferowany sprzęt musi być fabrycznie nowy (rok </w:t>
      </w:r>
      <w:r w:rsidR="006142C6">
        <w:rPr>
          <w:rFonts w:ascii="Garamond" w:eastAsia="Times New Roman" w:hAnsi="Garamond" w:cs="Times New Roman"/>
          <w:color w:val="000000"/>
          <w:lang w:eastAsia="pl-PL"/>
        </w:rPr>
        <w:t>produkcji nie wcześniej niż</w:t>
      </w:r>
      <w:r w:rsidR="00BD7624">
        <w:rPr>
          <w:rFonts w:ascii="Garamond" w:eastAsia="Times New Roman" w:hAnsi="Garamond" w:cs="Times New Roman"/>
          <w:color w:val="000000"/>
          <w:lang w:eastAsia="pl-PL"/>
        </w:rPr>
        <w:t xml:space="preserve">: </w:t>
      </w:r>
      <w:r w:rsidR="00BD7624" w:rsidRPr="00BD7624">
        <w:rPr>
          <w:rFonts w:ascii="Garamond" w:eastAsia="Times New Roman" w:hAnsi="Garamond" w:cs="Times New Roman"/>
          <w:color w:val="FF0000"/>
          <w:lang w:eastAsia="pl-PL"/>
        </w:rPr>
        <w:t>w części 1 -</w:t>
      </w:r>
      <w:r w:rsidR="00BD7624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6142C6">
        <w:rPr>
          <w:rFonts w:ascii="Garamond" w:eastAsia="Times New Roman" w:hAnsi="Garamond" w:cs="Times New Roman"/>
          <w:color w:val="000000"/>
          <w:lang w:eastAsia="pl-PL"/>
        </w:rPr>
        <w:t xml:space="preserve"> 2020</w:t>
      </w:r>
      <w:r w:rsidR="00BD7624">
        <w:rPr>
          <w:rFonts w:ascii="Garamond" w:eastAsia="Times New Roman" w:hAnsi="Garamond" w:cs="Times New Roman"/>
          <w:color w:val="000000"/>
          <w:lang w:eastAsia="pl-PL"/>
        </w:rPr>
        <w:t xml:space="preserve">; </w:t>
      </w:r>
      <w:bookmarkStart w:id="0" w:name="_GoBack"/>
      <w:r w:rsidR="00BD7624" w:rsidRPr="00BD7624">
        <w:rPr>
          <w:rFonts w:ascii="Garamond" w:eastAsia="Times New Roman" w:hAnsi="Garamond" w:cs="Times New Roman"/>
          <w:color w:val="FF0000"/>
          <w:lang w:eastAsia="pl-PL"/>
        </w:rPr>
        <w:t>w część 2 - 2021</w:t>
      </w:r>
      <w:bookmarkEnd w:id="0"/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), nieużywany, kompletny i do jego uruchomienia oraz stosowania zgodnie z przeznaczeniem nie jest konieczny zakup dodatkowych elementów i akcesoriów. Żaden aparat ani jego część składowa, wyposażenie, etc. nie może być sprzętem 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rekondycjonowanym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>, powystawowym i nie był wykorzystywany wcześniej przez innego użytkownika.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Wymagany termin płatności wynosi do 60 dni. Zamawiający dokonuje płatności w modelu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split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payment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Dodatkowe informacje znajdują się we wzorze umowy.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dopuszcza składania ofert wariantowych.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udzielenia zamówień, o których mowa w art. 214 ust. 1 pkt 7 i 8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obowiązku osobistego wykonania przez wykonawcę kluczowych zadań. Zamawiający wymaga wskazania przez wykonawcę zadań, których wykonanie zamierza powierzyć podwykonawcom, i podania firm podwykonawców (patrz załącznik nr 1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wymagań, o których mowa w art. 95 oraz art. 96 ust. 2 pkt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zawarcia umowy ramowej.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rozliczenia w walutach obcych.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przeprowadzenia aukcji elektronicznej.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zwrotu kosztów udziału w postępowaniu.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>Zamawiający nie przewiduje przeprowadzenia przez wykonawcę wizji lokalnej lub sprawdzenia przez niego dokumentów niezbędnych do realizacji zamówienia, o których mowa w art. 131 ust.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wymaga złożenia ofert w postaci katalogów elektronicznych lub dołączenia katalogów elektronicznych do oferty.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możliwości ubiegania się o udzielenie zamówienia wyłącznie przez wykonawców, o których mowa w art. 94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zastrzega sobie prawo do unieważnienia postępowania na podstawie art. 257 ustawy – w przypadku nieprzyznania środków publicznych, które Zamawiający zamierzał przeznaczyć na sfinansowanie zamówienia.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przedmiotowym postępowaniu komunikacja wykonawców z Zamawiającym będzie  odbywała się za pośrednictwem kanału elektronicznej komunikacji:</w:t>
      </w:r>
      <w:r w:rsidR="00BA7E8E" w:rsidRPr="00BA7E8E">
        <w:t xml:space="preserve"> </w:t>
      </w:r>
      <w:hyperlink r:id="rId10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Informacje dot. wymagań technicznych i organizacyjnych sporządzania, wysyłania i odbierania plików w komunikacji elektronicznej znajdują się w pkt. 11 SWZ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6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Termin wykonania zamówienia: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15 dni od daty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5. 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>Warunki udziału w postępowaniu i podstawy wykluczenia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Calibri"/>
          <w:color w:val="000000"/>
          <w:lang w:eastAsia="pl-PL"/>
        </w:rPr>
        <w:t>Z postępowania o udzielenie zamówienia wyklucza się, z zastrzeżeniem art. 110 ust. 2 ustawy, Wykonawcę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na podstawie art. 108 ust. 1 pkt. 1 – 6 ustawy.</w:t>
      </w:r>
    </w:p>
    <w:p w:rsidR="00316E0A" w:rsidRPr="00316E0A" w:rsidRDefault="00316E0A" w:rsidP="00316E0A">
      <w:pPr>
        <w:tabs>
          <w:tab w:val="left" w:pos="993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t xml:space="preserve">Podstawa wykluczenia, o której mowa w art. 108 ust. 2 ustawy, z uwagi na wartość poniżej </w:t>
      </w: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br/>
        <w:t>10 000 000 euro w przedmiotowym postępowaniu nie ma zastosowania.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Dodatkowo, z postępowania o udzielenie zamówienia Zamawiający wykluczy Wykonawcę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na podstawie art. 109 ust. 1 pkt. 4 ustawy.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hanging="454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Warunki udziału w postępowaniu.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zdolność do występowania w obrocie gospodarczym: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uprawnienia do prowadzenia określonej działalności gospodarczej lub zawodowej, o ile wynika to z odrębnych przepisów: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sytuacja ekonomiczna lub finansowa: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zdolność techniczna lub zawodowa: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6. 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 xml:space="preserve">Oświadczenia lub dokumenty podmiotowe potwierdzające spełnianie warunków udziału 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br/>
        <w:t>w postępowaniu oraz brak podstaw do wykluczenia.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przewiduje możliwość uprzedniej oceny ofert, zgodnie z art. 139 ust. 1 ustawy.      W takim przypadku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316E0A" w:rsidRPr="00316E0A" w:rsidRDefault="00316E0A" w:rsidP="00316E0A">
      <w:pPr>
        <w:tabs>
          <w:tab w:val="left" w:pos="851"/>
        </w:tabs>
        <w:spacing w:after="0" w:line="240" w:lineRule="auto"/>
        <w:ind w:left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Zmawiający będzie wymagał złożenia oświadczenia, o którym mowa w art. 125 ust. 1 ustawy, potwierdzające brak podstaw wykluczenia i spełnianie warunków udziału w postępowaniu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na dzień składania ofert, w zakresie wskazanym w zał. nr 2 do SWZ, wyłącznie od Wykonawcy którego oferta zostanie najwyżej oceniona.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Zamawiający przed wyborem najkorzystniejszej oferty, wezwie Wykonawcę, którego oferta została najwyżej oceniona, do złożenia w wyznaczonym terminie,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w zakresie wskazanym w załączniku nr 2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do SWZ, aktualnego na dzień składania ofert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(wezwanie 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>ykonawcy poprzez udostępniony przez Zamawiającego kanał elektronicznej komunikacji pod adresem:</w:t>
      </w:r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hyperlink r:id="rId11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br/>
        <w:t>za pośrednictwem poczty elektronicznej)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świadczenia wymienione w punkcie 6.2, 6.2.1. i 6.2.3. SWZ, należy sporządzić w języku polskim, w postaci elektronicznej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Szczegółowy opis przygotowania i składania dokumentu znajduje się w pkt. 11 SWZ.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6.2.1.   W przypadku wspólnego ubiegania się o zamówienie przez wykonawców oświadczenie, o którym mowa w punkcie 6.2 SWZ składa każdy z wykonawców wspólnie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ubiegających się o zamówienie. Oświadczenie to ma potwierdzać spełnianie warunków udziału w postępowaniu (jeżeli zostały określone) w zakresie, w którym każdy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z wykonawców wykazuje spełnianie warunków udziału w postępowaniu oraz brak podstaw wykluczenia.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nie wymaga złożenia przez podwykonawcę oświadczenia, o którym mowa w punkcie 6.2 SWZ, w celu wykazania braku istnienia wobec niego podstaw wykluczenia z udziału w postępowaniu.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Wykonawca, który powołuje się na zasoby innych podmiotów, w celu wykazania braku istnienia wobec nich podstaw wykluczenia oraz spełnienia w zakresie, w jakim powołuje się na ich zasoby, warunków udziału w postępowaniu (jeżeli zostały określone) składa także oświadczenie, o którym mowa w punkcie 6.2 SWZ, dotyczące tych podmiotów.</w:t>
      </w:r>
    </w:p>
    <w:p w:rsidR="00316E0A" w:rsidRPr="00BA7E8E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przed wyborem najkorzystniejszej oferty, wezwie Wykonawcę, którego oferta została najwyżej oceniona, do złożenia w wyznaczonym terminie, nie krótszym niż 10 dni, aktualnych na dzień złożenia następujących podmiotowych środków dowodowych (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wezwanie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ykonawcy poprzez udostępniony przez Zamawiającego kanał elektronicznej komunikacji pod adresem: </w:t>
      </w:r>
      <w:hyperlink r:id="rId12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elektronicznej):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odpisu lub informacji z Krajowego Rejestru Sądowego lub z Centralnej Ewidencji i Informacji o Działalności Gospodarczej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 w zakresie art. 109 ust. 1 pkt. 4 ustawy, sporządzonych nie wcześniej niż 3 miesiące przed jej złożeniem, jeżeli odrębne przepisy wymagają wpisu do rejestru lub ewidencji;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informacji z Krajowego Rejestru Karnego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w zakresie określonym w art. 108 ust. 1 pkt. 1, 2 i 4 ustawy, wystawionej nie wcześniej niż 6 miesięcy przed jej złożeniem;</w:t>
      </w:r>
    </w:p>
    <w:p w:rsidR="00316E0A" w:rsidRPr="00316E0A" w:rsidRDefault="00316E0A" w:rsidP="00316E0A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6.3.3. </w:t>
      </w:r>
      <w:r w:rsidRPr="00316E0A">
        <w:rPr>
          <w:rFonts w:ascii="Garamond" w:eastAsia="Times New Roman" w:hAnsi="Garamond" w:cs="CIDFont+F1"/>
          <w:b/>
          <w:color w:val="000000"/>
          <w:lang w:eastAsia="pl-PL"/>
        </w:rPr>
        <w:t>oświadczenia Wykonawcy</w:t>
      </w:r>
      <w:r w:rsidRPr="00316E0A">
        <w:rPr>
          <w:rFonts w:ascii="Garamond" w:eastAsia="Times New Roman" w:hAnsi="Garamond" w:cs="CIDFont+F1"/>
          <w:color w:val="000000"/>
          <w:lang w:eastAsia="pl-PL"/>
        </w:rPr>
        <w:t xml:space="preserve">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Wzór oświadczenia podany jest w załączniku nr 3 do SWZ.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6.3.4.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 Wykonawcy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  aktualności informacji zawartych w oświadczeniu,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 którym  mowa  w  art.  125  ust.  1 ustawy, w  zakresie odnoszącym  się do  podstaw wykluczenia  wskazanych  w  art.  108  ust.  1  pkt  3 - 6 ustawy (w zakresie wskazanym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załączniku nr 2 do SWZ). Wzór oświadczenia podany jest w załączniku nr 4 do SWZ</w:t>
      </w:r>
      <w:r w:rsidRPr="00316E0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Jeżeli wykonawca ma siedzibę lub miejsce zamieszkania poza granicami Rzeczypospolitej Polskiej, zamiast dokumentów, o których mowa w: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6.4.1. 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punkcie 6.3.1 SWZ składa dokument lub dokumenty wystawione w kraju, w którym wykonawca ma siedzibę lub miejsce zamieszkania, potwierdzające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procedury;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punkcie 6.3.2 SWZ składa informację z odpowiedniego rejestru, takiego jak rejestr sądowy, albo, w przypadku braku takiego rejestru, inny równoważny dokument wydany przez właściwy organ sądowy lub administracyjny kraju, w którym wykonawca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ma siedzibę lub miejsce zamieszkania, w zakresie określonym w art. 108 ust. 1, 2 i 4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6.5.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Dokument, o którym mowa w punkcie 6.4.2 SWZ, powinien być wystawiony nie wcześniej niż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6 miesięcy przed jego złożeniem. Dokumenty, o którym mowa w punkcie 6.4.1 SWZ, powinny być wystawione nie wcześniej niż 3 miesiące przed ich złożeniem.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6.6. 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Jeżeli w kraju, w którym wykonawca ma siedzibę lub miejsce zamieszkania, nie wydaje się dokumentów, o których mowa w pkt. 6.4, lub gdy dokumenty te nie odnoszą się do wszystkich przypadków, o których mowa w art. 108 ust. 1 pkt 1, 2 i 4 ustawy, zastępuje się je odpowiednio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w całości lub w części dokumentem zawierającym odpowiednio oświadczenie wykonawcy,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pkt. 6.5 stosuje się.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6.7. 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W zakresie nie uregulowanym SWZ, zastosowanie mają przepisy Rozporządzenia Ministra Rozwoju, Pracy i Technologii z dnia 23 grudnia 2020 r. w sprawie podmiotowych środków dowodowych oraz innych dokumentów lub oświadczeń, jakich może żądać zamawiający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od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6.8. 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Wykonawcy mogą wspólnie ubiegać się o udzielenie zamówienia w rozumieniu art. 58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6.8.1. Wykonawcy wspólnie ubiegający się o udzielenie zamówienia publicznego (np. członkowie konsorcjum, przedsiębiorcy prowadzący działalność w formie spółki cywilnej)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są zobowiązani ustanowić Pełnomocnika do reprezentowania ich w postępowaniu albo do reprezentowania ich w postępowaniu i do zawarcia umowy.</w:t>
      </w:r>
    </w:p>
    <w:p w:rsidR="00316E0A" w:rsidRPr="00316E0A" w:rsidRDefault="00316E0A" w:rsidP="00316E0A">
      <w:pPr>
        <w:tabs>
          <w:tab w:val="left" w:pos="1134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6.8.2. W takim przypadku wykonawcy wspólnie ubiegający się o udzielenie zamówienia publicznego są zobowiązani do złożenia wraz z ofertą Pełnomocnictwa ustanawiającego Pełnomocnika, o którym mowa w punkcie 10.2.5 SWZ. Pełnomocnictwo powinno zawierać umocowanie do reprezentowania w postępowaniu lub do reprezentowania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w postępowaniu i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62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sposobie porozumiewania się Zamawiającego z wykonawcami, przekazywania oświadczeń lub dokumentów.</w:t>
      </w:r>
    </w:p>
    <w:p w:rsidR="00316E0A" w:rsidRPr="00540DCB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Komunikacja wykonawców z Zamawiającym, w szczególności składanie ofert, wszelkich oświadczeń, wniosków, zawiadomień oraz informacji odbywa się przy użyciu środków komunikacji elektronicznej, za pośrednictwem kanału elektronicznej komunikacji pod adresem: </w:t>
      </w:r>
      <w:hyperlink r:id="rId13" w:history="1">
        <w:r w:rsidR="00BA7E8E" w:rsidRPr="00BA7E8E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Wykonawca może zwrócić się do Zamawiającego o wyjaśnienie treści SWZ za pośrednictwem udostępnionego kanału. Wyjaśnienia treści SWZ oraz jej ewentualne zmiany będą dokonywane zgodnie z art. 135 i 136 ustawy. Treść pytań (bez ujawnienia źródła zapytania) wraz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z wyjaśnieniami, bądź informacje o dokonaniu zmiany SWZ, Zamawiający przekaże wykonawcom za pośrednictwem strony internetowej prowadzonego postępowania.  </w:t>
      </w:r>
    </w:p>
    <w:p w:rsidR="00316E0A" w:rsidRPr="00540DCB" w:rsidRDefault="00316E0A" w:rsidP="00316E0A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Zmiany i wyjaśnienia treści SWZ oraz inne dokumenty zamówienia bezpośrednio związane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z postępowaniem o udzielenie zamówienia b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ą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udost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pniane na stronie internetowej: </w:t>
      </w:r>
      <w:hyperlink r:id="rId14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Zamawiający może komunikować się z Wykonawcami za pomocą poczty elektronicznej.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Oferta musi być złożona w sposób określony w pkt. 11 SWZ. Nie dopuszcza się składania ofert w formie pisemnej oraz przekazania na nośniku danych (np. płycie CD, </w:t>
      </w:r>
      <w:proofErr w:type="spellStart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pendrivie</w:t>
      </w:r>
      <w:proofErr w:type="spellEnd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Ofertę należy złożyć w oryginale.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Wadium.</w:t>
      </w:r>
    </w:p>
    <w:p w:rsidR="00316E0A" w:rsidRPr="00316E0A" w:rsidRDefault="00316E0A" w:rsidP="00316E0A">
      <w:pPr>
        <w:spacing w:after="0" w:line="240" w:lineRule="auto"/>
        <w:ind w:left="952" w:hanging="5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nie wymaga wniesienia wadium w niniejszym postępowaniu.</w:t>
      </w:r>
    </w:p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            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9. 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Termin związania ofertą. 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Wykonawca jest związany ofertą od dnia upływu terminu składania ofert do dnia </w:t>
      </w:r>
      <w:r w:rsidR="00540DCB" w:rsidRPr="00ED0113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18</w:t>
      </w:r>
      <w:r w:rsidRPr="00ED0113">
        <w:rPr>
          <w:rFonts w:ascii="Garamond" w:eastAsia="Times New Roman" w:hAnsi="Garamond" w:cs="Times New Roman"/>
          <w:b/>
          <w:bCs/>
          <w:strike/>
          <w:color w:val="FF0000"/>
          <w:lang w:eastAsia="pl-PL"/>
        </w:rPr>
        <w:t>.01.2022 r.</w:t>
      </w:r>
      <w:r w:rsidR="00ED0113" w:rsidRPr="00ED0113">
        <w:rPr>
          <w:rFonts w:ascii="Garamond" w:eastAsia="Times New Roman" w:hAnsi="Garamond" w:cs="Times New Roman"/>
          <w:b/>
          <w:bCs/>
          <w:color w:val="FF0000"/>
          <w:lang w:eastAsia="pl-PL"/>
        </w:rPr>
        <w:t xml:space="preserve"> 06.02.2022 r.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przypadku, gdy wybór najkorzystniejszej oferty nie nastąpi przed upływem terminu związania ofertą określonego w SWZ, Zamawiający przed upływem terminu związania ofertą zwróci się do Wykonawców o wyrażenie zgody na przedłużenie tego terminu o wskazany okres, nie dłuższy niż 60 dni.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Przedłużenie terminu związania ofertą o którym mowa w pkt. 9.2 wymaga złożenia przez Wykonawcę oświadczenia o wyrażeniu zgody na przedłużenie terminu związania ofertą.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10. 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przygotowania oferty oraz dokumentów składanych wraz z ofertą.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 xml:space="preserve">Ofertę oraz oświadczenia należy sporządzić w języku polskim, w formie elektronicznej (sposób składania oferty został opisany w pkt. 11 SWZ). 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oferty przekazywanej w postaci elektronicznej należy dołączyć następujące dokumenty w postaci elektronicznej, opatrzonej przez Wykonawcę kwalifikowanym podpisem elektronicznym pod rygorem nieważności: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formularz oferty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, sporządzony według wzoru stanowiącego załącznik nr 1 do SWZ. (Formularz winien zawierać wszystkie ewentualne zmiany wprowadzone w czasie trwania postępowania).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opis przedmiotu zamówienia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sporządzony według wzoru stanowiącego załącznik nr 1a do SWZ.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Prosimy również o dołączenie do oferty wypełnionego dokumentu w formie edytowalnej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(Opis przedmiotu zamówienia winien zawierać wszystkie ewentualne zmiany wprowadzone w czasie trwania postępowania).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Dokumenty określone w punkcie 10.2.1-10.2.2 SWZ stanowią ofertę, w związku z tym nie będą podlegały procedurze uzupełnienia, określonej w art. 128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Przedmiotowe środki dowodowe potwierdzające, że oferowane dostawy </w:t>
      </w: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spełniają wymagania Zamawiającego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>: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Materiały firmowe – np. foldery, katalogi, karty charakterystyki, instrukcja lub/i wyciąg z instrukcji, dokumentacja techniczna, świadectwa rejestracji, oświadczenia producenta potwierdzające,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że oferowany sprzęt jest zgodny z opisem przedmiotu zamówienia oraz potwierdzające wyszczególnione w opisie przedmiotu zamówienia parametry – zgodnie z kolumną opisu „Lokalizacja w materiałach firmowych potwierdzenia parametru”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* (Zamawiający nie wymaga przedłożenia niniejszych materiałów w zakresie parametrów opisu, względem których w kolumnie „Lokalizacja w materiałach firmowych potwierdzenia parametru” Zamawiający wskazał „Nie dotyczy” – w pozostałym zakresie wymóg pkt. 10.2.3.1 SWZ jest obligatoryjny).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prosi o zaznaczenie w złożonych materiałach firmowych, których części i pozycji (wynikających z załącznika do SWZ) przedstawiony materiał dotyczy.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Certyfikat lub deklaracja zgodności CE dla oferowanych urządzeń/wyrobów</w:t>
      </w:r>
      <w:r w:rsidR="00CE5DDD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="00CE5DDD" w:rsidRPr="00CE5DDD">
        <w:rPr>
          <w:rFonts w:ascii="Garamond" w:eastAsia="Times New Roman" w:hAnsi="Garamond" w:cs="Times New Roman"/>
          <w:color w:val="FF0000"/>
          <w:lang w:eastAsia="pl-PL"/>
        </w:rPr>
        <w:t>(nie dotyczy sprzętu określonego w części 3 w pkt. 14 opisu przedmiotu zamówienia – zał. nr 1a do SWZ).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1701"/>
          <w:tab w:val="left" w:pos="2552"/>
        </w:tabs>
        <w:spacing w:after="0" w:line="240" w:lineRule="auto"/>
        <w:ind w:left="1701" w:right="-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Zamawiający przewiduje możliwość uzupełnienia przedmiotowych środków dowodowych wymienionych w pkt. 10.2.3, zgodnie z art. 107 ust. 2 ustawy.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Jeżeli Wykonawca nie złoży przedmiotowych środków dowodowych lub złożone przedmiotowe środki dowodowe będą niekompletne, Zamawiający wezwie do ich złożenia lub uzupełnienia w wyznaczonym terminie. Zamawiający nie wezwie do ich złożenia lub uzupełnienia, jeżeli przedmiotowe środki dowodowe służą potwierdzaniu zgodności z cechami lub kryteriami określonymi w opisie kryteriów oceny ofert. Zamawiający może żądać od Wykonawców wyjaśnień dotyczących treści przedmiotowych środków dowodowych.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Pełnomocnictwo lub inny dokument potwierdzający umocowanie do reprezentowania wykonawcy, w postaci elektronicznej opatrzonej przez Wykonawcę kwalifikowanym podpisem elektronicznym pod rygorem nieważności,</w:t>
      </w:r>
      <w:r w:rsidRPr="00316E0A" w:rsidDel="008A2361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lub jako cyfrowe odwzorowanie dokumentu opatrzone kwalifikowanym podpisem elektronicznym: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10.2.3.1. dla osoby/osób podpisującej/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cych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ofertę do podejmowania zobowiązań w imieniu wykonawcy składającego ofertę, gdy prawo do podpisania oferty nie wynika z odpisu z właściwego rejestru, który Zamawiający może uzyskać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za pomocą bezpłatnych i ogólnodostępnych baz danych, w szczególności rejestrów publicznych w rozumieniu ustawy z dnia 17 lutego 2005 roku o informatyzacji działalności podmiotów realizujących zadania publiczne.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10.2.3.2.  dla ustanowionego pełnomocnika, do reprezentowania w postępowaniu albo do reprezentowania w postępowaniu i zawarcia umowy – dotyczy wykonawców wspólnie ubiegających się o udzielenie zamówienia.</w:t>
      </w: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843" w:hanging="85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Dokumenty, z których wynika prawo do podpisania oferty - w przypadku, gdy prawo do podpisania oferty nie wynika z odpisu z właściwego rejestru, który Zamawiający może uzyskać za pomocą bezpłatnych 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Poza wymienionymi powyżej dokumentami wskazane jest złożenie wraz z ofertą potwierdzenia wniesienia wadium, w przypadku wpłaty przelewem (o ile dotyczy).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Zaleca się nazwanie poszczególnych dokumentów w sposób umożliwiający ich identyfikację: np. formularz oferty, arkusz cenowy, JEDZ itp.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Przedstawienie propozycji rozwiązań alternatywnych lub wariantowych nie będzie brane pod uwagę i spowoduje odrzucenie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ponoszą wszelkie koszty związane z przygotowaniem i złożeniem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Każdy wykonawca może złożyć tylko jedną ofertę.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Zamawiający nie ujawni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informacji stanowiących tajemnicę przedsiębiorstwa w rozumieniu przepisów ustawy z dnia 16 kwietnia 1993 r. o zwalczaniu nieuczciwej konkurencji, jeżeli wykonawca, wraz z przekazaniem takich informacji, zastrzeże, że nie mogą one być udostępniane oraz wykaże, że zastrzeżone informacje stanowią tajemnicę przedsiębiorstwa.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przypadku gdy wykonawca nie zabezpieczy odpowiednio poufności informacji, Zamawiający nie bierze odpowiedzialności za ewentualne ujawnienie ich treści. Wykonawca nie może zastrzec informacji, o których mowa w art. 222 ust. 5 ustawy.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złożenia oferty, której wybór prowadziłby do powstania u Zamawiającego obowiązku podatkowego zgodnie z ustawą z dnia 11 marca 2004 r. o podatku od towarów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i usług, Zamawiający, dla celów zastosowania kryterium ceny lub kosztu, dolicza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do przedstawionej w tej ofercie ceny kwotę podatku od towarów i usług, którą miałby obowiązek rozliczyć. Wykonawca, składając ofertę, winien poinformować Zamawiającego, czy wybór oferty będzie prowadzić do powstania u Zamawiającego obowiązku podatkowego, wskazując nazwę (rodzaj) towaru lub usługi, których dostawa lub świadczenie będzie prowadzić do jego powstania, ich wartość bez kwoty podatku, oraz stawkę podatku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od towarów i usług, która zgodnie z wiedzą wykonawcy, będzie miała zastosowanie.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związku z tym, w takim przypadku cena podana przez takiego wykonawcę w ofercie jako „cena brutto” nie może zawierać podatku VAT, który Zamawiający będzie miał obowiązek rozliczyć. Zamawiający jest zarejestrowany dla potrzeb transakcji wewnątrzwspólnotowyc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t xml:space="preserve">h 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br/>
        <w:t>i posiada NIP PL6112389667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316E0A" w:rsidRPr="00316E0A" w:rsidRDefault="00316E0A" w:rsidP="00316E0A">
      <w:p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Informacje o wymaganiach technicznych i organizacyjnych sporządzania, wysyłania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br/>
        <w:t>i odbierania plików w komunikacji elektronicznej.</w:t>
      </w:r>
    </w:p>
    <w:p w:rsidR="00BA7E8E" w:rsidRPr="00BA7E8E" w:rsidRDefault="00316E0A" w:rsidP="00BA7E8E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Wykonawca zamierzający złożyć ofertę zobowiązany jest założyć konto na platformie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do komunikacji elektronicznej EPZ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316E0A" w:rsidRDefault="00341245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hyperlink r:id="rId15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Oznacza konieczność akceptacji regulaminu platformy i zapoznania się z instrukcjami korzystania z konta na platformie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BA7E8E" w:rsidRPr="00BA7E8E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Aktualne wymagania techniczne związane z korzystaniem z Platformy EPZ – wskazane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są na stronie internetowej logowania i rejestracji  Platformy -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540DCB" w:rsidRDefault="00341245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FF0000"/>
          <w:lang w:eastAsia="pl-PL"/>
        </w:rPr>
      </w:pPr>
      <w:hyperlink r:id="rId16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Sposób  przesyłania plików (oferty, oświadczeń, dokumentów) za pośrednictwem Platformy EPZ oraz potwierdzenia złożenia plików zostały opisane w Instrukcjach (filmach) użytkowników Platformy EPZ.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Informacje, oświadczenia lub dokumenty, inne niż określone w pkt. 11.3. SWZ przekazywane w postępowaniu o udzielenie zamówienia, sporządza się w postaci elektronicznej,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w formatach danych określonych w przepisach wydanych na podstawie art. 18 ustawy z dnia 17 lutego 2005 r. o 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Zamawiający nie przewiduje obsługi innych formatów plików niż te wskazane w pkt. 11.3.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11.4. SWZ. W przypadku gdy plik sporządzony w jednym z formatów opisanych w pkt. 11.3. i 11.4. SWZ nie jest wskazany na liście plików obsługiwanych przez Platformę, wystarczy go zapisać w folderze archiwum zip.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je w wydzielonym i odpowiednio oznaczonym pliku korzystając na Platformie EPZ z pola do przekazywania plików oznaczonego jako  Tajemnica Przedsiębiorstwa. W przypadku gdy wykonawca nie wyodrębni i nie zabezpieczy w ten sposób poufności informacji, Zamawiający nie bierze odpowiedzialności za ewentualne ujawnienie ich treści razem z informacjami jawnymi.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przedmiotowe środki dowodowe oraz inne dokumenty lub oświadczenia, sporządzone w języku obcym przekazuje się wraz z tłumaczeniem na język polski.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zobowiązanie podmiotu udostępniającego zasoby, przedmiotowe środki dowodowe, niewystawione przez upoważnione podmioty, oraz pełnomocnictwo przekazuje się w postaci elektronicznej i opatruje się kwalifikowanym podpisem elektronicznym.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elektronicznym. Poświadczenia zgodności cyfrowego odwzorowania z dokumentem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postaci papierowej, może dokonać również notariusz.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przekazywania w postępowaniu dokumentu elektronicznego w formacie poddającym dane kompresji, opatrzenie pliku zawierającego skompresowane dokumenty kwalifikowanym podpisem elektronicznym jest równoznaczne z opatrzeniem wszystkich dokumentów zawartych w tym pliku kwalifikowanym podpisem elektronicznym.</w:t>
      </w:r>
    </w:p>
    <w:p w:rsidR="00316E0A" w:rsidRPr="00540DCB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Zadawanie pytań przez Wykonawców odbywa się </w:t>
      </w:r>
      <w:r w:rsidR="00BA7E8E">
        <w:rPr>
          <w:rFonts w:ascii="Garamond" w:eastAsia="Times New Roman" w:hAnsi="Garamond" w:cs="Arial"/>
          <w:color w:val="000000"/>
          <w:lang w:eastAsia="pl-PL"/>
        </w:rPr>
        <w:t>poprzez przycisk „Wyślij wiadomość do zamawiającego</w:t>
      </w:r>
      <w:r w:rsidRPr="00316E0A">
        <w:rPr>
          <w:rFonts w:ascii="Garamond" w:eastAsia="Times New Roman" w:hAnsi="Garamond" w:cs="Arial"/>
          <w:color w:val="000000"/>
          <w:lang w:eastAsia="pl-PL"/>
        </w:rPr>
        <w:t>”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na platformie </w:t>
      </w:r>
      <w:hyperlink r:id="rId17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.  Odpowiedzi na pytania Zamawiający zamieszcza na stronie internetowej prowadzonego postępowania </w:t>
      </w:r>
      <w:hyperlink r:id="rId18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Style w:val="Hipercze"/>
          <w:rFonts w:ascii="Garamond" w:eastAsia="Times New Roman" w:hAnsi="Garamond" w:cs="Times New Roman"/>
          <w:b/>
          <w:bCs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Za datę wpływu ofert, oświadczeń, wniosków, zawiadomień oraz informacji przyjmuje się datę wygenerowaną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Terminem przekazania informacji do wykonawcy przez Zamawiającego jest data wygenerowana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Po terminie składnia ofert wykonawca znajdzie kierowane do niego wezwania lub informacje w zakładce „Do Wykonawcy”.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Odpowiedzi na wezwania Zamawiającego są składane przez Wykonawcę w oknie Platformy EPZ przeznaczonym do składania plików do Zamawiającego w podziale na pliki jawne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te z zastrzeżoną tajemnicą przedsiębiorstwa.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Dopuszczalne formaty przesyłanych danych tj.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plików o wielkości do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20 MB każdy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formatach: pdf,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xls,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xlsx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Plik załączony przez Wykonawcę w Platformie EPZ, nie jest widoczny ani identyfikowalny dla Zamawiającego do czasu upływu terminu składania ofert.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lastRenderedPageBreak/>
        <w:t>Oferta i oświadczenia wraz z nią składane mogą być wycofane i złożone przez Wykonawcę ponownie przed upływem wyznaczonego terminu składania ofert. Po upływie terminu składania ofert nie będzie możliwe wycofanie lub zmiana złożonej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ma obowiązek śledzić komunikaty generowane przez Platformę EPZ. Podstawowym źródłem informacji jest platforma EPZ, wszelkie fakultatywne powiadomienia za pomocą poczty e-mail obciążone są ryzykiem błędów związanych z działaniem serwerów pocztowych na których działanie Zamawiający nie ma wpływu.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Rekomendacje Zamawiającego: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Zaleca się sporządzenie oferty i oświadczenia w formacie PDF i podpisanie podpisem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PAdES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Nie należy składać JEDZ z systemu ESPD 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nie może  samodzielnie  szyfrować przekazywanych plików.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Nie zaleca się stosowania podpisu zewnętrznego XADES (2 pliki do przekazania).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 elektroniczne w postępowaniu spełniają łącznie następujące wymagania: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są utrwalone w sposób umożliwiający ich wielokrotne odczytanie, zapisanie i powielenie, a także przekazanie przy użyciu środków komunikacji elektronicznej lub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na informatycznym nośniku danych;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elektronicznej, w szczególności przez wyświetlenie tej treści na monitorze ekranowym;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papierowej, w szczególności za pomocą wydruku; </w:t>
      </w:r>
    </w:p>
    <w:p w:rsidR="00316E0A" w:rsidRPr="00316E0A" w:rsidRDefault="00316E0A" w:rsidP="00316E0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zawierają dane w układzie niepozostawiającym wątpliwości co do treści i kontekstu zapisanych informacji.</w:t>
      </w:r>
    </w:p>
    <w:p w:rsidR="00316E0A" w:rsidRPr="00316E0A" w:rsidRDefault="00316E0A" w:rsidP="00316E0A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0"/>
        </w:numPr>
        <w:tabs>
          <w:tab w:val="left" w:pos="4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Termin oraz sposób składania i otwarcia ofert.</w:t>
      </w:r>
    </w:p>
    <w:p w:rsidR="00316E0A" w:rsidRPr="00316E0A" w:rsidRDefault="00316E0A" w:rsidP="00316E0A">
      <w:pPr>
        <w:numPr>
          <w:ilvl w:val="1"/>
          <w:numId w:val="10"/>
        </w:numPr>
        <w:tabs>
          <w:tab w:val="left" w:pos="420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Oferty należy składać za pośrednictwem kanału elektronicznej komunikacji pod adresem: </w:t>
      </w:r>
      <w:hyperlink r:id="rId19" w:history="1">
        <w:r w:rsidR="00BA7E8E" w:rsidRPr="00195176">
          <w:rPr>
            <w:rStyle w:val="Hipercze"/>
            <w:rFonts w:ascii="Garamond" w:eastAsia="Times New Roman" w:hAnsi="Garamond" w:cs="Times New Roman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sposób określony w pkt. 11, nie później niż do dnia </w:t>
      </w:r>
      <w:r w:rsidR="006142C6" w:rsidRPr="00ED0113">
        <w:rPr>
          <w:rFonts w:ascii="Garamond" w:eastAsia="Times New Roman" w:hAnsi="Garamond" w:cs="Times New Roman"/>
          <w:b/>
          <w:strike/>
          <w:color w:val="FF0000"/>
          <w:lang w:eastAsia="pl-PL"/>
        </w:rPr>
        <w:t>02.11.2021 r. do godz. 9</w:t>
      </w:r>
      <w:r w:rsidRPr="00ED0113">
        <w:rPr>
          <w:rFonts w:ascii="Garamond" w:eastAsia="Times New Roman" w:hAnsi="Garamond" w:cs="Times New Roman"/>
          <w:b/>
          <w:strike/>
          <w:color w:val="FF0000"/>
          <w:lang w:eastAsia="pl-PL"/>
        </w:rPr>
        <w:t>:00.</w:t>
      </w:r>
      <w:r w:rsidR="00ED0113" w:rsidRPr="00ED0113">
        <w:rPr>
          <w:rFonts w:ascii="Garamond" w:eastAsia="Times New Roman" w:hAnsi="Garamond" w:cs="Times New Roman"/>
          <w:b/>
          <w:color w:val="FF0000"/>
          <w:lang w:eastAsia="pl-PL"/>
        </w:rPr>
        <w:t xml:space="preserve"> 08.11.2021 do godz. 9:00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bCs/>
          <w:color w:val="000000"/>
          <w:lang w:eastAsia="pl-PL"/>
        </w:rPr>
        <w:t xml:space="preserve">Za datę i godzinę złożenia oferty rozumie się datę i godzinę jej wpływu na Platformę EPZ,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br/>
        <w:t xml:space="preserve">tj. datę i godzinę ujawnioną w poświadczeniu złożenia pliku, zgodnie z czasem serwera Platformy EPZ. </w:t>
      </w:r>
      <w:r w:rsidRPr="00316E0A">
        <w:rPr>
          <w:rFonts w:ascii="Garamond" w:eastAsia="Times New Roman" w:hAnsi="Garamond" w:cs="Arial"/>
          <w:color w:val="000000"/>
          <w:lang w:eastAsia="pl-PL"/>
        </w:rPr>
        <w:t>W przypadku otrzymania przez Zamawiającego oferty po terminie podanym w pkt. 12.1 SWZ, oferta zostanie odrzucona.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Otwarcie ofert rozpocznie się  w dniu </w:t>
      </w:r>
      <w:r w:rsidR="006142C6" w:rsidRPr="00ED0113">
        <w:rPr>
          <w:rFonts w:ascii="Garamond" w:eastAsia="Times New Roman" w:hAnsi="Garamond" w:cs="Arial"/>
          <w:b/>
          <w:strike/>
          <w:color w:val="FF0000"/>
          <w:lang w:eastAsia="pl-PL"/>
        </w:rPr>
        <w:t>02.11</w:t>
      </w:r>
      <w:r w:rsidRPr="00ED0113">
        <w:rPr>
          <w:rFonts w:ascii="Garamond" w:eastAsia="Times New Roman" w:hAnsi="Garamond" w:cs="Arial"/>
          <w:b/>
          <w:strike/>
          <w:color w:val="FF0000"/>
          <w:lang w:eastAsia="pl-PL"/>
        </w:rPr>
        <w:t>.2021 r.</w:t>
      </w:r>
      <w:r w:rsidR="00ED0113" w:rsidRPr="00ED0113">
        <w:rPr>
          <w:rFonts w:ascii="Garamond" w:eastAsia="Times New Roman" w:hAnsi="Garamond" w:cs="Arial"/>
          <w:b/>
          <w:color w:val="FF0000"/>
          <w:lang w:eastAsia="pl-PL"/>
        </w:rPr>
        <w:t xml:space="preserve"> 08.11.2021 r.</w:t>
      </w:r>
      <w:r w:rsidRPr="00ED0113">
        <w:rPr>
          <w:rFonts w:ascii="Garamond" w:eastAsia="Times New Roman" w:hAnsi="Garamond" w:cs="Arial"/>
          <w:b/>
          <w:color w:val="FF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>o godzinie</w:t>
      </w:r>
      <w:r w:rsidR="006142C6">
        <w:rPr>
          <w:rFonts w:ascii="Garamond" w:eastAsia="Times New Roman" w:hAnsi="Garamond" w:cs="Arial"/>
          <w:b/>
          <w:color w:val="000000"/>
          <w:lang w:eastAsia="pl-PL"/>
        </w:rPr>
        <w:t xml:space="preserve"> 9</w:t>
      </w:r>
      <w:r w:rsidRPr="00316E0A">
        <w:rPr>
          <w:rFonts w:ascii="Garamond" w:eastAsia="Times New Roman" w:hAnsi="Garamond" w:cs="Arial"/>
          <w:b/>
          <w:color w:val="000000"/>
          <w:lang w:eastAsia="pl-PL"/>
        </w:rPr>
        <w:t>:</w:t>
      </w:r>
      <w:r w:rsidR="00BA7E8E">
        <w:rPr>
          <w:rFonts w:ascii="Garamond" w:eastAsia="Times New Roman" w:hAnsi="Garamond" w:cs="Arial"/>
          <w:b/>
          <w:color w:val="000000"/>
          <w:lang w:eastAsia="pl-PL"/>
        </w:rPr>
        <w:t>1</w:t>
      </w:r>
      <w:r w:rsidR="00AA49B2">
        <w:rPr>
          <w:rFonts w:ascii="Garamond" w:eastAsia="Times New Roman" w:hAnsi="Garamond" w:cs="Arial"/>
          <w:b/>
          <w:color w:val="000000"/>
          <w:lang w:eastAsia="pl-PL"/>
        </w:rPr>
        <w:t>5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na komputerze Zamawiającego po pobraniu udostępnionych przez Platformę EPZ plików złożonych przez Wykonawców.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Otwarcie ofert nie jest publiczne.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Niezwłocznie po otwarciu ofert Zamawiający zamieści na stronie internetowej informacje o: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nazwach albo imionach i nazwiskach oraz siedzibach lub miejscach prowadzonej działalności gospodarczej, albo miejscach zamieszkania wykonawców, których oferty zostały otwarte;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cenach lub kosztach zawartych w ofertach.</w:t>
      </w:r>
    </w:p>
    <w:p w:rsidR="00316E0A" w:rsidRPr="00316E0A" w:rsidRDefault="00316E0A" w:rsidP="00316E0A">
      <w:pPr>
        <w:spacing w:after="0" w:line="240" w:lineRule="auto"/>
        <w:ind w:left="95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 te zostaną zamieszczone na stronie internetowej prowadzonego postępowania </w:t>
      </w:r>
      <w:hyperlink r:id="rId20" w:history="1">
        <w:r w:rsidR="00AA49B2" w:rsidRPr="00195176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 miejscu, w którym zostało zamieszczone ogłoszenie o przedmiotowym postępowaniu.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obliczenia ceny.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podana w ofercie musi uwzględniać wszystkie koszty i podatek VAT (z zastrzeżeniem przypadku, o którym mowa w punkcie 10.9 SWZ).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Wszystkie wartości cenowe należy podać w złotych (z zaokrągleniem do dwóch miejsc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po przecinku).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Formularzu oferty należy podać cenę brutto oferty (z podatkiem VAT). W przypadku,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Sposób obliczenia wartości cenowych w opisie przedmiotu zamówienia – Tabela wyceny (załącznik nr 1a do SWZ):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brutto oferty składa się z następującej sumy: A+B+C (tj. pozycje tabeli wyceny):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A: cena brutto za cały sprzęt,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B: cena brutto dostawy, instalacji i uruchomienia całego sprzętu,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C: cena brutto wszystkich szkoleń.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arkuszu cenowym (zał. nr 1a) należy podać cenę brutto oferty (z podatkiem VAT). W przypadku, 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Jeżeli cena nie zostanie obliczona w powyższy sposób zamawiający przyjmie, że prawidłowo podano: cenę brutto za cały sprzęt, cenę brutto dostawy instalacji i uruchomienia całego sprzętu, cenę brutto wszystkich szkoleń, i poprawi pozostałe wartości cenowe zgodnie ze sposobem obliczenia ceny.</w:t>
      </w:r>
    </w:p>
    <w:p w:rsidR="00316E0A" w:rsidRPr="00316E0A" w:rsidRDefault="00316E0A" w:rsidP="00316E0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3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Kryteria oceny ofert, ich znaczenie oraz sposób oceny ofert.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05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Oferty w poszczególnych częściach będą oceniane według następujących kryteriów:</w:t>
      </w:r>
    </w:p>
    <w:p w:rsidR="00316E0A" w:rsidRPr="00316E0A" w:rsidRDefault="00316E0A" w:rsidP="00316E0A">
      <w:pPr>
        <w:tabs>
          <w:tab w:val="num" w:pos="2844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16"/>
          <w:szCs w:val="16"/>
          <w:lang w:eastAsia="pl-PL"/>
        </w:rPr>
      </w:pPr>
    </w:p>
    <w:tbl>
      <w:tblPr>
        <w:tblW w:w="850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117"/>
        <w:gridCol w:w="831"/>
      </w:tblGrid>
      <w:tr w:rsidR="00316E0A" w:rsidRPr="00316E0A" w:rsidTr="00185C19">
        <w:trPr>
          <w:trHeight w:val="7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Nazwa kryterium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Sposób oceny ofert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Waga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Cena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Liczba punktów = ( A (min)/A (i) ) * 60 gdzie: 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(min) - najniższa cena spośród wszystkich ofert ocenianych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(i) -  cena podana w ofercie ocenianej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60%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Parametry techniczne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Liczba punktów = (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/B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*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3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0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liczba punktów otrzymanych przez ocenianą ofertę za parametry techniczne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a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najwyższa spośród wszystkich ocenianych ofert liczba punktów otrzymanych za parametry techniczne</w:t>
            </w:r>
            <w:r w:rsidRPr="00316E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1a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30%</w:t>
            </w:r>
          </w:p>
        </w:tc>
      </w:tr>
      <w:tr w:rsidR="00316E0A" w:rsidRPr="00316E0A" w:rsidTr="00185C19">
        <w:trPr>
          <w:trHeight w:val="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Warunki gwarancji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Liczba punktów = ( C(i)/C(max) ) * 10 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C(i) - liczba punktów otrzymanych przez ocenianą ofertę za warunki gwarancji (przyznana w oparciu o sposób oceny podany w załączniku nr 1a do specyfikacji)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- C(max) - najwyższa spośród wszystkich ofert liczba punktów otrzymanych za warunki gwarancji (przyznana w oparciu o sposób oceny podany w załączniku nr 1a do SWZ)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10%</w:t>
            </w:r>
          </w:p>
        </w:tc>
      </w:tr>
    </w:tbl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 najkorzystniejszą w danej części zostanie uznana oferta, która uzyska największą liczbę punktów, z zastrzeżeniem punktu 10.9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15. 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formalnościach, jakie powinny zostać dopełnione po wyborze oferty w celu zawarcia umowy w sprawie zamówienia publicznego.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80" w:hanging="62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Zamawiający poinformuje niezwłocznie wszystkich wykonawców o: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wyborze najkorzystniejszej oferty,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wykonawcach, których oferty zostały odrzucone,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15.1.3. 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unieważnieniu postępowania,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podając uzasadnienie faktyczne i prawne.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Informacje, o których mowa powyżej zostaną zamieszczone na stronie internetowej prowadzonego postępowania.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prześle umowę wykonawcy, którego oferta została wybrana albo zaprosi go do swojej siedziby w celu podpisania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 przypadku wyboru oferty złożonej przez wykonawców wspólnie ubiegających się o udzielenie zamówienia publicznego Zamawiający może żądać - przed zawarciem umowy - umowy regulującej współpracę tych wykonawców.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16.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Zabezpieczenie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niniejszym postępowaniu nie jest wymagane wniesienie zabezpieczenia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Projektowane postanowienia umowy w sprawie zamówienia publicznego, które zostaną wprowadzone do umowy w sprawie zamówienia publicznego.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Wzór umowy stanowi załącznik nr 3 do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Pouczenie o środkach ochrony prawnej przysługujących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przysługują przewidziane w ustawie środki ochrony prawnej w postaci odwołania oraz skargi do sądu. Szczegółowe zasady wnoszenia środków ochrony prawnej oraz postępowania toczonego wskutek ich wniesienia określa Dział IX ustawy.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Środki ochrony prawnej wobec ogłoszenia o zamówieniu i SWZ przysługują również organizacjom wpisanym na listę, o której mowa w art. 469 pkt 15 ustawy.</w:t>
      </w: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outlineLvl w:val="0"/>
        <w:rPr>
          <w:rFonts w:ascii="Garamond" w:eastAsia="Times New Roman" w:hAnsi="Garamond" w:cs="Times New Roman"/>
          <w:bCs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Załączniki: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Formularz oferty – zał. nr 1.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Opis przedmiotu zamówienia – zał. nr 1a.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wykonawcy (JEDZ) – zał. nr 2.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Wzór umowy – zał. nr 3.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dot. grupy kapitałowej – zał. nr 4.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Oświadczenie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  aktualności informacji zawartych w JEDZ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zał. nr 5.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left="426" w:hanging="426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Klauzula RODO – zał. nr. 6.</w:t>
      </w:r>
    </w:p>
    <w:p w:rsidR="00316E0A" w:rsidRPr="00316E0A" w:rsidRDefault="00316E0A" w:rsidP="00316E0A">
      <w:pPr>
        <w:tabs>
          <w:tab w:val="left" w:pos="392"/>
          <w:tab w:val="left" w:pos="540"/>
          <w:tab w:val="left" w:pos="720"/>
        </w:tabs>
        <w:spacing w:after="0" w:line="240" w:lineRule="auto"/>
        <w:ind w:left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902F9E" w:rsidRDefault="00341245"/>
    <w:sectPr w:rsidR="00902F9E" w:rsidSect="00316E0A">
      <w:headerReference w:type="default" r:id="rId21"/>
      <w:footerReference w:type="even" r:id="rId22"/>
      <w:footerReference w:type="default" r:id="rId23"/>
      <w:pgSz w:w="11906" w:h="16838"/>
      <w:pgMar w:top="1418" w:right="1418" w:bottom="1418" w:left="1418" w:header="28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245" w:rsidRDefault="00341245" w:rsidP="00316E0A">
      <w:pPr>
        <w:spacing w:after="0" w:line="240" w:lineRule="auto"/>
      </w:pPr>
      <w:r>
        <w:separator/>
      </w:r>
    </w:p>
  </w:endnote>
  <w:endnote w:type="continuationSeparator" w:id="0">
    <w:p w:rsidR="00341245" w:rsidRDefault="00341245" w:rsidP="003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BD65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5037A8" w:rsidRDefault="003412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341245">
    <w:pPr>
      <w:pStyle w:val="Stopka"/>
      <w:framePr w:wrap="around" w:vAnchor="text" w:hAnchor="margin" w:xAlign="right" w:y="1"/>
      <w:rPr>
        <w:rStyle w:val="Numerstrony"/>
      </w:rPr>
    </w:pPr>
  </w:p>
  <w:p w:rsidR="005037A8" w:rsidRDefault="00BD6588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="00316E0A">
      <w:rPr>
        <w:sz w:val="20"/>
      </w:rPr>
      <w:tab/>
    </w:r>
    <w:r w:rsidR="00316E0A">
      <w:rPr>
        <w:sz w:val="20"/>
      </w:rPr>
      <w:tab/>
    </w:r>
    <w:r>
      <w:rPr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540DCB">
      <w:rPr>
        <w:rStyle w:val="Numerstrony"/>
        <w:noProof/>
        <w:sz w:val="20"/>
      </w:rPr>
      <w:t>10</w:t>
    </w:r>
    <w:r>
      <w:rPr>
        <w:rStyle w:val="Numerstrony"/>
        <w:sz w:val="20"/>
      </w:rPr>
      <w:fldChar w:fldCharType="end"/>
    </w:r>
  </w:p>
  <w:p w:rsidR="005037A8" w:rsidRDefault="00341245">
    <w:pPr>
      <w:pStyle w:val="Stopka"/>
      <w:rPr>
        <w:sz w:val="20"/>
      </w:rPr>
    </w:pPr>
  </w:p>
  <w:p w:rsidR="005037A8" w:rsidRDefault="003412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245" w:rsidRDefault="00341245" w:rsidP="00316E0A">
      <w:pPr>
        <w:spacing w:after="0" w:line="240" w:lineRule="auto"/>
      </w:pPr>
      <w:r>
        <w:separator/>
      </w:r>
    </w:p>
  </w:footnote>
  <w:footnote w:type="continuationSeparator" w:id="0">
    <w:p w:rsidR="00341245" w:rsidRDefault="00341245" w:rsidP="0031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F" w:rsidRDefault="00321468" w:rsidP="00321468">
    <w:pPr>
      <w:pStyle w:val="Nagwek"/>
      <w:tabs>
        <w:tab w:val="left" w:pos="3000"/>
      </w:tabs>
      <w:rPr>
        <w:rFonts w:ascii="Garamond" w:hAnsi="Garamond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3279C">
          <wp:simplePos x="0" y="0"/>
          <wp:positionH relativeFrom="column">
            <wp:posOffset>3404870</wp:posOffset>
          </wp:positionH>
          <wp:positionV relativeFrom="paragraph">
            <wp:posOffset>46990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0060DA">
          <wp:simplePos x="0" y="0"/>
          <wp:positionH relativeFrom="column">
            <wp:posOffset>1452245</wp:posOffset>
          </wp:positionH>
          <wp:positionV relativeFrom="paragraph">
            <wp:posOffset>8890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bCs/>
        <w:sz w:val="20"/>
      </w:rPr>
      <w:tab/>
    </w:r>
  </w:p>
  <w:p w:rsidR="00316E0A" w:rsidRPr="00FE07EF" w:rsidRDefault="00316E0A" w:rsidP="00635349">
    <w:pPr>
      <w:pStyle w:val="Nagwek"/>
      <w:jc w:val="center"/>
      <w:rPr>
        <w:rFonts w:ascii="Garamond" w:hAnsi="Garamond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B88"/>
    <w:multiLevelType w:val="multilevel"/>
    <w:tmpl w:val="F24A8DC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6" w:hanging="1800"/>
      </w:pPr>
      <w:rPr>
        <w:rFonts w:hint="default"/>
      </w:rPr>
    </w:lvl>
  </w:abstractNum>
  <w:abstractNum w:abstractNumId="1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0A0A99"/>
    <w:multiLevelType w:val="multilevel"/>
    <w:tmpl w:val="887C6A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E51758"/>
    <w:multiLevelType w:val="multilevel"/>
    <w:tmpl w:val="4DDAFB2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636381"/>
    <w:multiLevelType w:val="hybridMultilevel"/>
    <w:tmpl w:val="BA444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5ED1"/>
    <w:multiLevelType w:val="hybridMultilevel"/>
    <w:tmpl w:val="A25C28A0"/>
    <w:lvl w:ilvl="0" w:tplc="04150017">
      <w:start w:val="1"/>
      <w:numFmt w:val="lowerLetter"/>
      <w:lvlText w:val="%1)"/>
      <w:lvlJc w:val="left"/>
      <w:pPr>
        <w:ind w:left="1700" w:hanging="360"/>
      </w:pPr>
    </w:lvl>
    <w:lvl w:ilvl="1" w:tplc="04150017">
      <w:start w:val="1"/>
      <w:numFmt w:val="lowerLetter"/>
      <w:lvlText w:val="%2)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" w15:restartNumberingAfterBreak="0">
    <w:nsid w:val="46C70E76"/>
    <w:multiLevelType w:val="multilevel"/>
    <w:tmpl w:val="16949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8" w15:restartNumberingAfterBreak="0">
    <w:nsid w:val="5D62475A"/>
    <w:multiLevelType w:val="multilevel"/>
    <w:tmpl w:val="3C1C4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0075FC"/>
    <w:multiLevelType w:val="hybridMultilevel"/>
    <w:tmpl w:val="6B667F1E"/>
    <w:lvl w:ilvl="0" w:tplc="67B063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E0A"/>
    <w:rsid w:val="000538CE"/>
    <w:rsid w:val="000B01C0"/>
    <w:rsid w:val="00211AB4"/>
    <w:rsid w:val="00316E0A"/>
    <w:rsid w:val="00321468"/>
    <w:rsid w:val="00341245"/>
    <w:rsid w:val="003E1BB3"/>
    <w:rsid w:val="00466969"/>
    <w:rsid w:val="00540DCB"/>
    <w:rsid w:val="00575BB1"/>
    <w:rsid w:val="006142C6"/>
    <w:rsid w:val="00AA49B2"/>
    <w:rsid w:val="00BA7E8E"/>
    <w:rsid w:val="00BD6588"/>
    <w:rsid w:val="00BD7624"/>
    <w:rsid w:val="00C32799"/>
    <w:rsid w:val="00CD63F6"/>
    <w:rsid w:val="00CE5DDD"/>
    <w:rsid w:val="00ED0113"/>
    <w:rsid w:val="00F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E731"/>
  <w15:docId w15:val="{93715C6C-6ADA-44E4-B222-8B6658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16E0A"/>
  </w:style>
  <w:style w:type="character" w:styleId="Hipercze">
    <w:name w:val="Hyperlink"/>
    <w:basedOn w:val="Domylnaczcionkaakapitu"/>
    <w:uiPriority w:val="99"/>
    <w:unhideWhenUsed/>
    <w:rsid w:val="00316E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zer_med" TargetMode="External"/><Relationship Id="rId13" Type="http://schemas.openxmlformats.org/officeDocument/2006/relationships/hyperlink" Target="https://platformazakupowa.pl/pn/izer_med" TargetMode="External"/><Relationship Id="rId18" Type="http://schemas.openxmlformats.org/officeDocument/2006/relationships/hyperlink" Target="http://www.icpich.izer-med.com.pl/zamowieniapubliczn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cpich.izer-med.com.pl/zamowieniapubliczne.html" TargetMode="External"/><Relationship Id="rId12" Type="http://schemas.openxmlformats.org/officeDocument/2006/relationships/hyperlink" Target="https://platformazakupowa.pl/pn/izer_med" TargetMode="External"/><Relationship Id="rId17" Type="http://schemas.openxmlformats.org/officeDocument/2006/relationships/hyperlink" Target="https://platformazakupowa.pl/pn/izer_m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izer_med" TargetMode="External"/><Relationship Id="rId20" Type="http://schemas.openxmlformats.org/officeDocument/2006/relationships/hyperlink" Target="http://www.icpich.izer-med.com.pl/zamowieniapubliczn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izer_me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izer_me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izer_med" TargetMode="External"/><Relationship Id="rId19" Type="http://schemas.openxmlformats.org/officeDocument/2006/relationships/hyperlink" Target="https://platformazakupowa.pl/pn/izer_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egowosc@izer-med.com.pl" TargetMode="External"/><Relationship Id="rId14" Type="http://schemas.openxmlformats.org/officeDocument/2006/relationships/hyperlink" Target="http://www.icpich.izer-med.com.pl/zamowieniapubliczne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5038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Andrzej</cp:lastModifiedBy>
  <cp:revision>2</cp:revision>
  <dcterms:created xsi:type="dcterms:W3CDTF">2021-11-03T18:50:00Z</dcterms:created>
  <dcterms:modified xsi:type="dcterms:W3CDTF">2021-11-03T18:50:00Z</dcterms:modified>
</cp:coreProperties>
</file>