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C92B287"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3366E1">
        <w:rPr>
          <w:sz w:val="20"/>
          <w:szCs w:val="20"/>
        </w:rPr>
        <w:t>21</w:t>
      </w:r>
      <w:r>
        <w:rPr>
          <w:sz w:val="20"/>
          <w:szCs w:val="20"/>
        </w:rPr>
        <w:t xml:space="preserve"> r. poz. </w:t>
      </w:r>
      <w:r w:rsidR="003366E1">
        <w:rPr>
          <w:sz w:val="20"/>
          <w:szCs w:val="20"/>
        </w:rPr>
        <w:t>1129</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464B31E8" w:rsidR="00FE1011" w:rsidRDefault="001C2F34" w:rsidP="00FF07E6">
      <w:pPr>
        <w:jc w:val="center"/>
        <w:rPr>
          <w:b/>
          <w:i/>
          <w:sz w:val="32"/>
          <w:szCs w:val="32"/>
          <w:lang w:val="pl-PL"/>
        </w:rPr>
      </w:pPr>
      <w:r w:rsidRPr="001C2F34">
        <w:rPr>
          <w:b/>
          <w:sz w:val="32"/>
          <w:szCs w:val="32"/>
        </w:rPr>
        <w:t>“</w:t>
      </w:r>
      <w:bookmarkStart w:id="0" w:name="_Hlk87352307"/>
      <w:bookmarkStart w:id="1" w:name="_Hlk87358751"/>
      <w:bookmarkStart w:id="2" w:name="_Hlk76644546"/>
      <w:r w:rsidR="009414F2" w:rsidRPr="009414F2">
        <w:rPr>
          <w:b/>
          <w:sz w:val="32"/>
          <w:szCs w:val="32"/>
        </w:rPr>
        <w:t>Odbiór, transport i zagospodarowanie ustabilizowanych komunalnych osadów ściekowych z Gminnej Oczyszczalni Ścieków, położonej na terenie Gminy Przodkowo w okresie od 01.01.2022 r. do 31.12.2022 r</w:t>
      </w:r>
      <w:bookmarkEnd w:id="0"/>
      <w:r w:rsidR="009414F2" w:rsidRPr="009414F2">
        <w:rPr>
          <w:b/>
          <w:sz w:val="32"/>
          <w:szCs w:val="32"/>
        </w:rPr>
        <w:t>.</w:t>
      </w:r>
      <w:bookmarkEnd w:id="1"/>
      <w:r w:rsidR="004D13A7">
        <w:rPr>
          <w:b/>
          <w:i/>
          <w:sz w:val="32"/>
          <w:szCs w:val="32"/>
          <w:lang w:val="pl-PL"/>
        </w:rPr>
        <w:t>”</w:t>
      </w:r>
    </w:p>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2"/>
    <w:p w14:paraId="00000011" w14:textId="6ED053DB" w:rsidR="00FE1011" w:rsidRPr="001C2F34" w:rsidRDefault="001C2F34">
      <w:pPr>
        <w:jc w:val="center"/>
        <w:rPr>
          <w:b/>
        </w:rPr>
      </w:pPr>
      <w:r>
        <w:t xml:space="preserve">Nr postępowania: </w:t>
      </w:r>
      <w:r>
        <w:rPr>
          <w:sz w:val="20"/>
          <w:szCs w:val="20"/>
        </w:rPr>
        <w:t>ZP.271.</w:t>
      </w:r>
      <w:r w:rsidR="009414F2">
        <w:rPr>
          <w:sz w:val="20"/>
          <w:szCs w:val="20"/>
        </w:rPr>
        <w:t>2</w:t>
      </w:r>
      <w:r w:rsidR="00D54FEB">
        <w:rPr>
          <w:sz w:val="20"/>
          <w:szCs w:val="20"/>
        </w:rPr>
        <w:t>1</w:t>
      </w:r>
      <w:r>
        <w:rPr>
          <w:sz w:val="20"/>
          <w:szCs w:val="20"/>
        </w:rPr>
        <w:t>.2021</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8" w14:textId="1335C2DC" w:rsidR="00FE1011" w:rsidRDefault="00BB797A">
      <w:pPr>
        <w:jc w:val="center"/>
        <w:rPr>
          <w:b/>
        </w:rPr>
      </w:pPr>
      <w:r>
        <w:rPr>
          <w:b/>
        </w:rPr>
        <w:t xml:space="preserve"> </w:t>
      </w:r>
      <w:r w:rsidR="009414F2">
        <w:rPr>
          <w:b/>
        </w:rPr>
        <w:t>1</w:t>
      </w:r>
      <w:r w:rsidR="00D54FEB">
        <w:rPr>
          <w:b/>
        </w:rPr>
        <w:t>7</w:t>
      </w:r>
      <w:r>
        <w:rPr>
          <w:b/>
        </w:rPr>
        <w:t xml:space="preserve"> </w:t>
      </w:r>
      <w:r w:rsidR="004D13A7">
        <w:rPr>
          <w:b/>
        </w:rPr>
        <w:t>li</w:t>
      </w:r>
      <w:r w:rsidR="009414F2">
        <w:rPr>
          <w:b/>
        </w:rPr>
        <w:t>stopada</w:t>
      </w:r>
      <w:r w:rsidR="001C2F34">
        <w:rPr>
          <w:b/>
        </w:rPr>
        <w:t xml:space="preserve"> 2021</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432D32">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432D32">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432D32">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432D32">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432D32">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432D32">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432D32">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432D32">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432D32">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432D32">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432D32">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432D32">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432D32">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432D32">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432D32">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432D32">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432D32">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432D32">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432D32">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432D32">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432D32">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432D32">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432D32">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432D32">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3" w:name="_Toc67402194"/>
      <w:r>
        <w:lastRenderedPageBreak/>
        <w:t>I. Nazwa oraz adres Zamawiającego</w:t>
      </w:r>
      <w:bookmarkEnd w:id="3"/>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4" w:name="_Toc67402195"/>
      <w:r>
        <w:t>II. Tryb udzielania zamówienia</w:t>
      </w:r>
      <w:bookmarkEnd w:id="4"/>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69E3AAC"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D6D10">
        <w:rPr>
          <w:sz w:val="20"/>
          <w:szCs w:val="20"/>
        </w:rPr>
        <w:t>2020</w:t>
      </w:r>
      <w:r>
        <w:rPr>
          <w:sz w:val="20"/>
          <w:szCs w:val="20"/>
        </w:rPr>
        <w:t xml:space="preserve"> r. poz. </w:t>
      </w:r>
      <w:r w:rsidR="000D6D10">
        <w:rPr>
          <w:sz w:val="20"/>
          <w:szCs w:val="20"/>
        </w:rPr>
        <w:t>1320 ze zm.</w:t>
      </w:r>
      <w:r>
        <w:rPr>
          <w:sz w:val="20"/>
          <w:szCs w:val="20"/>
        </w:rPr>
        <w:t xml:space="preserve">) obejmują następujące rodzaje czynności: </w:t>
      </w:r>
    </w:p>
    <w:p w14:paraId="0000006C" w14:textId="64C3730A" w:rsidR="00FE1011" w:rsidRDefault="000D6D10" w:rsidP="004411F8">
      <w:pPr>
        <w:numPr>
          <w:ilvl w:val="0"/>
          <w:numId w:val="12"/>
        </w:numPr>
        <w:spacing w:line="360" w:lineRule="auto"/>
        <w:ind w:left="852" w:hanging="418"/>
        <w:jc w:val="both"/>
        <w:rPr>
          <w:sz w:val="20"/>
          <w:szCs w:val="20"/>
        </w:rPr>
      </w:pPr>
      <w:r w:rsidRPr="000D6D10">
        <w:rPr>
          <w:sz w:val="20"/>
          <w:szCs w:val="20"/>
        </w:rPr>
        <w:t>kierowanie pojazdami wykorzystywanymi do realizacji zamówienia</w:t>
      </w:r>
      <w:r>
        <w:rPr>
          <w:sz w:val="20"/>
          <w:szCs w:val="20"/>
        </w:rPr>
        <w:t>,</w:t>
      </w:r>
    </w:p>
    <w:p w14:paraId="39212D83" w14:textId="50910D16" w:rsidR="000D6D10" w:rsidRDefault="000D6D10" w:rsidP="004411F8">
      <w:pPr>
        <w:numPr>
          <w:ilvl w:val="0"/>
          <w:numId w:val="12"/>
        </w:numPr>
        <w:spacing w:line="360" w:lineRule="auto"/>
        <w:ind w:left="852" w:hanging="418"/>
        <w:jc w:val="both"/>
        <w:rPr>
          <w:sz w:val="20"/>
          <w:szCs w:val="20"/>
        </w:rPr>
      </w:pPr>
      <w:r>
        <w:rPr>
          <w:sz w:val="20"/>
          <w:szCs w:val="20"/>
        </w:rPr>
        <w:t>załadunek zebranych osadów.</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5" w:name="_Toc67402196"/>
      <w:r>
        <w:t>I</w:t>
      </w:r>
      <w:r w:rsidR="008560DF">
        <w:t>II</w:t>
      </w:r>
      <w:r>
        <w:t>. Opis przedmiotu zamówienia</w:t>
      </w:r>
      <w:bookmarkEnd w:id="5"/>
    </w:p>
    <w:p w14:paraId="21B0989D" w14:textId="0736DC83" w:rsidR="00F87485" w:rsidRPr="00F87485" w:rsidRDefault="00F87485" w:rsidP="00F87485">
      <w:pPr>
        <w:numPr>
          <w:ilvl w:val="0"/>
          <w:numId w:val="1"/>
        </w:numPr>
        <w:spacing w:before="120" w:after="120" w:line="360" w:lineRule="auto"/>
        <w:jc w:val="both"/>
        <w:rPr>
          <w:sz w:val="20"/>
          <w:szCs w:val="20"/>
        </w:rPr>
      </w:pPr>
      <w:r w:rsidRPr="00F87485">
        <w:rPr>
          <w:sz w:val="20"/>
          <w:szCs w:val="20"/>
        </w:rPr>
        <w:t xml:space="preserve">Przedmiotem zamówienia jest </w:t>
      </w:r>
      <w:r w:rsidR="00FA1D56">
        <w:rPr>
          <w:sz w:val="20"/>
          <w:szCs w:val="20"/>
        </w:rPr>
        <w:t>o</w:t>
      </w:r>
      <w:r w:rsidR="00FA1D56" w:rsidRPr="00FA1D56">
        <w:rPr>
          <w:sz w:val="20"/>
          <w:szCs w:val="20"/>
        </w:rPr>
        <w:t>dbiór, transport i zagospodarowanie ustabilizowanych komunalnych osadów ściekowych z Gminnej Oczyszczalni Ścieków, położonej na terenie Gminy Przodkowo w okresie od 01.01.2022 r. do 31.12.2022 r</w:t>
      </w:r>
      <w:r w:rsidRPr="00F87485">
        <w:rPr>
          <w:sz w:val="20"/>
          <w:szCs w:val="20"/>
        </w:rPr>
        <w:t>.</w:t>
      </w:r>
    </w:p>
    <w:p w14:paraId="0EDB79C8"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Szczegółowy opis przedmiotu zamówienia stanowi załącznik nr 2 do SWZ.</w:t>
      </w:r>
    </w:p>
    <w:p w14:paraId="14DBB0B8"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p>
    <w:p w14:paraId="4B174C20"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 xml:space="preserve">Wykonawca zobowiązany jest przystąpić do wykonania usługi w terminach określonych przez  Zamawiającego.  </w:t>
      </w:r>
    </w:p>
    <w:p w14:paraId="53B8A06D" w14:textId="7E5B5D72" w:rsidR="00F87485" w:rsidRDefault="00F87485" w:rsidP="00346F0D">
      <w:pPr>
        <w:numPr>
          <w:ilvl w:val="0"/>
          <w:numId w:val="39"/>
        </w:numPr>
        <w:spacing w:before="120" w:after="120" w:line="360" w:lineRule="auto"/>
        <w:ind w:left="851"/>
        <w:jc w:val="both"/>
        <w:rPr>
          <w:sz w:val="20"/>
          <w:szCs w:val="20"/>
        </w:rPr>
      </w:pPr>
      <w:r w:rsidRPr="00F87485">
        <w:rPr>
          <w:sz w:val="20"/>
          <w:szCs w:val="20"/>
        </w:rPr>
        <w:t>Wszystkie. pojazdy przeznaczone do realizacji zamówienia winny być zarejestrowane, dopuszczone do ruchu, posiadać aktualne badania techniczne i świadectwa dopuszczenia do ruchu</w:t>
      </w:r>
    </w:p>
    <w:p w14:paraId="36A16C83" w14:textId="38FA8AB7" w:rsidR="00F87485" w:rsidRDefault="00F87485" w:rsidP="004411F8">
      <w:pPr>
        <w:numPr>
          <w:ilvl w:val="0"/>
          <w:numId w:val="1"/>
        </w:numPr>
        <w:spacing w:before="120" w:after="120" w:line="360" w:lineRule="auto"/>
        <w:ind w:left="437"/>
        <w:jc w:val="both"/>
        <w:rPr>
          <w:sz w:val="20"/>
          <w:szCs w:val="20"/>
        </w:rPr>
      </w:pPr>
      <w:r w:rsidRPr="00F87485">
        <w:rPr>
          <w:sz w:val="20"/>
          <w:szCs w:val="20"/>
        </w:rPr>
        <w:t>Przedmiot zamówienia nie został podzielony na części. Zamawiający nie dopuszcza składania ofert częściowych</w:t>
      </w:r>
      <w:r>
        <w:rPr>
          <w:sz w:val="20"/>
          <w:szCs w:val="20"/>
        </w:rPr>
        <w:t>.</w:t>
      </w:r>
    </w:p>
    <w:p w14:paraId="00000071" w14:textId="6CEF6277"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953359B" w:rsidR="00FE1011" w:rsidRDefault="00AE1C3E" w:rsidP="00CB42F0">
      <w:pPr>
        <w:tabs>
          <w:tab w:val="left" w:pos="3855"/>
        </w:tabs>
        <w:spacing w:before="120" w:after="120" w:line="360" w:lineRule="auto"/>
        <w:ind w:left="434"/>
        <w:jc w:val="both"/>
        <w:rPr>
          <w:sz w:val="20"/>
          <w:szCs w:val="20"/>
          <w:lang w:val="pl-PL"/>
        </w:rPr>
      </w:pPr>
      <w:r>
        <w:rPr>
          <w:sz w:val="20"/>
          <w:szCs w:val="20"/>
          <w:lang w:val="pl-PL"/>
        </w:rPr>
        <w:t>90513600-2</w:t>
      </w:r>
      <w:r w:rsidR="00CB42F0" w:rsidRPr="00CB42F0">
        <w:rPr>
          <w:sz w:val="20"/>
          <w:szCs w:val="20"/>
          <w:lang w:val="pl-PL"/>
        </w:rPr>
        <w:t xml:space="preserve"> – </w:t>
      </w:r>
      <w:r w:rsidR="007B67C2">
        <w:rPr>
          <w:sz w:val="20"/>
          <w:szCs w:val="20"/>
          <w:lang w:val="pl-PL"/>
        </w:rPr>
        <w:t>Usługi usuwania osadów</w:t>
      </w:r>
    </w:p>
    <w:p w14:paraId="083C7E10" w14:textId="1876AA47" w:rsidR="007B67C2" w:rsidRPr="00CB42F0" w:rsidRDefault="007B67C2" w:rsidP="00CB42F0">
      <w:pPr>
        <w:tabs>
          <w:tab w:val="left" w:pos="3855"/>
        </w:tabs>
        <w:spacing w:before="120" w:after="120" w:line="360" w:lineRule="auto"/>
        <w:ind w:left="434"/>
        <w:jc w:val="both"/>
        <w:rPr>
          <w:sz w:val="20"/>
          <w:szCs w:val="20"/>
        </w:rPr>
      </w:pPr>
      <w:r>
        <w:rPr>
          <w:sz w:val="20"/>
          <w:szCs w:val="20"/>
          <w:lang w:val="pl-PL"/>
        </w:rPr>
        <w:t>90513700-2 – Usługi transportu osadów</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6" w:name="_Toc67402197"/>
      <w:r>
        <w:t>I</w:t>
      </w:r>
      <w:r w:rsidR="001C2F34">
        <w:t>V. Wizja lokalna</w:t>
      </w:r>
      <w:bookmarkEnd w:id="6"/>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7" w:name="_Toc67402198"/>
      <w:r>
        <w:t>V. Podwykonawstwo</w:t>
      </w:r>
      <w:bookmarkEnd w:id="7"/>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8" w:name="_Toc67402199"/>
      <w:r>
        <w:t>VI. Termin wykonania zamówienia</w:t>
      </w:r>
      <w:bookmarkEnd w:id="8"/>
    </w:p>
    <w:p w14:paraId="0000007F" w14:textId="66361D5F"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0D6D10" w:rsidRPr="000D6D10">
        <w:rPr>
          <w:sz w:val="20"/>
          <w:szCs w:val="20"/>
        </w:rPr>
        <w:t xml:space="preserve">12 miesięcy – od </w:t>
      </w:r>
      <w:r w:rsidR="000D6D10" w:rsidRPr="000D6D10">
        <w:rPr>
          <w:b/>
          <w:bCs/>
          <w:sz w:val="20"/>
          <w:szCs w:val="20"/>
        </w:rPr>
        <w:t>01.01.2022 r. do 31.12.2022</w:t>
      </w:r>
      <w:r w:rsidR="000D6D10" w:rsidRPr="000D6D10">
        <w:rPr>
          <w:sz w:val="20"/>
          <w:szCs w:val="20"/>
        </w:rPr>
        <w:t xml:space="preserve"> r</w:t>
      </w:r>
      <w:r w:rsidR="00A66F52" w:rsidRPr="00CF2D91">
        <w:rPr>
          <w:sz w:val="20"/>
          <w:szCs w:val="20"/>
        </w:rPr>
        <w:t>.</w:t>
      </w:r>
    </w:p>
    <w:p w14:paraId="00000081" w14:textId="61449AC4" w:rsidR="00FE1011" w:rsidRDefault="001C2F34">
      <w:pPr>
        <w:pStyle w:val="Nagwek2"/>
        <w:tabs>
          <w:tab w:val="left" w:pos="0"/>
        </w:tabs>
      </w:pPr>
      <w:bookmarkStart w:id="9" w:name="_Toc67402200"/>
      <w:r>
        <w:t>VII. Warunki udziału w postępowaniu</w:t>
      </w:r>
      <w:bookmarkEnd w:id="9"/>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016AFB23" w:rsidR="00FE1011" w:rsidRDefault="009C79AD" w:rsidP="004411F8">
      <w:pPr>
        <w:spacing w:line="360" w:lineRule="auto"/>
        <w:ind w:left="868" w:right="20"/>
        <w:jc w:val="both"/>
        <w:rPr>
          <w:sz w:val="20"/>
          <w:szCs w:val="20"/>
        </w:rPr>
      </w:pPr>
      <w:r w:rsidRPr="009C79AD">
        <w:rPr>
          <w:sz w:val="20"/>
          <w:szCs w:val="20"/>
        </w:rPr>
        <w:t>Zamawiający nie określa warunku w powyższym zakresie.</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10" w:name="_Hlk66866436"/>
      <w:r>
        <w:rPr>
          <w:sz w:val="20"/>
          <w:szCs w:val="20"/>
        </w:rPr>
        <w:t>Wykonawca spełni warunek, jeżeli wykaże, że</w:t>
      </w:r>
      <w:bookmarkEnd w:id="10"/>
      <w:r w:rsidR="00A259E0">
        <w:rPr>
          <w:sz w:val="20"/>
          <w:szCs w:val="20"/>
        </w:rPr>
        <w:t>;</w:t>
      </w:r>
    </w:p>
    <w:p w14:paraId="20571A8C" w14:textId="482C5367" w:rsidR="00A259E0" w:rsidRPr="00022A71" w:rsidRDefault="00A259E0" w:rsidP="00346F0D">
      <w:pPr>
        <w:pStyle w:val="Akapitzlist"/>
        <w:numPr>
          <w:ilvl w:val="0"/>
          <w:numId w:val="40"/>
        </w:numPr>
        <w:spacing w:line="360" w:lineRule="auto"/>
        <w:ind w:right="20"/>
        <w:jc w:val="both"/>
        <w:rPr>
          <w:sz w:val="20"/>
          <w:szCs w:val="20"/>
        </w:rPr>
      </w:pPr>
      <w:r w:rsidRPr="00022A71">
        <w:rPr>
          <w:sz w:val="20"/>
          <w:szCs w:val="20"/>
        </w:rPr>
        <w:t>dysponuje następującym wyposażeniem w celu wykonania zamówienia publicznego:</w:t>
      </w:r>
    </w:p>
    <w:p w14:paraId="6F21CBEA" w14:textId="465E8D5D" w:rsidR="00022A71" w:rsidRPr="000D4EEB" w:rsidRDefault="000D4EEB" w:rsidP="003F5005">
      <w:pPr>
        <w:spacing w:line="360" w:lineRule="auto"/>
        <w:ind w:left="851" w:right="20"/>
        <w:jc w:val="both"/>
        <w:rPr>
          <w:sz w:val="20"/>
          <w:szCs w:val="20"/>
          <w:lang w:val="pl-PL"/>
        </w:rPr>
      </w:pPr>
      <w:r w:rsidRPr="003F5005">
        <w:rPr>
          <w:bCs/>
          <w:sz w:val="20"/>
          <w:szCs w:val="20"/>
          <w:lang w:val="pl-PL"/>
        </w:rPr>
        <w:t xml:space="preserve"> Minimum 1 </w:t>
      </w:r>
      <w:r w:rsidR="003F5005" w:rsidRPr="003F5005">
        <w:rPr>
          <w:bCs/>
          <w:sz w:val="20"/>
          <w:szCs w:val="20"/>
          <w:lang w:val="pl-PL"/>
        </w:rPr>
        <w:t>samochód ciężarowy przeznaczony do przewozu ładunków lub minimum jeden samochód cięż</w:t>
      </w:r>
      <w:r w:rsidR="003F5005">
        <w:rPr>
          <w:bCs/>
          <w:sz w:val="20"/>
          <w:szCs w:val="20"/>
          <w:lang w:val="pl-PL"/>
        </w:rPr>
        <w:t>a</w:t>
      </w:r>
      <w:r w:rsidR="003F5005" w:rsidRPr="003F5005">
        <w:rPr>
          <w:bCs/>
          <w:sz w:val="20"/>
          <w:szCs w:val="20"/>
          <w:lang w:val="pl-PL"/>
        </w:rPr>
        <w:t>rowy przystosowany do przewozu kontenerów</w:t>
      </w:r>
      <w:r w:rsidR="003F5005">
        <w:rPr>
          <w:sz w:val="20"/>
          <w:szCs w:val="20"/>
          <w:lang w:val="pl-PL"/>
        </w:rPr>
        <w:t>. Rok produkcji pojazdów nie starszy niż 2008 rok.</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1" w:name="_Toc67402201"/>
      <w:r>
        <w:t>VII</w:t>
      </w:r>
      <w:r w:rsidR="001C2F34">
        <w:t>I. Podstawy wykluczenia z postępowania</w:t>
      </w:r>
      <w:bookmarkEnd w:id="11"/>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2"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2"/>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0B6361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21</w:t>
      </w:r>
      <w:r>
        <w:rPr>
          <w:sz w:val="20"/>
          <w:szCs w:val="20"/>
        </w:rPr>
        <w:t xml:space="preserve"> r. poz. </w:t>
      </w:r>
      <w:r w:rsidR="00A26E8C">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5A53D05E" w14:textId="72A339BD" w:rsidR="008026BB" w:rsidRPr="003F5005" w:rsidRDefault="001C2F34" w:rsidP="003F5005">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3" w:name="_Toc67402203"/>
      <w:r>
        <w:t>X. Poleganie na zasobach innych podmiotów</w:t>
      </w:r>
      <w:bookmarkEnd w:id="13"/>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4" w:name="_Toc67402204"/>
      <w:r>
        <w:t>XI. Informacja dla Wykonawców wspólnie ubiegających się o udzielenie zamówienia</w:t>
      </w:r>
      <w:bookmarkEnd w:id="14"/>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5" w:name="_Toc67402205"/>
      <w:r>
        <w:t>XII. Informacje o sposobie porozumiewania się zamawiającego z Wykonawcami oraz przekazywania oświadczeń lub dokumentów</w:t>
      </w:r>
      <w:bookmarkEnd w:id="15"/>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6"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6"/>
      <w:r>
        <w:rPr>
          <w:sz w:val="20"/>
          <w:szCs w:val="20"/>
        </w:rPr>
        <w:t xml:space="preserve"> pod adresem</w:t>
      </w:r>
      <w:r w:rsidR="0095173D">
        <w:rPr>
          <w:sz w:val="20"/>
          <w:szCs w:val="20"/>
        </w:rPr>
        <w:t xml:space="preserve"> </w:t>
      </w:r>
      <w:bookmarkStart w:id="17"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7"/>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AFC8381"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(Dz. U. 2020 r. poz. 2452</w:t>
      </w:r>
      <w:r w:rsidR="00AB18F8">
        <w:rPr>
          <w:sz w:val="20"/>
          <w:szCs w:val="20"/>
        </w:rPr>
        <w:t xml:space="preserve"> ze zm.</w:t>
      </w:r>
      <w:r w:rsidR="00CF2C15">
        <w:rPr>
          <w:sz w:val="20"/>
          <w:szCs w:val="20"/>
        </w:rPr>
        <w:t xml:space="preserve">),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346F0D">
      <w:pPr>
        <w:numPr>
          <w:ilvl w:val="1"/>
          <w:numId w:val="38"/>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346F0D">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8" w:name="_Toc67402206"/>
      <w:r>
        <w:t>XI</w:t>
      </w:r>
      <w:r w:rsidR="00EE23F1">
        <w:t>II</w:t>
      </w:r>
      <w:r>
        <w:t>. Opis sposobu przygotowania ofert oraz dokumentów wymaganych przez Zamawiającego w SWZ</w:t>
      </w:r>
      <w:bookmarkEnd w:id="18"/>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9" w:name="_21eeoojwb3nb" w:colFirst="0" w:colLast="0"/>
      <w:bookmarkStart w:id="20" w:name="_Toc67316341"/>
      <w:bookmarkStart w:id="21" w:name="_Toc67317398"/>
      <w:bookmarkStart w:id="22" w:name="_Toc67317962"/>
      <w:bookmarkStart w:id="23" w:name="_Toc67398821"/>
      <w:bookmarkStart w:id="24" w:name="_Toc67402207"/>
      <w:bookmarkStart w:id="25" w:name="_Toc66100166"/>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0"/>
      <w:bookmarkEnd w:id="21"/>
      <w:bookmarkEnd w:id="22"/>
      <w:bookmarkEnd w:id="23"/>
      <w:bookmarkEnd w:id="24"/>
      <w:r>
        <w:rPr>
          <w:color w:val="000000"/>
          <w:sz w:val="20"/>
          <w:szCs w:val="20"/>
        </w:rPr>
        <w:t xml:space="preserve"> </w:t>
      </w:r>
      <w:bookmarkEnd w:id="25"/>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432D32"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6" w:name="_Toc67402208"/>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592BB0C2"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2236AB">
        <w:rPr>
          <w:sz w:val="20"/>
          <w:szCs w:val="20"/>
          <w:lang w:val="pl-PL"/>
        </w:rPr>
        <w:t>Mg</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4408B39"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493E05">
        <w:rPr>
          <w:sz w:val="20"/>
          <w:szCs w:val="20"/>
        </w:rPr>
        <w:t>21</w:t>
      </w:r>
      <w:r>
        <w:rPr>
          <w:sz w:val="20"/>
          <w:szCs w:val="20"/>
        </w:rPr>
        <w:t xml:space="preserve"> r. poz. </w:t>
      </w:r>
      <w:r w:rsidR="00493E05">
        <w:rPr>
          <w:sz w:val="20"/>
          <w:szCs w:val="20"/>
        </w:rPr>
        <w:t>685</w:t>
      </w:r>
      <w:r>
        <w:rPr>
          <w:sz w:val="20"/>
          <w:szCs w:val="20"/>
        </w:rPr>
        <w:t>, z</w:t>
      </w:r>
      <w:r w:rsidR="00493E05">
        <w:rPr>
          <w:sz w:val="20"/>
          <w:szCs w:val="20"/>
        </w:rPr>
        <w:t>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67402209"/>
      <w:r w:rsidRPr="004411F8">
        <w:t>XV. Wymagania dotyczące wadium</w:t>
      </w:r>
      <w:bookmarkEnd w:id="27"/>
    </w:p>
    <w:p w14:paraId="000000F4" w14:textId="4C908CA9"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B65590" w:rsidRPr="00B65590">
        <w:rPr>
          <w:b/>
          <w:bCs/>
          <w:sz w:val="20"/>
          <w:szCs w:val="20"/>
        </w:rPr>
        <w:t>5 000</w:t>
      </w:r>
      <w:r w:rsidR="00FF07E6">
        <w:rPr>
          <w:sz w:val="20"/>
          <w:szCs w:val="20"/>
        </w:rPr>
        <w:t xml:space="preserve"> zł.</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52FFEA35"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B65590" w:rsidRPr="00B65590">
        <w:rPr>
          <w:b/>
          <w:iCs/>
          <w:sz w:val="20"/>
          <w:szCs w:val="20"/>
        </w:rPr>
        <w:t>Odbiór, transport i zagospodarowanie ustabilizowanych komunalnych osadów ściekowych z Gminnej Oczyszczalni Ścieków, położonej na terenie Gminy Przodkowo w okresie od 01.01.2022 r. do 31.12.2022 r.</w:t>
      </w:r>
      <w:r w:rsidR="00171B74" w:rsidRPr="00171B74">
        <w:rPr>
          <w:sz w:val="20"/>
          <w:szCs w:val="20"/>
          <w:lang w:val="pl-PL"/>
        </w:rPr>
        <w:t>” znak sprawy ZP.271.</w:t>
      </w:r>
      <w:r w:rsidR="00B65590">
        <w:rPr>
          <w:sz w:val="20"/>
          <w:szCs w:val="20"/>
          <w:lang w:val="pl-PL"/>
        </w:rPr>
        <w:t>2</w:t>
      </w:r>
      <w:r w:rsidR="00346F0D">
        <w:rPr>
          <w:sz w:val="20"/>
          <w:szCs w:val="20"/>
          <w:lang w:val="pl-PL"/>
        </w:rPr>
        <w:t>1</w:t>
      </w:r>
      <w:r w:rsidR="00171B74" w:rsidRPr="00171B74">
        <w:rPr>
          <w:sz w:val="20"/>
          <w:szCs w:val="20"/>
          <w:lang w:val="pl-PL"/>
        </w:rPr>
        <w:t>.202</w:t>
      </w:r>
      <w:r w:rsidR="00171B74">
        <w:rPr>
          <w:sz w:val="20"/>
          <w:szCs w:val="20"/>
          <w:lang w:val="pl-PL"/>
        </w:rPr>
        <w:t>1</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67402210"/>
      <w:r>
        <w:t>XVI. Termin związania ofertą</w:t>
      </w:r>
      <w:bookmarkEnd w:id="28"/>
    </w:p>
    <w:p w14:paraId="00000108" w14:textId="721F7C2F"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346F0D" w:rsidRPr="00346F0D">
        <w:rPr>
          <w:color w:val="000000" w:themeColor="text1"/>
          <w:sz w:val="20"/>
          <w:szCs w:val="20"/>
        </w:rPr>
        <w:t>24 grudnia</w:t>
      </w:r>
      <w:r w:rsidR="00FB1C1F" w:rsidRPr="00346F0D">
        <w:rPr>
          <w:color w:val="000000" w:themeColor="text1"/>
          <w:sz w:val="20"/>
          <w:szCs w:val="20"/>
        </w:rPr>
        <w:t xml:space="preserve"> </w:t>
      </w:r>
      <w:r w:rsidR="00FB1C1F" w:rsidRPr="00FB1C1F">
        <w:rPr>
          <w:sz w:val="20"/>
          <w:szCs w:val="20"/>
        </w:rPr>
        <w:t xml:space="preserve">2021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67402211"/>
      <w:r>
        <w:t>XVII. Miejsce i termin składania ofert</w:t>
      </w:r>
      <w:bookmarkEnd w:id="29"/>
    </w:p>
    <w:p w14:paraId="0000010C" w14:textId="3E8110F5"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346F0D">
        <w:rPr>
          <w:color w:val="000000" w:themeColor="text1"/>
          <w:sz w:val="20"/>
          <w:szCs w:val="20"/>
        </w:rPr>
        <w:t xml:space="preserve">dnia </w:t>
      </w:r>
      <w:r w:rsidR="00346F0D" w:rsidRPr="00346F0D">
        <w:rPr>
          <w:color w:val="000000" w:themeColor="text1"/>
          <w:sz w:val="20"/>
          <w:szCs w:val="20"/>
        </w:rPr>
        <w:t xml:space="preserve">25 </w:t>
      </w:r>
      <w:r w:rsidR="00346F0D">
        <w:rPr>
          <w:color w:val="000000" w:themeColor="text1"/>
          <w:sz w:val="20"/>
          <w:szCs w:val="20"/>
        </w:rPr>
        <w:t>listopada</w:t>
      </w:r>
      <w:r w:rsidR="00FB1C1F" w:rsidRPr="00346F0D">
        <w:rPr>
          <w:color w:val="000000" w:themeColor="text1"/>
          <w:sz w:val="20"/>
          <w:szCs w:val="20"/>
        </w:rPr>
        <w:t xml:space="preserve"> </w:t>
      </w:r>
      <w:r w:rsidR="00FB1C1F" w:rsidRPr="00FB1C1F">
        <w:rPr>
          <w:sz w:val="20"/>
          <w:szCs w:val="20"/>
        </w:rPr>
        <w:t xml:space="preserve">2021 roku godz. </w:t>
      </w:r>
      <w:r w:rsidR="00346F0D">
        <w:rPr>
          <w:sz w:val="20"/>
          <w:szCs w:val="20"/>
        </w:rPr>
        <w:t>9</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67402212"/>
      <w:r>
        <w:t>X</w:t>
      </w:r>
      <w:r w:rsidR="00EE23F1">
        <w:t>VII</w:t>
      </w:r>
      <w:r>
        <w:t>I. Otwarcie ofert</w:t>
      </w:r>
      <w:bookmarkEnd w:id="30"/>
    </w:p>
    <w:p w14:paraId="00000113" w14:textId="23B9CFE2"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w:t>
      </w:r>
      <w:r w:rsidR="00346F0D">
        <w:rPr>
          <w:sz w:val="20"/>
          <w:szCs w:val="20"/>
        </w:rPr>
        <w:t xml:space="preserve"> </w:t>
      </w:r>
      <w:r w:rsidRPr="00DD1F50">
        <w:rPr>
          <w:sz w:val="20"/>
          <w:szCs w:val="20"/>
        </w:rPr>
        <w:t>j</w:t>
      </w:r>
      <w:r w:rsidR="00346F0D">
        <w:rPr>
          <w:sz w:val="20"/>
          <w:szCs w:val="20"/>
        </w:rPr>
        <w:t>. 25.11.2021</w:t>
      </w:r>
      <w:r w:rsidR="00FB1C1F" w:rsidRPr="00493E05">
        <w:rPr>
          <w:color w:val="FF0000"/>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 xml:space="preserve">o godz. </w:t>
      </w:r>
      <w:r w:rsidR="00346F0D">
        <w:rPr>
          <w:sz w:val="20"/>
          <w:szCs w:val="20"/>
        </w:rPr>
        <w:t>9</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67402213"/>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(Cz)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(Cz)</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6CF11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A1159">
        <w:rPr>
          <w:sz w:val="20"/>
          <w:szCs w:val="20"/>
          <w:lang w:val="pl-PL"/>
        </w:rPr>
        <w:t>21</w:t>
      </w:r>
      <w:r w:rsidRPr="00EE23F1">
        <w:rPr>
          <w:sz w:val="20"/>
          <w:szCs w:val="20"/>
          <w:lang w:val="pl-PL"/>
        </w:rPr>
        <w:t xml:space="preserve"> r. poz. </w:t>
      </w:r>
      <w:r w:rsidR="006A1159">
        <w:rPr>
          <w:sz w:val="20"/>
          <w:szCs w:val="20"/>
          <w:lang w:val="pl-PL"/>
        </w:rPr>
        <w:t>1129</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67402219"/>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495E7D4C"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w:t>
      </w:r>
      <w:r w:rsidR="005C6080">
        <w:rPr>
          <w:sz w:val="20"/>
          <w:szCs w:val="20"/>
        </w:rPr>
        <w:t xml:space="preserve">szczegółowy </w:t>
      </w:r>
      <w:r w:rsidRPr="00DC1A13">
        <w:rPr>
          <w:sz w:val="20"/>
          <w:szCs w:val="20"/>
        </w:rPr>
        <w:t xml:space="preserve">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C6663DA"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9414F2">
      <w:rPr>
        <w:b/>
        <w:bCs/>
        <w:sz w:val="20"/>
        <w:szCs w:val="20"/>
      </w:rPr>
      <w:t>2</w:t>
    </w:r>
    <w:r w:rsidR="00D54FEB">
      <w:rPr>
        <w:b/>
        <w:bCs/>
        <w:sz w:val="20"/>
        <w:szCs w:val="20"/>
      </w:rPr>
      <w:t>1</w:t>
    </w:r>
    <w:r w:rsidRPr="00D922B2">
      <w:rPr>
        <w:b/>
        <w:bCs/>
        <w:sz w:val="20"/>
        <w:szCs w:val="20"/>
      </w:rPr>
      <w:t>.2021</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6"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60451C5"/>
    <w:multiLevelType w:val="multilevel"/>
    <w:tmpl w:val="7874979C"/>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678776F3"/>
    <w:multiLevelType w:val="hybridMultilevel"/>
    <w:tmpl w:val="AAC02658"/>
    <w:lvl w:ilvl="0" w:tplc="AE020E36">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29"/>
  </w:num>
  <w:num w:numId="3">
    <w:abstractNumId w:val="7"/>
  </w:num>
  <w:num w:numId="4">
    <w:abstractNumId w:val="13"/>
  </w:num>
  <w:num w:numId="5">
    <w:abstractNumId w:val="23"/>
  </w:num>
  <w:num w:numId="6">
    <w:abstractNumId w:val="20"/>
  </w:num>
  <w:num w:numId="7">
    <w:abstractNumId w:val="14"/>
  </w:num>
  <w:num w:numId="8">
    <w:abstractNumId w:val="8"/>
  </w:num>
  <w:num w:numId="9">
    <w:abstractNumId w:val="1"/>
  </w:num>
  <w:num w:numId="10">
    <w:abstractNumId w:val="19"/>
  </w:num>
  <w:num w:numId="11">
    <w:abstractNumId w:val="12"/>
  </w:num>
  <w:num w:numId="12">
    <w:abstractNumId w:val="39"/>
  </w:num>
  <w:num w:numId="13">
    <w:abstractNumId w:val="30"/>
  </w:num>
  <w:num w:numId="14">
    <w:abstractNumId w:val="0"/>
  </w:num>
  <w:num w:numId="15">
    <w:abstractNumId w:val="28"/>
  </w:num>
  <w:num w:numId="16">
    <w:abstractNumId w:val="21"/>
  </w:num>
  <w:num w:numId="17">
    <w:abstractNumId w:val="22"/>
  </w:num>
  <w:num w:numId="18">
    <w:abstractNumId w:val="35"/>
  </w:num>
  <w:num w:numId="19">
    <w:abstractNumId w:val="26"/>
  </w:num>
  <w:num w:numId="20">
    <w:abstractNumId w:val="36"/>
  </w:num>
  <w:num w:numId="21">
    <w:abstractNumId w:val="25"/>
  </w:num>
  <w:num w:numId="22">
    <w:abstractNumId w:val="38"/>
  </w:num>
  <w:num w:numId="23">
    <w:abstractNumId w:val="31"/>
  </w:num>
  <w:num w:numId="24">
    <w:abstractNumId w:val="11"/>
  </w:num>
  <w:num w:numId="25">
    <w:abstractNumId w:val="9"/>
  </w:num>
  <w:num w:numId="26">
    <w:abstractNumId w:val="10"/>
  </w:num>
  <w:num w:numId="27">
    <w:abstractNumId w:val="2"/>
  </w:num>
  <w:num w:numId="28">
    <w:abstractNumId w:val="16"/>
  </w:num>
  <w:num w:numId="29">
    <w:abstractNumId w:val="27"/>
  </w:num>
  <w:num w:numId="30">
    <w:abstractNumId w:val="15"/>
  </w:num>
  <w:num w:numId="31">
    <w:abstractNumId w:val="3"/>
  </w:num>
  <w:num w:numId="32">
    <w:abstractNumId w:val="18"/>
  </w:num>
  <w:num w:numId="33">
    <w:abstractNumId w:val="17"/>
  </w:num>
  <w:num w:numId="34">
    <w:abstractNumId w:val="6"/>
  </w:num>
  <w:num w:numId="35">
    <w:abstractNumId w:val="37"/>
  </w:num>
  <w:num w:numId="36">
    <w:abstractNumId w:val="5"/>
  </w:num>
  <w:num w:numId="37">
    <w:abstractNumId w:val="34"/>
  </w:num>
  <w:num w:numId="38">
    <w:abstractNumId w:val="32"/>
  </w:num>
  <w:num w:numId="39">
    <w:abstractNumId w:val="24"/>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2A71"/>
    <w:rsid w:val="000254E5"/>
    <w:rsid w:val="000370FC"/>
    <w:rsid w:val="000473CE"/>
    <w:rsid w:val="00064F9A"/>
    <w:rsid w:val="00067636"/>
    <w:rsid w:val="00081361"/>
    <w:rsid w:val="000C1A35"/>
    <w:rsid w:val="000D15F2"/>
    <w:rsid w:val="000D4EEB"/>
    <w:rsid w:val="000D6D10"/>
    <w:rsid w:val="001421B2"/>
    <w:rsid w:val="00171B74"/>
    <w:rsid w:val="001A6FCF"/>
    <w:rsid w:val="001C2F34"/>
    <w:rsid w:val="0021146E"/>
    <w:rsid w:val="00220789"/>
    <w:rsid w:val="002236AB"/>
    <w:rsid w:val="00232337"/>
    <w:rsid w:val="002430F4"/>
    <w:rsid w:val="002467F5"/>
    <w:rsid w:val="0024759E"/>
    <w:rsid w:val="002540CC"/>
    <w:rsid w:val="002E366B"/>
    <w:rsid w:val="002E59CE"/>
    <w:rsid w:val="00303F02"/>
    <w:rsid w:val="00304C62"/>
    <w:rsid w:val="00312267"/>
    <w:rsid w:val="003366E1"/>
    <w:rsid w:val="00346F0D"/>
    <w:rsid w:val="003C4B37"/>
    <w:rsid w:val="003E2288"/>
    <w:rsid w:val="003F5005"/>
    <w:rsid w:val="003F65F2"/>
    <w:rsid w:val="00400DAF"/>
    <w:rsid w:val="004411F8"/>
    <w:rsid w:val="00493E05"/>
    <w:rsid w:val="00494ECA"/>
    <w:rsid w:val="00496ED9"/>
    <w:rsid w:val="004B2402"/>
    <w:rsid w:val="004C49D8"/>
    <w:rsid w:val="004C6C37"/>
    <w:rsid w:val="004D0879"/>
    <w:rsid w:val="004D13A7"/>
    <w:rsid w:val="00507C03"/>
    <w:rsid w:val="005277FC"/>
    <w:rsid w:val="005C6080"/>
    <w:rsid w:val="005D48C4"/>
    <w:rsid w:val="005F25A6"/>
    <w:rsid w:val="00611481"/>
    <w:rsid w:val="00640845"/>
    <w:rsid w:val="006A1159"/>
    <w:rsid w:val="006D2E9E"/>
    <w:rsid w:val="006E4DC2"/>
    <w:rsid w:val="006F378A"/>
    <w:rsid w:val="00720617"/>
    <w:rsid w:val="007A1AB9"/>
    <w:rsid w:val="007B67C2"/>
    <w:rsid w:val="007C4382"/>
    <w:rsid w:val="008026BB"/>
    <w:rsid w:val="008058B8"/>
    <w:rsid w:val="00815E56"/>
    <w:rsid w:val="00820996"/>
    <w:rsid w:val="008560DF"/>
    <w:rsid w:val="00864444"/>
    <w:rsid w:val="00874DF3"/>
    <w:rsid w:val="008A31DA"/>
    <w:rsid w:val="0091041F"/>
    <w:rsid w:val="009414F2"/>
    <w:rsid w:val="00943ADF"/>
    <w:rsid w:val="0095173D"/>
    <w:rsid w:val="00984EB0"/>
    <w:rsid w:val="009857CB"/>
    <w:rsid w:val="009C79AD"/>
    <w:rsid w:val="009E2494"/>
    <w:rsid w:val="00A12170"/>
    <w:rsid w:val="00A259E0"/>
    <w:rsid w:val="00A26E8C"/>
    <w:rsid w:val="00A66F52"/>
    <w:rsid w:val="00A9091F"/>
    <w:rsid w:val="00AB18F8"/>
    <w:rsid w:val="00AC1A33"/>
    <w:rsid w:val="00AC2489"/>
    <w:rsid w:val="00AE1C3E"/>
    <w:rsid w:val="00B16C27"/>
    <w:rsid w:val="00B256CB"/>
    <w:rsid w:val="00B41724"/>
    <w:rsid w:val="00B65590"/>
    <w:rsid w:val="00B932C0"/>
    <w:rsid w:val="00BB797A"/>
    <w:rsid w:val="00BC4C7F"/>
    <w:rsid w:val="00BE409D"/>
    <w:rsid w:val="00BF2EA9"/>
    <w:rsid w:val="00C17000"/>
    <w:rsid w:val="00C37E4E"/>
    <w:rsid w:val="00C41EE0"/>
    <w:rsid w:val="00C437C0"/>
    <w:rsid w:val="00C6589D"/>
    <w:rsid w:val="00C959CC"/>
    <w:rsid w:val="00CB42F0"/>
    <w:rsid w:val="00CE5B25"/>
    <w:rsid w:val="00CF2C15"/>
    <w:rsid w:val="00CF2D91"/>
    <w:rsid w:val="00D30974"/>
    <w:rsid w:val="00D504F0"/>
    <w:rsid w:val="00D541F4"/>
    <w:rsid w:val="00D54FEB"/>
    <w:rsid w:val="00D6192E"/>
    <w:rsid w:val="00D922B2"/>
    <w:rsid w:val="00DC1A13"/>
    <w:rsid w:val="00DD1F50"/>
    <w:rsid w:val="00E01FDE"/>
    <w:rsid w:val="00E07911"/>
    <w:rsid w:val="00E54149"/>
    <w:rsid w:val="00E84A2A"/>
    <w:rsid w:val="00EA64C5"/>
    <w:rsid w:val="00EB2618"/>
    <w:rsid w:val="00ED5FCF"/>
    <w:rsid w:val="00ED7E3D"/>
    <w:rsid w:val="00EE23F1"/>
    <w:rsid w:val="00F25598"/>
    <w:rsid w:val="00F34900"/>
    <w:rsid w:val="00F36981"/>
    <w:rsid w:val="00F4311A"/>
    <w:rsid w:val="00F87485"/>
    <w:rsid w:val="00F91CEA"/>
    <w:rsid w:val="00FA1D56"/>
    <w:rsid w:val="00FB1C1F"/>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22</Pages>
  <Words>7776</Words>
  <Characters>46661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Markowska</dc:creator>
  <cp:lastModifiedBy>U22 Marlena Nowicka</cp:lastModifiedBy>
  <cp:revision>11</cp:revision>
  <dcterms:created xsi:type="dcterms:W3CDTF">2021-07-08T11:50:00Z</dcterms:created>
  <dcterms:modified xsi:type="dcterms:W3CDTF">2021-11-17T10:13:00Z</dcterms:modified>
</cp:coreProperties>
</file>