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3DE3D08D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1F47F0" w:rsidRPr="001F47F0">
        <w:rPr>
          <w:rFonts w:ascii="Ebrima" w:hAnsi="Ebrima"/>
          <w:sz w:val="20"/>
          <w:szCs w:val="20"/>
        </w:rPr>
        <w:t>Dz. U. z 2021 r. poz. 1129 t. j.</w:t>
      </w:r>
      <w:r>
        <w:rPr>
          <w:rFonts w:ascii="Ebrima" w:hAnsi="Ebrima"/>
          <w:sz w:val="20"/>
          <w:szCs w:val="20"/>
        </w:rPr>
        <w:t xml:space="preserve">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7DD5028E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1F47F0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F47F0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>„Dostawa materiałów opatrunkowych, pieluchomajtek i środków ochrony osobistej do pracowni cytostatyków”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1F47F0"/>
    <w:rsid w:val="0026043F"/>
    <w:rsid w:val="00562799"/>
    <w:rsid w:val="00722AA2"/>
    <w:rsid w:val="007D1D13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5</cp:revision>
  <cp:lastPrinted>2017-05-16T10:08:00Z</cp:lastPrinted>
  <dcterms:created xsi:type="dcterms:W3CDTF">2021-02-23T21:02:00Z</dcterms:created>
  <dcterms:modified xsi:type="dcterms:W3CDTF">2022-05-05T07:02:00Z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