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ADEA" w14:textId="365803EE" w:rsidR="004B3C71" w:rsidRPr="00021378" w:rsidRDefault="004B3C71" w:rsidP="002E4D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4"/>
          <w:szCs w:val="24"/>
          <w:u w:val="single"/>
        </w:rPr>
      </w:pPr>
      <w:bookmarkStart w:id="0" w:name="_Hlk66298463"/>
    </w:p>
    <w:p w14:paraId="6568C92A" w14:textId="3DEAF32C" w:rsidR="004B3C71" w:rsidRPr="00021378" w:rsidRDefault="00A83768" w:rsidP="00736D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2F2F2" w:themeFill="background1" w:themeFillShade="F2"/>
        <w:jc w:val="center"/>
        <w:rPr>
          <w:rFonts w:ascii="Open Sans" w:eastAsia="Tahoma" w:hAnsi="Open Sans" w:cs="Open Sans"/>
          <w:b/>
          <w:bCs/>
          <w:color w:val="000000"/>
          <w:sz w:val="24"/>
          <w:szCs w:val="24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Szczegółowy </w:t>
      </w:r>
      <w:r w:rsidR="00713F1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>O</w:t>
      </w:r>
      <w:r w:rsidR="0052423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pis </w:t>
      </w:r>
      <w:r w:rsidR="00713F1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>P</w:t>
      </w:r>
      <w:r w:rsidR="0052423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rzedmiotu </w:t>
      </w:r>
      <w:r w:rsidR="00713F1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>Z</w:t>
      </w:r>
      <w:r w:rsidR="0052423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>amówienia</w:t>
      </w:r>
      <w:r w:rsidR="00713F1A" w:rsidRPr="00021378">
        <w:rPr>
          <w:rFonts w:ascii="Open Sans" w:eastAsia="Tahoma" w:hAnsi="Open Sans" w:cs="Open Sans"/>
          <w:b/>
          <w:bCs/>
          <w:color w:val="000000"/>
          <w:sz w:val="24"/>
          <w:szCs w:val="24"/>
        </w:rPr>
        <w:t xml:space="preserve"> (SOPZ)</w:t>
      </w:r>
    </w:p>
    <w:p w14:paraId="380BE7C5" w14:textId="77777777" w:rsidR="002B7F2F" w:rsidRPr="00021378" w:rsidRDefault="002B7F2F" w:rsidP="009547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4"/>
          <w:szCs w:val="24"/>
          <w:u w:val="single"/>
        </w:rPr>
      </w:pPr>
    </w:p>
    <w:p w14:paraId="6D439064" w14:textId="7B09B847" w:rsidR="000D1D34" w:rsidRPr="00021378" w:rsidRDefault="002B7F2F" w:rsidP="000D1D34">
      <w:pPr>
        <w:spacing w:after="120" w:line="280" w:lineRule="exact"/>
        <w:jc w:val="center"/>
        <w:rPr>
          <w:rFonts w:ascii="Open Sans" w:eastAsia="Tahoma" w:hAnsi="Open Sans" w:cs="Open Sans"/>
          <w:b/>
          <w:bCs/>
          <w:color w:val="0000FF"/>
          <w:sz w:val="24"/>
          <w:szCs w:val="24"/>
        </w:rPr>
      </w:pPr>
      <w:bookmarkStart w:id="1" w:name="_Hlk66384233"/>
      <w:r w:rsidRPr="00021378">
        <w:rPr>
          <w:rFonts w:ascii="Open Sans" w:eastAsia="Tahoma" w:hAnsi="Open Sans" w:cs="Open Sans"/>
          <w:b/>
          <w:bCs/>
          <w:color w:val="0000FF"/>
          <w:sz w:val="24"/>
          <w:szCs w:val="24"/>
        </w:rPr>
        <w:t>„</w:t>
      </w:r>
      <w:bookmarkStart w:id="2" w:name="_Hlk68517975"/>
      <w:bookmarkStart w:id="3" w:name="_Hlk65827149"/>
      <w:r w:rsidR="00DF4C8F" w:rsidRPr="00021378">
        <w:rPr>
          <w:rFonts w:ascii="Open Sans" w:eastAsia="Tahoma" w:hAnsi="Open Sans" w:cs="Open Sans"/>
          <w:b/>
          <w:bCs/>
          <w:color w:val="0000FF"/>
          <w:sz w:val="24"/>
          <w:szCs w:val="24"/>
        </w:rPr>
        <w:t>Dostawa systemu lokalizacji i monitoringu pojazdu przeznaczonego do odbioru odpadów komunalnych wraz wagą dynamiczną oraz systemem RFID</w:t>
      </w:r>
      <w:r w:rsidR="000D1D34" w:rsidRPr="00021378">
        <w:rPr>
          <w:rFonts w:ascii="Open Sans" w:eastAsia="Tahoma" w:hAnsi="Open Sans" w:cs="Open Sans"/>
          <w:b/>
          <w:bCs/>
          <w:color w:val="0000FF"/>
          <w:sz w:val="24"/>
          <w:szCs w:val="24"/>
        </w:rPr>
        <w:t>”</w:t>
      </w:r>
    </w:p>
    <w:bookmarkEnd w:id="1"/>
    <w:bookmarkEnd w:id="2"/>
    <w:bookmarkEnd w:id="3"/>
    <w:p w14:paraId="799C457D" w14:textId="77777777" w:rsidR="003E5996" w:rsidRPr="00021378" w:rsidRDefault="003E5996" w:rsidP="004F73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</w:p>
    <w:p w14:paraId="3F2E0D0B" w14:textId="5B196DF5" w:rsidR="004F7330" w:rsidRPr="00021378" w:rsidRDefault="004F7330" w:rsidP="000D1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  <w:u w:val="single"/>
        </w:rPr>
        <w:t>Oznaczenie numeryczne wg wspólnego słownika zamówień:</w:t>
      </w:r>
    </w:p>
    <w:p w14:paraId="1763CEEA" w14:textId="73E2D722" w:rsidR="000D1D34" w:rsidRPr="00021378" w:rsidRDefault="000D1D34" w:rsidP="0002137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CPV: </w:t>
      </w:r>
      <w:r w:rsidR="00021378"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  <w:r w:rsidR="00021378" w:rsidRPr="005D2888">
        <w:rPr>
          <w:rFonts w:ascii="Open Sans" w:eastAsia="Tahoma" w:hAnsi="Open Sans" w:cs="Open Sans"/>
          <w:b/>
          <w:sz w:val="22"/>
          <w:szCs w:val="22"/>
        </w:rPr>
        <w:t>38112100-4</w:t>
      </w:r>
      <w:r w:rsidR="00021378" w:rsidRPr="005D2888">
        <w:rPr>
          <w:rFonts w:ascii="Open Sans" w:eastAsia="Tahoma" w:hAnsi="Open Sans" w:cs="Open Sans"/>
          <w:sz w:val="22"/>
          <w:szCs w:val="22"/>
        </w:rPr>
        <w:t xml:space="preserve">  </w:t>
      </w:r>
      <w:r w:rsidR="00021378" w:rsidRPr="00021378">
        <w:rPr>
          <w:rFonts w:ascii="Open Sans" w:eastAsia="Tahoma" w:hAnsi="Open Sans" w:cs="Open Sans"/>
          <w:color w:val="000000"/>
          <w:sz w:val="22"/>
          <w:szCs w:val="22"/>
        </w:rPr>
        <w:t>Globalne systemy nawigacji i pozycjonowania (GPS lub równorzędne)</w:t>
      </w:r>
    </w:p>
    <w:p w14:paraId="541EB1EB" w14:textId="1FC5078D" w:rsidR="0040343C" w:rsidRPr="00021378" w:rsidRDefault="000D1D34" w:rsidP="0002137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ascii="Open Sans" w:eastAsia="Tahoma" w:hAnsi="Open Sans" w:cs="Open Sans"/>
          <w:color w:val="000000"/>
          <w:sz w:val="22"/>
          <w:szCs w:val="22"/>
        </w:rPr>
      </w:pPr>
      <w:r w:rsidRPr="005D2888">
        <w:rPr>
          <w:rFonts w:ascii="Open Sans" w:eastAsia="Tahoma" w:hAnsi="Open Sans" w:cs="Open Sans"/>
          <w:b/>
          <w:color w:val="000000"/>
          <w:sz w:val="22"/>
          <w:szCs w:val="22"/>
        </w:rPr>
        <w:t>3</w:t>
      </w:r>
      <w:r w:rsidR="00DF4C8F" w:rsidRPr="005D2888">
        <w:rPr>
          <w:rFonts w:ascii="Open Sans" w:eastAsia="Tahoma" w:hAnsi="Open Sans" w:cs="Open Sans"/>
          <w:b/>
          <w:color w:val="000000"/>
          <w:sz w:val="22"/>
          <w:szCs w:val="22"/>
        </w:rPr>
        <w:t>8</w:t>
      </w:r>
      <w:r w:rsidRPr="005D2888">
        <w:rPr>
          <w:rFonts w:ascii="Open Sans" w:eastAsia="Tahoma" w:hAnsi="Open Sans" w:cs="Open Sans"/>
          <w:b/>
          <w:color w:val="000000"/>
          <w:sz w:val="22"/>
          <w:szCs w:val="22"/>
        </w:rPr>
        <w:t>3</w:t>
      </w:r>
      <w:r w:rsidR="00DF4C8F" w:rsidRPr="005D2888">
        <w:rPr>
          <w:rFonts w:ascii="Open Sans" w:eastAsia="Tahoma" w:hAnsi="Open Sans" w:cs="Open Sans"/>
          <w:b/>
          <w:color w:val="000000"/>
          <w:sz w:val="22"/>
          <w:szCs w:val="22"/>
        </w:rPr>
        <w:t>11000</w:t>
      </w:r>
      <w:r w:rsidRPr="005D2888">
        <w:rPr>
          <w:rFonts w:ascii="Open Sans" w:eastAsia="Tahoma" w:hAnsi="Open Sans" w:cs="Open Sans"/>
          <w:b/>
          <w:color w:val="000000"/>
          <w:sz w:val="22"/>
          <w:szCs w:val="22"/>
        </w:rPr>
        <w:t>-8</w:t>
      </w:r>
      <w:r w:rsidR="005D2888">
        <w:rPr>
          <w:rFonts w:ascii="Open Sans" w:eastAsia="Tahoma" w:hAnsi="Open Sans" w:cs="Open Sans"/>
          <w:color w:val="000000"/>
          <w:sz w:val="22"/>
          <w:szCs w:val="22"/>
        </w:rPr>
        <w:t xml:space="preserve">  </w:t>
      </w:r>
      <w:r w:rsidR="00DF4C8F" w:rsidRPr="00021378">
        <w:rPr>
          <w:rFonts w:ascii="Open Sans" w:eastAsia="Tahoma" w:hAnsi="Open Sans" w:cs="Open Sans"/>
          <w:color w:val="000000"/>
          <w:sz w:val="22"/>
          <w:szCs w:val="22"/>
        </w:rPr>
        <w:t>Wagi elektroniczne i akcesoria</w:t>
      </w:r>
    </w:p>
    <w:p w14:paraId="52A525F7" w14:textId="77777777" w:rsidR="000D1D34" w:rsidRPr="00021378" w:rsidRDefault="000D1D34" w:rsidP="000D1D34">
      <w:pPr>
        <w:pBdr>
          <w:top w:val="nil"/>
          <w:left w:val="nil"/>
          <w:bottom w:val="nil"/>
          <w:right w:val="nil"/>
          <w:between w:val="nil"/>
        </w:pBdr>
        <w:ind w:firstLine="2127"/>
        <w:rPr>
          <w:rFonts w:ascii="Open Sans" w:eastAsia="Tahoma" w:hAnsi="Open Sans" w:cs="Open Sans"/>
          <w:color w:val="000000"/>
          <w:sz w:val="22"/>
          <w:szCs w:val="22"/>
        </w:rPr>
      </w:pPr>
    </w:p>
    <w:p w14:paraId="234735EE" w14:textId="7DED9A30" w:rsidR="004F7330" w:rsidRPr="00021378" w:rsidRDefault="00713717" w:rsidP="00B9656B">
      <w:pPr>
        <w:pStyle w:val="Tytu"/>
        <w:keepNext w:val="0"/>
        <w:keepLines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left="284" w:hanging="284"/>
        <w:rPr>
          <w:rFonts w:ascii="Open Sans" w:hAnsi="Open Sans" w:cs="Open Sans"/>
          <w:bCs/>
          <w:sz w:val="22"/>
          <w:szCs w:val="22"/>
        </w:rPr>
      </w:pPr>
      <w:r w:rsidRPr="00021378">
        <w:rPr>
          <w:rFonts w:ascii="Open Sans" w:hAnsi="Open Sans" w:cs="Open Sans"/>
          <w:bCs/>
          <w:sz w:val="22"/>
          <w:szCs w:val="22"/>
        </w:rPr>
        <w:t xml:space="preserve"> </w:t>
      </w:r>
      <w:r w:rsidR="004F7330" w:rsidRPr="00021378">
        <w:rPr>
          <w:rFonts w:ascii="Open Sans" w:hAnsi="Open Sans" w:cs="Open Sans"/>
          <w:bCs/>
          <w:sz w:val="22"/>
          <w:szCs w:val="22"/>
        </w:rPr>
        <w:t xml:space="preserve">Informacje </w:t>
      </w:r>
      <w:r w:rsidR="004F7330" w:rsidRPr="00021378">
        <w:rPr>
          <w:rFonts w:ascii="Open Sans" w:hAnsi="Open Sans" w:cs="Open Sans"/>
          <w:sz w:val="22"/>
          <w:szCs w:val="22"/>
        </w:rPr>
        <w:t>wstępne.</w:t>
      </w:r>
    </w:p>
    <w:p w14:paraId="7DECB736" w14:textId="77777777" w:rsidR="004F7330" w:rsidRPr="00021378" w:rsidRDefault="004F7330" w:rsidP="004F7330">
      <w:pPr>
        <w:pStyle w:val="Tytu"/>
        <w:keepNext w:val="0"/>
        <w:keepLines w:val="0"/>
        <w:shd w:val="clear" w:color="auto" w:fill="FFFFFF" w:themeFill="background1"/>
        <w:spacing w:before="0" w:after="0"/>
        <w:rPr>
          <w:rFonts w:ascii="Open Sans" w:hAnsi="Open Sans" w:cs="Open Sans"/>
          <w:bCs/>
          <w:color w:val="0000FF"/>
          <w:sz w:val="22"/>
          <w:szCs w:val="22"/>
        </w:rPr>
      </w:pPr>
      <w:r w:rsidRPr="00021378">
        <w:rPr>
          <w:rFonts w:ascii="Open Sans" w:hAnsi="Open Sans" w:cs="Open Sans"/>
          <w:b w:val="0"/>
          <w:bCs/>
          <w:color w:val="000000"/>
          <w:sz w:val="22"/>
          <w:szCs w:val="22"/>
        </w:rPr>
        <w:t>W prowadzonym postępowaniu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21378">
        <w:rPr>
          <w:rFonts w:ascii="Open Sans" w:hAnsi="Open Sans" w:cs="Open Sans"/>
          <w:b w:val="0"/>
          <w:color w:val="000000"/>
          <w:sz w:val="22"/>
          <w:szCs w:val="22"/>
        </w:rPr>
        <w:t>Zamawiający:</w:t>
      </w:r>
    </w:p>
    <w:p w14:paraId="7D3D84F4" w14:textId="77777777" w:rsidR="004F7330" w:rsidRPr="00021378" w:rsidRDefault="004F7330" w:rsidP="00B9656B">
      <w:pPr>
        <w:pStyle w:val="Tytu"/>
        <w:keepNext w:val="0"/>
        <w:keepLines w:val="0"/>
        <w:numPr>
          <w:ilvl w:val="1"/>
          <w:numId w:val="5"/>
        </w:numPr>
        <w:tabs>
          <w:tab w:val="left" w:pos="284"/>
        </w:tabs>
        <w:spacing w:before="0" w:after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bCs/>
          <w:color w:val="000000"/>
          <w:sz w:val="22"/>
          <w:szCs w:val="22"/>
        </w:rPr>
        <w:t xml:space="preserve">Nie dopuszcza </w:t>
      </w:r>
      <w:r w:rsidRPr="00021378">
        <w:rPr>
          <w:rFonts w:ascii="Open Sans" w:hAnsi="Open Sans" w:cs="Open Sans"/>
          <w:color w:val="000000"/>
          <w:sz w:val="22"/>
          <w:szCs w:val="22"/>
        </w:rPr>
        <w:t>możliwości:</w:t>
      </w:r>
    </w:p>
    <w:p w14:paraId="3C228C09" w14:textId="0F4F69B7" w:rsidR="004F7330" w:rsidRPr="00021378" w:rsidRDefault="000302C2" w:rsidP="00B9656B">
      <w:pPr>
        <w:pStyle w:val="Tytu"/>
        <w:keepNext w:val="0"/>
        <w:keepLines w:val="0"/>
        <w:numPr>
          <w:ilvl w:val="1"/>
          <w:numId w:val="7"/>
        </w:numPr>
        <w:tabs>
          <w:tab w:val="left" w:pos="284"/>
        </w:tabs>
        <w:spacing w:before="0" w:after="0"/>
        <w:ind w:left="709" w:hanging="425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021378">
        <w:rPr>
          <w:rFonts w:ascii="Open Sans" w:hAnsi="Open Sans" w:cs="Open Sans"/>
          <w:b w:val="0"/>
          <w:bCs/>
          <w:color w:val="000000"/>
          <w:sz w:val="22"/>
          <w:szCs w:val="22"/>
        </w:rPr>
        <w:t xml:space="preserve"> </w:t>
      </w:r>
      <w:r w:rsidR="004F7330" w:rsidRPr="00021378">
        <w:rPr>
          <w:rFonts w:ascii="Open Sans" w:hAnsi="Open Sans" w:cs="Open Sans"/>
          <w:b w:val="0"/>
          <w:bCs/>
          <w:color w:val="000000"/>
          <w:sz w:val="22"/>
          <w:szCs w:val="22"/>
        </w:rPr>
        <w:t>Składania</w:t>
      </w:r>
      <w:r w:rsidR="004F7330" w:rsidRPr="000213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F7330" w:rsidRPr="00021378">
        <w:rPr>
          <w:rFonts w:ascii="Open Sans" w:hAnsi="Open Sans" w:cs="Open Sans"/>
          <w:bCs/>
          <w:color w:val="000000"/>
          <w:sz w:val="22"/>
          <w:szCs w:val="22"/>
        </w:rPr>
        <w:t xml:space="preserve">ofert wariantowych. </w:t>
      </w:r>
    </w:p>
    <w:p w14:paraId="146317CE" w14:textId="74973B96" w:rsidR="004F7330" w:rsidRPr="00021378" w:rsidRDefault="000302C2" w:rsidP="00B9656B">
      <w:pPr>
        <w:pStyle w:val="Tytu"/>
        <w:keepNext w:val="0"/>
        <w:keepLines w:val="0"/>
        <w:numPr>
          <w:ilvl w:val="1"/>
          <w:numId w:val="7"/>
        </w:numPr>
        <w:tabs>
          <w:tab w:val="left" w:pos="284"/>
        </w:tabs>
        <w:spacing w:before="0" w:after="0"/>
        <w:ind w:left="709" w:hanging="425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b w:val="0"/>
          <w:bCs/>
          <w:color w:val="000000"/>
          <w:sz w:val="22"/>
          <w:szCs w:val="22"/>
        </w:rPr>
        <w:t xml:space="preserve"> </w:t>
      </w:r>
      <w:r w:rsidR="004F7330" w:rsidRPr="00021378">
        <w:rPr>
          <w:rFonts w:ascii="Open Sans" w:eastAsia="Tahoma" w:hAnsi="Open Sans" w:cs="Open Sans"/>
          <w:b w:val="0"/>
          <w:bCs/>
          <w:color w:val="000000"/>
          <w:sz w:val="22"/>
          <w:szCs w:val="22"/>
        </w:rPr>
        <w:t>Składania</w:t>
      </w:r>
      <w:r w:rsidR="004F7330"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ofert częściowych.</w:t>
      </w:r>
    </w:p>
    <w:p w14:paraId="3894E7D8" w14:textId="77777777" w:rsidR="004F7330" w:rsidRPr="00021378" w:rsidRDefault="004F7330" w:rsidP="00B965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bCs/>
          <w:color w:val="000000"/>
          <w:sz w:val="22"/>
          <w:szCs w:val="22"/>
        </w:rPr>
        <w:t>Nie przewiduje:</w:t>
      </w:r>
    </w:p>
    <w:p w14:paraId="438F112D" w14:textId="68D5ECD7" w:rsidR="004F7330" w:rsidRPr="00021378" w:rsidRDefault="000302C2" w:rsidP="00B9656B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ind w:left="284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F7330" w:rsidRPr="00021378">
        <w:rPr>
          <w:rFonts w:ascii="Open Sans" w:hAnsi="Open Sans" w:cs="Open Sans"/>
          <w:color w:val="000000"/>
          <w:sz w:val="22"/>
          <w:szCs w:val="22"/>
        </w:rPr>
        <w:t xml:space="preserve">Zastosowania </w:t>
      </w:r>
      <w:r w:rsidR="004F7330" w:rsidRPr="00021378">
        <w:rPr>
          <w:rFonts w:ascii="Open Sans" w:hAnsi="Open Sans" w:cs="Open Sans"/>
          <w:color w:val="000000"/>
          <w:sz w:val="22"/>
          <w:szCs w:val="22"/>
          <w:u w:val="single"/>
        </w:rPr>
        <w:t>aukcji elektronicznej.</w:t>
      </w:r>
      <w:r w:rsidR="004F7330" w:rsidRPr="0002137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</w:p>
    <w:p w14:paraId="6292BEAB" w14:textId="71EBDDFA" w:rsidR="004F7330" w:rsidRPr="00021378" w:rsidRDefault="000302C2" w:rsidP="00B9656B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ind w:left="284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  <w:r w:rsidR="004F7330" w:rsidRPr="00021378">
        <w:rPr>
          <w:rFonts w:ascii="Open Sans" w:hAnsi="Open Sans" w:cs="Open Sans"/>
          <w:color w:val="000000"/>
          <w:sz w:val="22"/>
          <w:szCs w:val="22"/>
          <w:u w:val="single"/>
        </w:rPr>
        <w:t>Zwrotu kosztów</w:t>
      </w:r>
      <w:r w:rsidR="004F7330" w:rsidRPr="00021378">
        <w:rPr>
          <w:rFonts w:ascii="Open Sans" w:hAnsi="Open Sans" w:cs="Open Sans"/>
          <w:color w:val="000000"/>
          <w:sz w:val="22"/>
          <w:szCs w:val="22"/>
        </w:rPr>
        <w:t xml:space="preserve"> udziału w postępowaniu</w:t>
      </w:r>
      <w:r w:rsidR="004F7330" w:rsidRPr="00021378">
        <w:rPr>
          <w:rFonts w:ascii="Open Sans" w:hAnsi="Open Sans" w:cs="Open Sans"/>
          <w:b/>
          <w:bCs/>
          <w:color w:val="000000"/>
          <w:sz w:val="22"/>
          <w:szCs w:val="22"/>
        </w:rPr>
        <w:t>.</w:t>
      </w:r>
    </w:p>
    <w:p w14:paraId="32A97F5D" w14:textId="00AFB2EA" w:rsidR="004F7330" w:rsidRPr="00021378" w:rsidRDefault="004F7330" w:rsidP="00B965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bCs/>
          <w:color w:val="000000"/>
          <w:sz w:val="22"/>
          <w:szCs w:val="22"/>
        </w:rPr>
        <w:t>Cena musi obejmować wszystkie koszty dostawy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 np. transport, ubezpieczenie </w:t>
      </w:r>
      <w:r w:rsidR="000302C2" w:rsidRPr="00021378">
        <w:rPr>
          <w:rFonts w:ascii="Open Sans" w:hAnsi="Open Sans" w:cs="Open Sans"/>
          <w:color w:val="000000"/>
          <w:sz w:val="22"/>
          <w:szCs w:val="22"/>
        </w:rPr>
        <w:br/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do momentu dostawy w miejsce wskazane przez Zamawiającego, akcyza, cło, podatki itp.  </w:t>
      </w:r>
    </w:p>
    <w:p w14:paraId="2B87D313" w14:textId="1D249288" w:rsidR="004F7330" w:rsidRPr="00021378" w:rsidRDefault="004F7330" w:rsidP="00B965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Informuje, 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że wszelkie rozliczenia między stronami, tj. między Zamawiającym, </w:t>
      </w:r>
      <w:r w:rsidRPr="00021378">
        <w:rPr>
          <w:rFonts w:ascii="Open Sans" w:hAnsi="Open Sans" w:cs="Open Sans"/>
          <w:color w:val="000000"/>
          <w:sz w:val="22"/>
          <w:szCs w:val="22"/>
        </w:rPr>
        <w:br/>
        <w:t xml:space="preserve">a Wykonawcą będą prowadzone w PLN. </w:t>
      </w:r>
    </w:p>
    <w:p w14:paraId="63C4E0D6" w14:textId="24AE5E75" w:rsidR="004F7330" w:rsidRPr="00021378" w:rsidRDefault="004F7330" w:rsidP="00E517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Najpierw dokonuje </w:t>
      </w:r>
      <w:r w:rsidRPr="00021378">
        <w:rPr>
          <w:rFonts w:ascii="Open Sans" w:hAnsi="Open Sans" w:cs="Open Sans"/>
          <w:color w:val="000000"/>
          <w:sz w:val="22"/>
          <w:szCs w:val="22"/>
        </w:rPr>
        <w:t>oceny ofert, a następnie będzie badał, czy Wykonawca, którego oferta została</w:t>
      </w:r>
      <w:r w:rsidRPr="0002137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Pr="00021378">
        <w:rPr>
          <w:rFonts w:ascii="Open Sans" w:hAnsi="Open Sans" w:cs="Open Sans"/>
          <w:color w:val="000000"/>
          <w:sz w:val="22"/>
          <w:szCs w:val="22"/>
        </w:rPr>
        <w:t>oceniona jako najkorzystniejsza, nie podlega wykluczeniu oraz spełnia warunki udziału w postępowaniu</w:t>
      </w:r>
      <w:r w:rsidR="00E51767"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p w14:paraId="5252BF04" w14:textId="146269E9" w:rsidR="004F7330" w:rsidRPr="00021378" w:rsidRDefault="004F7330" w:rsidP="00B9656B">
      <w:pPr>
        <w:pStyle w:val="Tytu"/>
        <w:keepNext w:val="0"/>
        <w:keepLines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spacing w:before="0" w:after="0"/>
        <w:ind w:left="284" w:hanging="284"/>
        <w:rPr>
          <w:rFonts w:ascii="Open Sans" w:hAnsi="Open Sans" w:cs="Open Sans"/>
          <w:bCs/>
          <w:sz w:val="22"/>
          <w:szCs w:val="22"/>
        </w:rPr>
      </w:pPr>
      <w:r w:rsidRPr="00021378">
        <w:rPr>
          <w:rFonts w:ascii="Open Sans" w:hAnsi="Open Sans" w:cs="Open Sans"/>
          <w:bCs/>
          <w:sz w:val="22"/>
          <w:szCs w:val="22"/>
        </w:rPr>
        <w:t>Przedmiot zamówienia.</w:t>
      </w:r>
    </w:p>
    <w:bookmarkEnd w:id="0"/>
    <w:p w14:paraId="710D44CD" w14:textId="380BA527" w:rsidR="00736D3E" w:rsidRPr="00021378" w:rsidRDefault="000D1D34" w:rsidP="0040343C">
      <w:pPr>
        <w:tabs>
          <w:tab w:val="left" w:pos="284"/>
        </w:tabs>
        <w:jc w:val="both"/>
        <w:rPr>
          <w:rFonts w:ascii="Open Sans" w:eastAsia="Tahoma" w:hAnsi="Open Sans" w:cs="Open Sans"/>
          <w:b/>
          <w:bCs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„</w:t>
      </w:r>
      <w:r w:rsidR="00DF4C8F"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Dostawa systemu lokalizacji i monitoringu pojazdu przeznaczonego do odbioru odpadów komunalnych wraz wagą dynamiczną oraz systemem RFID</w:t>
      </w: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”</w:t>
      </w:r>
    </w:p>
    <w:p w14:paraId="2F770C85" w14:textId="77777777" w:rsidR="000D1D34" w:rsidRPr="00021378" w:rsidRDefault="000D1D34" w:rsidP="0040343C">
      <w:pPr>
        <w:tabs>
          <w:tab w:val="left" w:pos="284"/>
        </w:tabs>
        <w:jc w:val="both"/>
        <w:rPr>
          <w:rFonts w:ascii="Open Sans" w:hAnsi="Open Sans" w:cs="Open Sans"/>
          <w:i/>
          <w:iCs/>
          <w:sz w:val="22"/>
          <w:szCs w:val="22"/>
        </w:rPr>
      </w:pPr>
    </w:p>
    <w:p w14:paraId="5E71B3CC" w14:textId="288E7FA9" w:rsidR="00767DD6" w:rsidRPr="00021378" w:rsidRDefault="00767DD6" w:rsidP="00B9656B">
      <w:pPr>
        <w:pStyle w:val="Akapitzlist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bookmarkStart w:id="4" w:name="_Hlk66410139"/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Szczegółowy opis przedmiotu zamówienia</w:t>
      </w:r>
    </w:p>
    <w:p w14:paraId="4A69FCCF" w14:textId="40C1BA2E" w:rsidR="00DF4C8F" w:rsidRPr="00021378" w:rsidRDefault="00DF4C8F" w:rsidP="00125F31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 xml:space="preserve">Przedmiotem </w:t>
      </w:r>
      <w:r w:rsidRPr="00021378">
        <w:rPr>
          <w:rFonts w:ascii="Open Sans" w:hAnsi="Open Sans" w:cs="Open Sans"/>
          <w:color w:val="000000"/>
          <w:sz w:val="22"/>
          <w:szCs w:val="22"/>
        </w:rPr>
        <w:t>zamówienia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 jest: dostawa wraz z montażem kompletnego systemu lokalizacji 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GPS </w:t>
      </w:r>
      <w:r w:rsidRPr="00021378">
        <w:rPr>
          <w:rFonts w:ascii="Open Sans" w:hAnsi="Open Sans" w:cs="Open Sans"/>
          <w:color w:val="000000"/>
          <w:sz w:val="22"/>
          <w:szCs w:val="22"/>
        </w:rPr>
        <w:t>i monitorowania pracy śmieciarki w oparciu o system wagowy oraz RFID.</w:t>
      </w:r>
    </w:p>
    <w:p w14:paraId="2E2FFDBD" w14:textId="4AE03584" w:rsidR="00DF4C8F" w:rsidRPr="005E1551" w:rsidRDefault="00DF4C8F" w:rsidP="005E1551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color w:val="000000"/>
          <w:sz w:val="22"/>
          <w:szCs w:val="22"/>
        </w:rPr>
        <w:t>Uwaga:</w:t>
      </w:r>
      <w:r w:rsidR="005E1551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5E1551">
        <w:rPr>
          <w:rFonts w:ascii="Open Sans" w:hAnsi="Open Sans" w:cs="Open Sans"/>
          <w:color w:val="000000"/>
          <w:sz w:val="22"/>
          <w:szCs w:val="22"/>
        </w:rPr>
        <w:t>Urządzeni</w:t>
      </w:r>
      <w:r w:rsidR="00794C00" w:rsidRPr="005E1551">
        <w:rPr>
          <w:rFonts w:ascii="Open Sans" w:hAnsi="Open Sans" w:cs="Open Sans"/>
          <w:color w:val="000000"/>
          <w:sz w:val="22"/>
          <w:szCs w:val="22"/>
        </w:rPr>
        <w:t>a załadowcze pojazdu typu SK200 są</w:t>
      </w:r>
      <w:r w:rsidRPr="005E1551">
        <w:rPr>
          <w:rFonts w:ascii="Open Sans" w:hAnsi="Open Sans" w:cs="Open Sans"/>
          <w:color w:val="000000"/>
          <w:sz w:val="22"/>
          <w:szCs w:val="22"/>
        </w:rPr>
        <w:t xml:space="preserve"> dostosowane fabrycznie do montażu wagi dynamicznej.</w:t>
      </w:r>
    </w:p>
    <w:p w14:paraId="624FA258" w14:textId="0428EA8C" w:rsidR="00794C00" w:rsidRDefault="00794C00" w:rsidP="00DF4C8F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System monitoringu musi być wykonany z materiałów fabrycznie nowych oraz odpowiadać, co do jakości wymogom wyrobów dopuszczonych do obrotu i stosowania oraz wymaganiom Opisu Przedmiotu Zamówieni</w:t>
      </w:r>
      <w:r w:rsidR="006A4670">
        <w:rPr>
          <w:rFonts w:ascii="Open Sans" w:eastAsia="Tahoma" w:hAnsi="Open Sans" w:cs="Open Sans"/>
          <w:color w:val="000000"/>
          <w:sz w:val="22"/>
          <w:szCs w:val="22"/>
        </w:rPr>
        <w:t>a.</w:t>
      </w:r>
    </w:p>
    <w:p w14:paraId="6EEC8EA3" w14:textId="40E50BC9" w:rsidR="006A4670" w:rsidRDefault="006A4670" w:rsidP="00DF4C8F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t>W kalkulacji ceny Wykonawca uwzględni jednoroczny abonament na usługę transmisji danych i dostępu do aplikacji monitorującej pracę pojazdu.</w:t>
      </w:r>
    </w:p>
    <w:p w14:paraId="2E0202A6" w14:textId="77777777" w:rsidR="006A4670" w:rsidRDefault="006A4670">
      <w:pPr>
        <w:rPr>
          <w:rFonts w:ascii="Open Sans" w:eastAsia="Tahoma" w:hAnsi="Open Sans" w:cs="Open Sans"/>
          <w:color w:val="000000"/>
          <w:sz w:val="22"/>
          <w:szCs w:val="22"/>
        </w:rPr>
      </w:pPr>
      <w:r>
        <w:rPr>
          <w:rFonts w:ascii="Open Sans" w:eastAsia="Tahoma" w:hAnsi="Open Sans" w:cs="Open Sans"/>
          <w:color w:val="000000"/>
          <w:sz w:val="22"/>
          <w:szCs w:val="22"/>
        </w:rPr>
        <w:br w:type="page"/>
      </w:r>
    </w:p>
    <w:p w14:paraId="02260DEF" w14:textId="77777777" w:rsidR="00DF4C8F" w:rsidRPr="00021378" w:rsidRDefault="00DF4C8F" w:rsidP="00125F31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color w:val="000000"/>
          <w:sz w:val="22"/>
          <w:szCs w:val="22"/>
        </w:rPr>
        <w:lastRenderedPageBreak/>
        <w:t>Podstawowe wymagania od systemu monitoringu:</w:t>
      </w:r>
    </w:p>
    <w:p w14:paraId="417E99D3" w14:textId="1847AEA9" w:rsidR="00DF4C8F" w:rsidRPr="00021378" w:rsidRDefault="00DF4C8F" w:rsidP="00DF4C8F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Ciągła rejestracja lokalizacji pojazdu</w:t>
      </w:r>
      <w:r w:rsidR="00674025"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p w14:paraId="08F14E3D" w14:textId="30E018E2" w:rsidR="00DF4C8F" w:rsidRPr="00021378" w:rsidRDefault="00DF4C8F" w:rsidP="00DF4C8F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 xml:space="preserve">Odczyt </w:t>
      </w:r>
      <w:proofErr w:type="spellStart"/>
      <w:r w:rsidRPr="00021378">
        <w:rPr>
          <w:rFonts w:ascii="Open Sans" w:hAnsi="Open Sans" w:cs="Open Sans"/>
          <w:color w:val="000000"/>
          <w:sz w:val="22"/>
          <w:szCs w:val="22"/>
        </w:rPr>
        <w:t>tagów</w:t>
      </w:r>
      <w:proofErr w:type="spellEnd"/>
      <w:r w:rsidRPr="00021378">
        <w:rPr>
          <w:rFonts w:ascii="Open Sans" w:hAnsi="Open Sans" w:cs="Open Sans"/>
          <w:color w:val="000000"/>
          <w:sz w:val="22"/>
          <w:szCs w:val="22"/>
        </w:rPr>
        <w:t xml:space="preserve"> RFID pracujących na częstot</w:t>
      </w:r>
      <w:r w:rsidRPr="00021378">
        <w:rPr>
          <w:rFonts w:ascii="Open Sans" w:hAnsi="Open Sans" w:cs="Open Sans"/>
          <w:color w:val="000000"/>
          <w:sz w:val="22"/>
          <w:szCs w:val="22"/>
        </w:rPr>
        <w:t>liwości 125 kHz zamontowanych w </w:t>
      </w:r>
      <w:r w:rsidRPr="00021378">
        <w:rPr>
          <w:rFonts w:ascii="Open Sans" w:hAnsi="Open Sans" w:cs="Open Sans"/>
          <w:color w:val="000000"/>
          <w:sz w:val="22"/>
          <w:szCs w:val="22"/>
        </w:rPr>
        <w:t>fabrycznych gniazdach pojemników dwukołowych oraz nitowanych do powierzchni czołowych pojemników czterokołowych.</w:t>
      </w:r>
    </w:p>
    <w:p w14:paraId="25F5EE9A" w14:textId="53B8CEB9" w:rsidR="00DF4C8F" w:rsidRPr="00021378" w:rsidRDefault="00DF4C8F" w:rsidP="00DF4C8F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Automatyczna rejestracja masy odpadów z każde</w:t>
      </w:r>
      <w:r w:rsidRPr="00021378">
        <w:rPr>
          <w:rFonts w:ascii="Open Sans" w:hAnsi="Open Sans" w:cs="Open Sans"/>
          <w:color w:val="000000"/>
          <w:sz w:val="22"/>
          <w:szCs w:val="22"/>
        </w:rPr>
        <w:t>go odbieranego pojemnika wraz z 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odczytanym </w:t>
      </w:r>
      <w:proofErr w:type="spellStart"/>
      <w:r w:rsidRPr="00021378">
        <w:rPr>
          <w:rFonts w:ascii="Open Sans" w:hAnsi="Open Sans" w:cs="Open Sans"/>
          <w:color w:val="000000"/>
          <w:sz w:val="22"/>
          <w:szCs w:val="22"/>
        </w:rPr>
        <w:t>tagiem</w:t>
      </w:r>
      <w:proofErr w:type="spellEnd"/>
      <w:r w:rsidRPr="00021378">
        <w:rPr>
          <w:rFonts w:ascii="Open Sans" w:hAnsi="Open Sans" w:cs="Open Sans"/>
          <w:color w:val="000000"/>
          <w:sz w:val="22"/>
          <w:szCs w:val="22"/>
        </w:rPr>
        <w:t xml:space="preserve"> RFID</w:t>
      </w:r>
      <w:r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p w14:paraId="0E32671E" w14:textId="11043B9A" w:rsidR="00DF4C8F" w:rsidRPr="00021378" w:rsidRDefault="00DF4C8F" w:rsidP="00DF4C8F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Pojazd wyposażony zostanie w mobilny terminal z aplikacją nawigującą, na którym kierowca będzie miał na bieżąco wgląd w il</w:t>
      </w:r>
      <w:r w:rsidRPr="00021378">
        <w:rPr>
          <w:rFonts w:ascii="Open Sans" w:hAnsi="Open Sans" w:cs="Open Sans"/>
          <w:color w:val="000000"/>
          <w:sz w:val="22"/>
          <w:szCs w:val="22"/>
        </w:rPr>
        <w:t>ość załadowanych odpadów wraz z 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funkcjonalnością </w:t>
      </w:r>
      <w:r w:rsidR="00674025" w:rsidRPr="00021378">
        <w:rPr>
          <w:rFonts w:ascii="Open Sans" w:hAnsi="Open Sans" w:cs="Open Sans"/>
          <w:color w:val="000000"/>
          <w:sz w:val="22"/>
          <w:szCs w:val="22"/>
        </w:rPr>
        <w:t xml:space="preserve">zdalnego </w:t>
      </w:r>
      <w:r w:rsidRPr="00021378">
        <w:rPr>
          <w:rFonts w:ascii="Open Sans" w:hAnsi="Open Sans" w:cs="Open Sans"/>
          <w:color w:val="000000"/>
          <w:sz w:val="22"/>
          <w:szCs w:val="22"/>
        </w:rPr>
        <w:t>przesyłania tras</w:t>
      </w:r>
      <w:r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p w14:paraId="1E2C71F9" w14:textId="639750E4" w:rsidR="006A4670" w:rsidRPr="006A4670" w:rsidRDefault="00DF4C8F" w:rsidP="006A4670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5" w:name="_GoBack"/>
      <w:bookmarkEnd w:id="5"/>
      <w:r w:rsidRPr="00021378">
        <w:rPr>
          <w:rFonts w:ascii="Open Sans" w:hAnsi="Open Sans" w:cs="Open Sans"/>
          <w:color w:val="000000"/>
          <w:sz w:val="22"/>
          <w:szCs w:val="22"/>
        </w:rPr>
        <w:t>Zamawiający otrzyma dostęp do aplikacji monitorującej pracę pojazdu za pośrednictwem dedykowanej strony www wykonanej współczesnymi technologiami</w:t>
      </w:r>
      <w:r w:rsidR="00D4783F" w:rsidRPr="00021378">
        <w:rPr>
          <w:rFonts w:ascii="Open Sans" w:hAnsi="Open Sans" w:cs="Open Sans"/>
          <w:color w:val="000000"/>
          <w:sz w:val="22"/>
          <w:szCs w:val="22"/>
        </w:rPr>
        <w:t xml:space="preserve"> informatycznymi</w:t>
      </w:r>
      <w:r w:rsidRPr="00021378">
        <w:rPr>
          <w:rFonts w:ascii="Open Sans" w:hAnsi="Open Sans" w:cs="Open Sans"/>
          <w:color w:val="000000"/>
          <w:sz w:val="22"/>
          <w:szCs w:val="22"/>
        </w:rPr>
        <w:t xml:space="preserve">. Nie dopuszczalne jest stosowanie technologii </w:t>
      </w:r>
      <w:proofErr w:type="spellStart"/>
      <w:r w:rsidRPr="00021378">
        <w:rPr>
          <w:rFonts w:ascii="Open Sans" w:hAnsi="Open Sans" w:cs="Open Sans"/>
          <w:color w:val="000000"/>
          <w:sz w:val="22"/>
          <w:szCs w:val="22"/>
        </w:rPr>
        <w:t>flash</w:t>
      </w:r>
      <w:proofErr w:type="spellEnd"/>
      <w:r w:rsidRPr="00021378">
        <w:rPr>
          <w:rFonts w:ascii="Open Sans" w:hAnsi="Open Sans" w:cs="Open Sans"/>
          <w:color w:val="000000"/>
          <w:sz w:val="22"/>
          <w:szCs w:val="22"/>
        </w:rPr>
        <w:t>.</w:t>
      </w:r>
      <w:r w:rsidR="006A467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A4670" w:rsidRPr="006A4670">
        <w:rPr>
          <w:rFonts w:ascii="Open Sans" w:hAnsi="Open Sans" w:cs="Open Sans"/>
          <w:color w:val="000000"/>
          <w:sz w:val="22"/>
          <w:szCs w:val="22"/>
        </w:rPr>
        <w:t xml:space="preserve">System ma wspierać opracowywanie optymalnych tras przejazdu dla pojazdów pomiędzy wyznaczonymi punktami z uwzględnieniem ograniczeń narzucanych przez </w:t>
      </w:r>
      <w:r w:rsidR="006A4670">
        <w:rPr>
          <w:rFonts w:ascii="Open Sans" w:hAnsi="Open Sans" w:cs="Open Sans"/>
          <w:color w:val="000000"/>
          <w:sz w:val="22"/>
          <w:szCs w:val="22"/>
        </w:rPr>
        <w:t>specyfikę pracy pojazdu komunalnego</w:t>
      </w:r>
      <w:r w:rsidR="006A4670" w:rsidRPr="006A4670">
        <w:rPr>
          <w:rFonts w:ascii="Open Sans" w:hAnsi="Open Sans" w:cs="Open Sans"/>
          <w:color w:val="000000"/>
          <w:sz w:val="22"/>
          <w:szCs w:val="22"/>
        </w:rPr>
        <w:t xml:space="preserve"> np. brak możliwości wjazdu na dany teren, dodawanie, edytowanie i zachowywanie przejazdów nieoznaczonych mapie</w:t>
      </w:r>
      <w:r w:rsidR="006A4670">
        <w:rPr>
          <w:rFonts w:ascii="Open Sans" w:hAnsi="Open Sans" w:cs="Open Sans"/>
          <w:color w:val="000000"/>
          <w:sz w:val="22"/>
          <w:szCs w:val="22"/>
        </w:rPr>
        <w:t>.</w:t>
      </w:r>
    </w:p>
    <w:p w14:paraId="2C53276C" w14:textId="1E339BFB" w:rsidR="00DF4C8F" w:rsidRPr="00021378" w:rsidRDefault="00D4783F" w:rsidP="00125F31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021378">
        <w:rPr>
          <w:rFonts w:ascii="Open Sans" w:hAnsi="Open Sans" w:cs="Open Sans"/>
          <w:b/>
          <w:color w:val="000000"/>
          <w:sz w:val="22"/>
          <w:szCs w:val="22"/>
        </w:rPr>
        <w:t>Podstawow</w:t>
      </w:r>
      <w:r w:rsidR="009638F6" w:rsidRPr="00021378">
        <w:rPr>
          <w:rFonts w:ascii="Open Sans" w:hAnsi="Open Sans" w:cs="Open Sans"/>
          <w:b/>
          <w:color w:val="000000"/>
          <w:sz w:val="22"/>
          <w:szCs w:val="22"/>
        </w:rPr>
        <w:t>a charakterystyka techniczna wagi dynamicznej</w:t>
      </w:r>
      <w:r w:rsidRPr="00021378">
        <w:rPr>
          <w:rFonts w:ascii="Open Sans" w:hAnsi="Open Sans" w:cs="Open Sans"/>
          <w:b/>
          <w:color w:val="000000"/>
          <w:sz w:val="22"/>
          <w:szCs w:val="22"/>
        </w:rPr>
        <w:t>:</w:t>
      </w:r>
    </w:p>
    <w:p w14:paraId="3B8127D1" w14:textId="13257678" w:rsidR="009638F6" w:rsidRPr="00021378" w:rsidRDefault="009638F6" w:rsidP="009638F6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Ważenie pojemnika ma odbywać się w czasie procesu opróżniania pojemnika przez urządzenia załadowcze zamontowane na śmieciarce. System wagowy ma niezależnie wyznaczać (mierzyć) tarę pojemników dla każdego cyklu załadunku.</w:t>
      </w:r>
    </w:p>
    <w:p w14:paraId="709357AA" w14:textId="7812B914" w:rsidR="009638F6" w:rsidRPr="00021378" w:rsidRDefault="009638F6" w:rsidP="009638F6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System wagowy musi być systemem dynamicznym, tzn. rejestrować ciężar ważonych odpadów bez konieczności zatrzymywania urządzeń załadowczych</w:t>
      </w:r>
      <w:r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p w14:paraId="0C7177EF" w14:textId="42DB195D" w:rsidR="009638F6" w:rsidRPr="00021378" w:rsidRDefault="009638F6" w:rsidP="009638F6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Dokładność pomiaru systemu wagowego nie powinna być gorsza niż:</w:t>
      </w:r>
    </w:p>
    <w:p w14:paraId="6A68E657" w14:textId="32A398A6" w:rsidR="009638F6" w:rsidRPr="00021378" w:rsidRDefault="009638F6" w:rsidP="009638F6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Przy załadunku pojemników o wadze brutto do 150 kg wymaga się parametrów</w:t>
      </w:r>
      <w:r w:rsidRPr="00021378">
        <w:rPr>
          <w:rFonts w:ascii="Open Sans" w:hAnsi="Open Sans" w:cs="Open Sans"/>
          <w:color w:val="000000"/>
          <w:sz w:val="22"/>
          <w:szCs w:val="22"/>
        </w:rPr>
        <w:t>:</w:t>
      </w:r>
    </w:p>
    <w:p w14:paraId="22B9A421" w14:textId="77777777" w:rsidR="009638F6" w:rsidRPr="00021378" w:rsidRDefault="009638F6" w:rsidP="009638F6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ab/>
      </w:r>
      <w:r w:rsidRPr="00021378">
        <w:rPr>
          <w:rFonts w:ascii="Open Sans" w:hAnsi="Open Sans" w:cs="Open Sans"/>
          <w:color w:val="000000"/>
          <w:sz w:val="22"/>
          <w:szCs w:val="22"/>
        </w:rPr>
        <w:t>działka legalizacyjna i odczytowa e=d≤1kg (nie większa niż).</w:t>
      </w:r>
    </w:p>
    <w:p w14:paraId="67523CED" w14:textId="77777777" w:rsidR="009638F6" w:rsidRPr="00021378" w:rsidRDefault="009638F6" w:rsidP="009638F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 xml:space="preserve">Przy załadunku pojemników o wadze brutto do 600 kg wymaga się parametrów – </w:t>
      </w:r>
    </w:p>
    <w:p w14:paraId="58F83D1E" w14:textId="77777777" w:rsidR="009638F6" w:rsidRPr="00021378" w:rsidRDefault="009638F6" w:rsidP="009638F6">
      <w:pPr>
        <w:pStyle w:val="Akapitzlist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działka legalizacyjna i odczytowa e=d≤5kg (nie większa niż).</w:t>
      </w:r>
    </w:p>
    <w:p w14:paraId="0A0F8041" w14:textId="356FD463" w:rsidR="00DF4C8F" w:rsidRPr="00021378" w:rsidRDefault="009638F6" w:rsidP="009638F6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21378">
        <w:rPr>
          <w:rFonts w:ascii="Open Sans" w:hAnsi="Open Sans" w:cs="Open Sans"/>
          <w:color w:val="000000"/>
          <w:sz w:val="22"/>
          <w:szCs w:val="22"/>
        </w:rPr>
        <w:t>Wymaga się przełączania działki legalizacyjnej i zakresu max w sposób automatyczny, w zależności od sposobu wykorzystywania mechanizmu załadunkowego śmieciarki</w:t>
      </w:r>
      <w:r w:rsidRPr="00021378">
        <w:rPr>
          <w:rFonts w:ascii="Open Sans" w:hAnsi="Open Sans" w:cs="Open Sans"/>
          <w:color w:val="000000"/>
          <w:sz w:val="22"/>
          <w:szCs w:val="22"/>
        </w:rPr>
        <w:t>.</w:t>
      </w:r>
    </w:p>
    <w:bookmarkEnd w:id="4"/>
    <w:p w14:paraId="7D86CF5E" w14:textId="20EEEF2A" w:rsidR="00C81286" w:rsidRPr="00021378" w:rsidRDefault="00021378" w:rsidP="00125F31">
      <w:pPr>
        <w:pStyle w:val="Akapitzlist"/>
        <w:numPr>
          <w:ilvl w:val="1"/>
          <w:numId w:val="9"/>
        </w:numPr>
        <w:ind w:hanging="436"/>
        <w:jc w:val="both"/>
        <w:rPr>
          <w:rFonts w:ascii="Open Sans" w:eastAsia="Tahoma" w:hAnsi="Open Sans" w:cs="Open Sans"/>
          <w:b/>
          <w:color w:val="000000"/>
          <w:sz w:val="22"/>
          <w:szCs w:val="22"/>
        </w:rPr>
      </w:pPr>
      <w:r>
        <w:rPr>
          <w:rFonts w:ascii="Open Sans" w:eastAsia="Tahoma" w:hAnsi="Open Sans" w:cs="Open Sans"/>
          <w:b/>
          <w:color w:val="000000"/>
          <w:sz w:val="22"/>
          <w:szCs w:val="22"/>
        </w:rPr>
        <w:t>Kryteria minimalne spełniane przez s</w:t>
      </w:r>
      <w:r w:rsidR="00C81286" w:rsidRPr="00021378">
        <w:rPr>
          <w:rFonts w:ascii="Open Sans" w:eastAsia="Tahoma" w:hAnsi="Open Sans" w:cs="Open Sans"/>
          <w:b/>
          <w:color w:val="000000"/>
          <w:sz w:val="22"/>
          <w:szCs w:val="22"/>
        </w:rPr>
        <w:t>terownik lokalizatora GPS:</w:t>
      </w:r>
    </w:p>
    <w:p w14:paraId="7AA6C51E" w14:textId="397E1C2C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Moduł GPS (urządzenie pokładowe) zawierający we wspólnej obudowie odbiornik GPS oraz modem GSM /GPRS wraz z akty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wną kartą SIM.</w:t>
      </w:r>
    </w:p>
    <w:p w14:paraId="34B9083F" w14:textId="337690B3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dokładność GPS do 5 metrów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;</w:t>
      </w:r>
    </w:p>
    <w:p w14:paraId="2FE7548F" w14:textId="33B4A04E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odbiornik GPS 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20-kanałowy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;</w:t>
      </w:r>
    </w:p>
    <w:p w14:paraId="6699FDFD" w14:textId="59182D17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wyposażenie: antena GPS, antena GSM;</w:t>
      </w:r>
    </w:p>
    <w:p w14:paraId="4EEFE46A" w14:textId="50E52DCF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bufor pamięci umożliwiający rejestrację danych o zdarzeniach z ostatnich 2 tygodni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;</w:t>
      </w:r>
    </w:p>
    <w:p w14:paraId="6C95FBAE" w14:textId="7FD4B0A0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praca z napięciami 8-30 VDC, zasilanie z instalacji elektrycznej pojazdu;</w:t>
      </w:r>
    </w:p>
    <w:p w14:paraId="5246C3DC" w14:textId="1B000EBC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maksymaln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y pobór prądu w spoczynku 10mA;</w:t>
      </w:r>
    </w:p>
    <w:p w14:paraId="6C420342" w14:textId="31AD1808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pozycjonowanie (odświeżanie pozycji) pojazdów do 5 sekund, dopuszcza się brak transmisji danych o pozycji pojazdów w czasie, gdy jest wyłączona stacyjka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;</w:t>
      </w:r>
    </w:p>
    <w:p w14:paraId="587FB921" w14:textId="1FFFE12E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zdalna kalibracja/programowanie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/diagnostyka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urządzenia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;</w:t>
      </w:r>
    </w:p>
    <w:p w14:paraId="6A9CE4BC" w14:textId="3DE88EF5" w:rsidR="00C81286" w:rsidRPr="00021378" w:rsidRDefault="00C81286" w:rsidP="00C81286">
      <w:pPr>
        <w:pStyle w:val="Akapitzlist"/>
        <w:numPr>
          <w:ilvl w:val="0"/>
          <w:numId w:val="43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co najmniej 4 wejścia cyfrowe, dla których 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zmiana stanu powoduje reakcję w 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>aplikacji zdefiniowaną na etapie parametryzacji i wdrożenia systemu (do podłączenia czujników pracy maszyn, przystawek hydraulicznych itp.</w:t>
      </w:r>
    </w:p>
    <w:p w14:paraId="186BA8D2" w14:textId="7CF061E3" w:rsidR="00C81286" w:rsidRPr="00021378" w:rsidRDefault="00021378" w:rsidP="00125F31">
      <w:pPr>
        <w:pStyle w:val="Akapitzlist"/>
        <w:numPr>
          <w:ilvl w:val="1"/>
          <w:numId w:val="9"/>
        </w:numPr>
        <w:ind w:hanging="436"/>
        <w:jc w:val="both"/>
        <w:rPr>
          <w:rFonts w:ascii="Open Sans" w:eastAsia="Tahoma" w:hAnsi="Open Sans" w:cs="Open Sans"/>
          <w:b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b/>
          <w:color w:val="000000"/>
          <w:sz w:val="22"/>
          <w:szCs w:val="22"/>
        </w:rPr>
        <w:lastRenderedPageBreak/>
        <w:t>Podstawowa charakterystyka systemu identyfikacji RFID:</w:t>
      </w:r>
    </w:p>
    <w:p w14:paraId="496D30A7" w14:textId="7CD42DAD" w:rsidR="00021378" w:rsidRPr="00021378" w:rsidRDefault="00021378" w:rsidP="00021378">
      <w:pPr>
        <w:pStyle w:val="Akapitzlist"/>
        <w:numPr>
          <w:ilvl w:val="0"/>
          <w:numId w:val="44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Praca systemu odczytu </w:t>
      </w:r>
      <w:proofErr w:type="spellStart"/>
      <w:r w:rsidRPr="00021378">
        <w:rPr>
          <w:rFonts w:ascii="Open Sans" w:eastAsia="Tahoma" w:hAnsi="Open Sans" w:cs="Open Sans"/>
          <w:color w:val="000000"/>
          <w:sz w:val="22"/>
          <w:szCs w:val="22"/>
        </w:rPr>
        <w:t>tagów</w:t>
      </w:r>
      <w:proofErr w:type="spellEnd"/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RFID na częstotliwości 125 kHz;</w:t>
      </w:r>
    </w:p>
    <w:p w14:paraId="256A5F3B" w14:textId="279E3CF1" w:rsidR="00021378" w:rsidRDefault="00021378" w:rsidP="00021378">
      <w:pPr>
        <w:pStyle w:val="Akapitzlist"/>
        <w:numPr>
          <w:ilvl w:val="0"/>
          <w:numId w:val="44"/>
        </w:numP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Wyposażenie w co najmniej dwie anteny umożliwiając</w:t>
      </w:r>
      <w:r>
        <w:rPr>
          <w:rFonts w:ascii="Open Sans" w:eastAsia="Tahoma" w:hAnsi="Open Sans" w:cs="Open Sans"/>
          <w:color w:val="000000"/>
          <w:sz w:val="22"/>
          <w:szCs w:val="22"/>
        </w:rPr>
        <w:t>e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jednoczesny odczyt z dwóch </w:t>
      </w:r>
      <w:proofErr w:type="spellStart"/>
      <w:r w:rsidRPr="00021378">
        <w:rPr>
          <w:rFonts w:ascii="Open Sans" w:eastAsia="Tahoma" w:hAnsi="Open Sans" w:cs="Open Sans"/>
          <w:color w:val="000000"/>
          <w:sz w:val="22"/>
          <w:szCs w:val="22"/>
        </w:rPr>
        <w:t>tagów</w:t>
      </w:r>
      <w:proofErr w:type="spellEnd"/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zamontowanych w pojemnikach dwukołowych założonych na grzebieniowy system </w:t>
      </w:r>
      <w:proofErr w:type="spellStart"/>
      <w:r w:rsidRPr="00021378">
        <w:rPr>
          <w:rFonts w:ascii="Open Sans" w:eastAsia="Tahoma" w:hAnsi="Open Sans" w:cs="Open Sans"/>
          <w:color w:val="000000"/>
          <w:sz w:val="22"/>
          <w:szCs w:val="22"/>
        </w:rPr>
        <w:t>wrzutnika</w:t>
      </w:r>
      <w:proofErr w:type="spellEnd"/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oraz </w:t>
      </w:r>
      <w:r>
        <w:rPr>
          <w:rFonts w:ascii="Open Sans" w:eastAsia="Tahoma" w:hAnsi="Open Sans" w:cs="Open Sans"/>
          <w:color w:val="000000"/>
          <w:sz w:val="22"/>
          <w:szCs w:val="22"/>
        </w:rPr>
        <w:t xml:space="preserve">w antenę umożliwiającą odczyt </w:t>
      </w:r>
      <w:proofErr w:type="spellStart"/>
      <w:r>
        <w:rPr>
          <w:rFonts w:ascii="Open Sans" w:eastAsia="Tahoma" w:hAnsi="Open Sans" w:cs="Open Sans"/>
          <w:color w:val="000000"/>
          <w:sz w:val="22"/>
          <w:szCs w:val="22"/>
        </w:rPr>
        <w:t>tagów</w:t>
      </w:r>
      <w:proofErr w:type="spellEnd"/>
      <w:r>
        <w:rPr>
          <w:rFonts w:ascii="Open Sans" w:eastAsia="Tahoma" w:hAnsi="Open Sans" w:cs="Open Sans"/>
          <w:color w:val="000000"/>
          <w:sz w:val="22"/>
          <w:szCs w:val="22"/>
        </w:rPr>
        <w:t xml:space="preserve"> zamontowanych na przedniej ścianie pojemników czterokołowych zakładanej na „łapy” urządzeń załadowczych.</w:t>
      </w:r>
    </w:p>
    <w:p w14:paraId="53C407D4" w14:textId="6846F195" w:rsidR="00BD66B9" w:rsidRPr="005D2888" w:rsidRDefault="00021378" w:rsidP="00BD66B9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5D2888">
        <w:rPr>
          <w:rFonts w:ascii="Open Sans" w:eastAsia="Tahoma" w:hAnsi="Open Sans" w:cs="Open Sans"/>
          <w:color w:val="000000"/>
          <w:sz w:val="22"/>
          <w:szCs w:val="22"/>
        </w:rPr>
        <w:t>System identyfikacji musi współpracować z zastosowanym sterownikiem GPS.</w:t>
      </w:r>
    </w:p>
    <w:p w14:paraId="2D59655B" w14:textId="77777777" w:rsidR="00767DD6" w:rsidRPr="00021378" w:rsidRDefault="00767DD6" w:rsidP="00767D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599216D2" w14:textId="77777777" w:rsidR="00767DD6" w:rsidRPr="00021378" w:rsidRDefault="00767DD6" w:rsidP="00B9656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 xml:space="preserve">Wymagany termin realizacji usługi: </w:t>
      </w:r>
    </w:p>
    <w:p w14:paraId="54824A0F" w14:textId="77777777" w:rsidR="00767DD6" w:rsidRPr="00021378" w:rsidRDefault="00767DD6" w:rsidP="00655279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Termin rozpoczęcia umowy ustala się od dnia podpisania umowy.</w:t>
      </w:r>
    </w:p>
    <w:p w14:paraId="6F90020C" w14:textId="02AB678C" w:rsidR="008F0CF0" w:rsidRPr="00021378" w:rsidRDefault="008F0CF0" w:rsidP="00655279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Termin zakończenia prac montażowych ustala się maksymalnie do 3 tygodni od dnia podpisania umowy.</w:t>
      </w:r>
    </w:p>
    <w:p w14:paraId="6EA552A3" w14:textId="35910221" w:rsidR="00767DD6" w:rsidRPr="00021378" w:rsidRDefault="00767DD6" w:rsidP="00767DD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Termin zakończenia przedmiotu umowy ustala się na </w:t>
      </w:r>
      <w:r w:rsidR="00B10EC5">
        <w:rPr>
          <w:rFonts w:ascii="Open Sans" w:eastAsia="Tahoma" w:hAnsi="Open Sans" w:cs="Open Sans"/>
          <w:b/>
          <w:bCs/>
          <w:color w:val="FF0000"/>
          <w:sz w:val="22"/>
          <w:szCs w:val="22"/>
        </w:rPr>
        <w:t>DATA</w:t>
      </w:r>
      <w:r w:rsidRPr="00B10EC5">
        <w:rPr>
          <w:rFonts w:ascii="Open Sans" w:eastAsia="Tahoma" w:hAnsi="Open Sans" w:cs="Open Sans"/>
          <w:b/>
          <w:bCs/>
          <w:color w:val="FF0000"/>
          <w:sz w:val="22"/>
          <w:szCs w:val="22"/>
        </w:rPr>
        <w:t xml:space="preserve"> </w:t>
      </w: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t xml:space="preserve">roku </w:t>
      </w:r>
      <w:r w:rsidR="008B2B24"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br/>
      </w:r>
    </w:p>
    <w:p w14:paraId="576033D2" w14:textId="77777777" w:rsidR="00767DD6" w:rsidRPr="00021378" w:rsidRDefault="00767DD6" w:rsidP="00B9656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Gwarancja:</w:t>
      </w:r>
    </w:p>
    <w:p w14:paraId="20B0DBD4" w14:textId="77777777" w:rsidR="00767DD6" w:rsidRPr="00021378" w:rsidRDefault="00767DD6" w:rsidP="00B9656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Wykonawca na przedmiot umowy  udziela Zamawiającemu </w:t>
      </w: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</w:rPr>
        <w:t>24-miesięcznej gwarancji.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</w:p>
    <w:p w14:paraId="3BEE1401" w14:textId="77777777" w:rsidR="00767DD6" w:rsidRPr="00021378" w:rsidRDefault="00767DD6" w:rsidP="00B9656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Bieg okresu gwarancji rozpoczyna się z dniem odbioru przedmiotu umowy. </w:t>
      </w:r>
    </w:p>
    <w:p w14:paraId="378248D9" w14:textId="77777777" w:rsidR="00767DD6" w:rsidRPr="00021378" w:rsidRDefault="00767DD6" w:rsidP="00767D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1C31888C" w14:textId="77777777" w:rsidR="00767DD6" w:rsidRPr="00021378" w:rsidRDefault="00767DD6" w:rsidP="00B9656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Warunki płatności:</w:t>
      </w:r>
    </w:p>
    <w:p w14:paraId="335022ED" w14:textId="77777777" w:rsidR="00767DD6" w:rsidRPr="00021378" w:rsidRDefault="00767DD6" w:rsidP="00767DD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>Minimalny wymagany termin płatności nie może być krótszy niż 21 dni, a maksymalny termin płatności, jaki zostanie uwzględniony (punktowany) przez Zamawiającego przy ocenie ofert wynosi 30 dni.</w:t>
      </w:r>
    </w:p>
    <w:p w14:paraId="24589D30" w14:textId="77777777" w:rsidR="00767DD6" w:rsidRPr="00021378" w:rsidRDefault="00767DD6" w:rsidP="00767D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605A3E10" w14:textId="77777777" w:rsidR="00767DD6" w:rsidRPr="00021378" w:rsidRDefault="00767DD6" w:rsidP="00B9656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 xml:space="preserve">Dokumentacja wymagana przy składaniu Formularza Ofertowego: </w:t>
      </w:r>
    </w:p>
    <w:p w14:paraId="28629601" w14:textId="5E7A31B0" w:rsidR="008F0CF0" w:rsidRPr="00B10EC5" w:rsidRDefault="008F0CF0" w:rsidP="008F0CF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bCs/>
          <w:color w:val="000000"/>
          <w:sz w:val="22"/>
          <w:szCs w:val="22"/>
        </w:rPr>
      </w:pPr>
      <w:r w:rsidRPr="00B10EC5">
        <w:rPr>
          <w:rFonts w:ascii="Open Sans" w:eastAsia="Tahoma" w:hAnsi="Open Sans" w:cs="Open Sans"/>
          <w:bCs/>
          <w:color w:val="000000"/>
          <w:sz w:val="22"/>
          <w:szCs w:val="22"/>
        </w:rPr>
        <w:t>Instrukcje użytkowania i obsługi w języku polskimi:</w:t>
      </w:r>
    </w:p>
    <w:p w14:paraId="6921616D" w14:textId="77777777" w:rsidR="008F0CF0" w:rsidRPr="00B10EC5" w:rsidRDefault="008F0CF0" w:rsidP="008F0CF0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bCs/>
          <w:color w:val="000000"/>
          <w:sz w:val="22"/>
          <w:szCs w:val="22"/>
        </w:rPr>
      </w:pPr>
      <w:r w:rsidRPr="00B10EC5">
        <w:rPr>
          <w:rFonts w:ascii="Open Sans" w:eastAsia="Tahoma" w:hAnsi="Open Sans" w:cs="Open Sans"/>
          <w:bCs/>
          <w:color w:val="000000"/>
          <w:sz w:val="22"/>
          <w:szCs w:val="22"/>
        </w:rPr>
        <w:t>Karty gwarancyjne.</w:t>
      </w:r>
    </w:p>
    <w:p w14:paraId="170B6B61" w14:textId="7E1CDBF4" w:rsidR="00B10EC5" w:rsidRDefault="00B10EC5" w:rsidP="00B10EC5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B10EC5">
        <w:rPr>
          <w:rFonts w:ascii="Open Sans" w:eastAsia="Tahoma" w:hAnsi="Open Sans" w:cs="Open Sans"/>
          <w:color w:val="000000"/>
          <w:sz w:val="22"/>
          <w:szCs w:val="22"/>
        </w:rPr>
        <w:t>DTR dla wagi</w:t>
      </w:r>
    </w:p>
    <w:p w14:paraId="342F137B" w14:textId="5866301F" w:rsidR="00B10EC5" w:rsidRPr="00021378" w:rsidRDefault="00B10EC5" w:rsidP="00B10EC5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B10EC5">
        <w:rPr>
          <w:rFonts w:ascii="Open Sans" w:eastAsia="Tahoma" w:hAnsi="Open Sans" w:cs="Open Sans"/>
          <w:color w:val="000000"/>
          <w:sz w:val="22"/>
          <w:szCs w:val="22"/>
        </w:rPr>
        <w:t>Świadectwo legalizacji wag wydane przez Główny Urząd Miar lub instytucję równoważną honorowaną na terenie RP</w:t>
      </w:r>
      <w:r>
        <w:rPr>
          <w:rFonts w:ascii="Open Sans" w:eastAsia="Tahoma" w:hAnsi="Open Sans" w:cs="Open Sans"/>
          <w:color w:val="000000"/>
          <w:sz w:val="22"/>
          <w:szCs w:val="22"/>
        </w:rPr>
        <w:t>.</w:t>
      </w:r>
    </w:p>
    <w:p w14:paraId="1C856037" w14:textId="77777777" w:rsidR="00767DD6" w:rsidRPr="00021378" w:rsidRDefault="00767DD6" w:rsidP="00B10E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</w:p>
    <w:p w14:paraId="43C8EC5B" w14:textId="77777777" w:rsidR="00767DD6" w:rsidRPr="00021378" w:rsidRDefault="00767DD6" w:rsidP="00B10EC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pen Sans" w:eastAsia="Tahoma" w:hAnsi="Open Sans" w:cs="Open Sans"/>
          <w:color w:val="000000"/>
          <w:sz w:val="22"/>
          <w:szCs w:val="22"/>
          <w:u w:val="single"/>
        </w:rPr>
      </w:pPr>
      <w:r w:rsidRPr="00021378">
        <w:rPr>
          <w:rFonts w:ascii="Open Sans" w:eastAsia="Tahoma" w:hAnsi="Open Sans" w:cs="Open Sans"/>
          <w:b/>
          <w:bCs/>
          <w:color w:val="000000"/>
          <w:sz w:val="22"/>
          <w:szCs w:val="22"/>
          <w:u w:val="single"/>
        </w:rPr>
        <w:t>Inne wymagania:</w:t>
      </w:r>
    </w:p>
    <w:p w14:paraId="4C3033AE" w14:textId="77777777" w:rsidR="00767DD6" w:rsidRPr="005E1551" w:rsidRDefault="00767DD6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5E1551">
        <w:rPr>
          <w:rFonts w:ascii="Open Sans" w:eastAsia="Tahoma" w:hAnsi="Open Sans" w:cs="Open Sans"/>
          <w:color w:val="000000"/>
          <w:sz w:val="22"/>
          <w:szCs w:val="22"/>
        </w:rPr>
        <w:t xml:space="preserve">Wykonawca przyjmuje na siebie następujące obowiązki szczegółowe: </w:t>
      </w:r>
    </w:p>
    <w:p w14:paraId="6161DA6D" w14:textId="0AC7E3BB" w:rsidR="00AB1493" w:rsidRPr="005E1551" w:rsidRDefault="00767DD6" w:rsidP="00B9656B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iCs/>
          <w:color w:val="000000"/>
          <w:sz w:val="22"/>
          <w:szCs w:val="22"/>
        </w:rPr>
      </w:pPr>
      <w:r w:rsidRPr="005E1551">
        <w:rPr>
          <w:rFonts w:ascii="Open Sans" w:eastAsia="Tahoma" w:hAnsi="Open Sans" w:cs="Open Sans"/>
          <w:iCs/>
          <w:color w:val="000000"/>
          <w:sz w:val="22"/>
          <w:szCs w:val="22"/>
        </w:rPr>
        <w:t>Zapewnienie dowozu przedmiotu zamówienia od producenta do siedziby Zamawiającego na swój koszt, własnym transportem.</w:t>
      </w:r>
    </w:p>
    <w:p w14:paraId="154AE252" w14:textId="30C10E93" w:rsidR="00767DD6" w:rsidRPr="005E1551" w:rsidRDefault="00767DD6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5E1551">
        <w:rPr>
          <w:rFonts w:ascii="Open Sans" w:eastAsia="Tahoma" w:hAnsi="Open Sans" w:cs="Open Sans"/>
          <w:color w:val="000000"/>
          <w:sz w:val="22"/>
          <w:szCs w:val="22"/>
        </w:rPr>
        <w:t>Wykonanie dostawy w ustalonym w ofercie terminie zgodnie z</w:t>
      </w:r>
      <w:r w:rsidR="00E51767" w:rsidRPr="005E1551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  <w:r w:rsidR="00713F1A" w:rsidRPr="005E1551">
        <w:rPr>
          <w:rFonts w:ascii="Open Sans" w:eastAsia="Tahoma" w:hAnsi="Open Sans" w:cs="Open Sans"/>
          <w:color w:val="000000"/>
          <w:sz w:val="22"/>
          <w:szCs w:val="22"/>
        </w:rPr>
        <w:t>SOPZ</w:t>
      </w:r>
      <w:r w:rsidRPr="005E1551">
        <w:rPr>
          <w:rFonts w:ascii="Open Sans" w:eastAsia="Tahoma" w:hAnsi="Open Sans" w:cs="Open Sans"/>
          <w:color w:val="000000"/>
          <w:sz w:val="22"/>
          <w:szCs w:val="22"/>
        </w:rPr>
        <w:t>, zasadami wiedzy technicznej i obowiązującymi przepisami prawa.</w:t>
      </w:r>
    </w:p>
    <w:p w14:paraId="74D921AD" w14:textId="77777777" w:rsidR="00767DD6" w:rsidRPr="005E1551" w:rsidRDefault="00767DD6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5E1551">
        <w:rPr>
          <w:rFonts w:ascii="Open Sans" w:eastAsia="Tahoma" w:hAnsi="Open Sans" w:cs="Open Sans"/>
          <w:color w:val="000000"/>
          <w:sz w:val="22"/>
          <w:szCs w:val="22"/>
        </w:rPr>
        <w:t xml:space="preserve">Pełnienie funkcji koordynacyjnych w stosunku do ewentualnych podwykonawców dostaw. </w:t>
      </w:r>
    </w:p>
    <w:p w14:paraId="48EDEB66" w14:textId="6A71EA06" w:rsidR="00767DD6" w:rsidRPr="005E1551" w:rsidRDefault="005B4387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5E1551">
        <w:rPr>
          <w:rFonts w:ascii="Open Sans" w:eastAsia="Tahoma" w:hAnsi="Open Sans" w:cs="Open Sans"/>
          <w:color w:val="000000"/>
          <w:sz w:val="22"/>
          <w:szCs w:val="22"/>
        </w:rPr>
        <w:t>Montaż systemu</w:t>
      </w:r>
      <w:r w:rsidR="00767DD6" w:rsidRPr="005E1551">
        <w:rPr>
          <w:rFonts w:ascii="Open Sans" w:eastAsia="Tahoma" w:hAnsi="Open Sans" w:cs="Open Sans"/>
          <w:color w:val="000000"/>
          <w:sz w:val="22"/>
          <w:szCs w:val="22"/>
        </w:rPr>
        <w:t xml:space="preserve"> </w:t>
      </w:r>
      <w:r w:rsidRPr="005E1551">
        <w:rPr>
          <w:rFonts w:ascii="Open Sans" w:eastAsia="Tahoma" w:hAnsi="Open Sans" w:cs="Open Sans"/>
          <w:color w:val="000000"/>
          <w:sz w:val="22"/>
          <w:szCs w:val="22"/>
        </w:rPr>
        <w:t>odbędzie się w dniach roboczych od poniedziałku do piątku</w:t>
      </w:r>
      <w:r w:rsidR="00767DD6" w:rsidRPr="005E1551">
        <w:rPr>
          <w:rFonts w:ascii="Open Sans" w:eastAsia="Tahoma" w:hAnsi="Open Sans" w:cs="Open Sans"/>
          <w:color w:val="000000"/>
          <w:sz w:val="22"/>
          <w:szCs w:val="22"/>
        </w:rPr>
        <w:br/>
        <w:t>w godzinach od 7:00 do 14:00 w siedzibie Zamawiającego</w:t>
      </w:r>
      <w:r w:rsidR="00767DD6" w:rsidRPr="005E1551">
        <w:rPr>
          <w:rFonts w:ascii="Open Sans" w:eastAsia="Tahoma" w:hAnsi="Open Sans" w:cs="Open Sans"/>
          <w:sz w:val="22"/>
          <w:szCs w:val="22"/>
        </w:rPr>
        <w:t xml:space="preserve"> na </w:t>
      </w:r>
      <w:r w:rsidR="00767DD6" w:rsidRPr="005E1551">
        <w:rPr>
          <w:rFonts w:ascii="Open Sans" w:eastAsia="Tahoma" w:hAnsi="Open Sans" w:cs="Open Sans"/>
          <w:color w:val="000000"/>
          <w:sz w:val="22"/>
          <w:szCs w:val="22"/>
        </w:rPr>
        <w:t>ul. Komunalnej 5 w Koszalinie.</w:t>
      </w:r>
    </w:p>
    <w:p w14:paraId="60163BFB" w14:textId="77777777" w:rsidR="00767DD6" w:rsidRPr="00021378" w:rsidRDefault="00767DD6" w:rsidP="00767D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50080365" w14:textId="77777777" w:rsidR="00767DD6" w:rsidRPr="00021378" w:rsidRDefault="00767DD6" w:rsidP="00B9656B">
      <w:pPr>
        <w:pStyle w:val="Tekstpodstawowywcit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hAnsi="Open Sans" w:cs="Open Sans"/>
          <w:b/>
          <w:u w:val="single"/>
        </w:rPr>
      </w:pPr>
      <w:r w:rsidRPr="00021378">
        <w:rPr>
          <w:rFonts w:ascii="Open Sans" w:hAnsi="Open Sans" w:cs="Open Sans"/>
          <w:b/>
          <w:u w:val="single"/>
        </w:rPr>
        <w:t>Kryteria i ocena kryteriów.</w:t>
      </w:r>
    </w:p>
    <w:p w14:paraId="5E771327" w14:textId="77777777" w:rsidR="00767DD6" w:rsidRPr="00021378" w:rsidRDefault="00767DD6" w:rsidP="00767DD6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Tahoma" w:hAnsi="Open Sans" w:cs="Open Sans"/>
          <w:color w:val="000000"/>
          <w:sz w:val="22"/>
          <w:szCs w:val="22"/>
        </w:rPr>
      </w:pPr>
      <w:r w:rsidRPr="00021378">
        <w:rPr>
          <w:rFonts w:ascii="Open Sans" w:eastAsia="Tahoma" w:hAnsi="Open Sans" w:cs="Open Sans"/>
          <w:color w:val="000000"/>
          <w:sz w:val="22"/>
          <w:szCs w:val="22"/>
        </w:rPr>
        <w:t xml:space="preserve">Za najkorzystniejszą zostanie uznana oferta zawierająca najkorzystniejszy bilans punktów </w:t>
      </w:r>
      <w:r w:rsidRPr="00021378">
        <w:rPr>
          <w:rFonts w:ascii="Open Sans" w:eastAsia="Tahoma" w:hAnsi="Open Sans" w:cs="Open Sans"/>
          <w:color w:val="000000"/>
          <w:sz w:val="22"/>
          <w:szCs w:val="22"/>
        </w:rPr>
        <w:br/>
        <w:t>w kryteriach: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165"/>
        <w:gridCol w:w="2398"/>
      </w:tblGrid>
      <w:tr w:rsidR="005B4387" w:rsidRPr="00021378" w14:paraId="7C42C3F5" w14:textId="77777777" w:rsidTr="005B4387">
        <w:trPr>
          <w:trHeight w:val="656"/>
        </w:trPr>
        <w:tc>
          <w:tcPr>
            <w:tcW w:w="480" w:type="dxa"/>
            <w:shd w:val="clear" w:color="auto" w:fill="F2F2F2"/>
            <w:vAlign w:val="center"/>
          </w:tcPr>
          <w:p w14:paraId="7DD63933" w14:textId="6C31127A" w:rsidR="005B4387" w:rsidRPr="00021378" w:rsidRDefault="005B4387" w:rsidP="005B4387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66" w:type="dxa"/>
            <w:shd w:val="clear" w:color="auto" w:fill="F2F2F2"/>
            <w:vAlign w:val="center"/>
          </w:tcPr>
          <w:p w14:paraId="2BE33A6F" w14:textId="527A1248" w:rsidR="005B4387" w:rsidRPr="00021378" w:rsidRDefault="005B4387" w:rsidP="00767DD6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Kryterium:</w:t>
            </w:r>
          </w:p>
        </w:tc>
        <w:tc>
          <w:tcPr>
            <w:tcW w:w="2397" w:type="dxa"/>
            <w:shd w:val="clear" w:color="auto" w:fill="F2F2F2"/>
            <w:vAlign w:val="center"/>
          </w:tcPr>
          <w:p w14:paraId="1E5D4C3F" w14:textId="04D2F3E5" w:rsidR="005B4387" w:rsidRPr="00021378" w:rsidRDefault="005B4387" w:rsidP="00767DD6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Waga [punkty]</w:t>
            </w:r>
          </w:p>
        </w:tc>
      </w:tr>
      <w:tr w:rsidR="005B4387" w:rsidRPr="00021378" w14:paraId="7B0DFB1D" w14:textId="77777777" w:rsidTr="005B4387">
        <w:trPr>
          <w:trHeight w:val="334"/>
        </w:trPr>
        <w:tc>
          <w:tcPr>
            <w:tcW w:w="480" w:type="dxa"/>
            <w:shd w:val="clear" w:color="auto" w:fill="auto"/>
            <w:vAlign w:val="bottom"/>
          </w:tcPr>
          <w:p w14:paraId="31D919CC" w14:textId="0CA334E6" w:rsidR="005B4387" w:rsidRPr="00021378" w:rsidRDefault="005B4387" w:rsidP="005B4387">
            <w:pPr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  <w:u w:val="single"/>
              </w:rPr>
            </w:pPr>
            <w:r w:rsidRPr="00021378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6166" w:type="dxa"/>
            <w:shd w:val="clear" w:color="auto" w:fill="auto"/>
            <w:vAlign w:val="bottom"/>
          </w:tcPr>
          <w:p w14:paraId="1016AD90" w14:textId="24C964F7" w:rsidR="005B4387" w:rsidRPr="00021378" w:rsidRDefault="005B4387" w:rsidP="005B4387">
            <w:pPr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  <w:u w:val="single"/>
              </w:rPr>
            </w:pPr>
            <w:r w:rsidRPr="00021378">
              <w:rPr>
                <w:rFonts w:ascii="Open Sans" w:hAnsi="Open Sans" w:cs="Open Sans"/>
                <w:sz w:val="22"/>
                <w:szCs w:val="22"/>
              </w:rPr>
              <w:t>Cena całego zamówienia „C”</w:t>
            </w:r>
          </w:p>
        </w:tc>
        <w:tc>
          <w:tcPr>
            <w:tcW w:w="2397" w:type="dxa"/>
            <w:shd w:val="clear" w:color="auto" w:fill="auto"/>
          </w:tcPr>
          <w:p w14:paraId="70BF6EE3" w14:textId="700D4327" w:rsidR="005B4387" w:rsidRPr="00021378" w:rsidRDefault="005B4387" w:rsidP="005B4387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90</w:t>
            </w:r>
          </w:p>
        </w:tc>
      </w:tr>
      <w:tr w:rsidR="005B4387" w:rsidRPr="00021378" w14:paraId="59B37B4B" w14:textId="77777777" w:rsidTr="005B4387">
        <w:tc>
          <w:tcPr>
            <w:tcW w:w="480" w:type="dxa"/>
            <w:shd w:val="clear" w:color="auto" w:fill="auto"/>
            <w:vAlign w:val="bottom"/>
          </w:tcPr>
          <w:p w14:paraId="6A9418E2" w14:textId="47D62973" w:rsidR="005B4387" w:rsidRPr="00021378" w:rsidRDefault="005B4387" w:rsidP="00767DD6">
            <w:pPr>
              <w:rPr>
                <w:rFonts w:ascii="Open Sans" w:hAnsi="Open Sans" w:cs="Open Sans"/>
                <w:sz w:val="22"/>
                <w:szCs w:val="22"/>
              </w:rPr>
            </w:pPr>
            <w:r w:rsidRPr="00021378">
              <w:rPr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6166" w:type="dxa"/>
            <w:shd w:val="clear" w:color="auto" w:fill="auto"/>
            <w:vAlign w:val="bottom"/>
          </w:tcPr>
          <w:p w14:paraId="0DFD36DD" w14:textId="11C72CCE" w:rsidR="005B4387" w:rsidRPr="00021378" w:rsidRDefault="005B4387" w:rsidP="00767DD6">
            <w:pPr>
              <w:rPr>
                <w:rFonts w:ascii="Open Sans" w:hAnsi="Open Sans" w:cs="Open Sans"/>
                <w:sz w:val="22"/>
                <w:szCs w:val="22"/>
              </w:rPr>
            </w:pPr>
            <w:r w:rsidRPr="00021378">
              <w:rPr>
                <w:rFonts w:ascii="Open Sans" w:hAnsi="Open Sans" w:cs="Open Sans"/>
                <w:sz w:val="22"/>
                <w:szCs w:val="22"/>
              </w:rPr>
              <w:t>Termin płatności „T”</w:t>
            </w:r>
          </w:p>
        </w:tc>
        <w:tc>
          <w:tcPr>
            <w:tcW w:w="2397" w:type="dxa"/>
            <w:shd w:val="clear" w:color="auto" w:fill="auto"/>
          </w:tcPr>
          <w:p w14:paraId="4E8B867E" w14:textId="210E92F6" w:rsidR="005B4387" w:rsidRPr="00021378" w:rsidRDefault="005B4387" w:rsidP="005B4387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10</w:t>
            </w:r>
          </w:p>
        </w:tc>
      </w:tr>
      <w:tr w:rsidR="005B4387" w:rsidRPr="00021378" w14:paraId="4C30AEF2" w14:textId="144212EB" w:rsidTr="005B4387">
        <w:tc>
          <w:tcPr>
            <w:tcW w:w="6645" w:type="dxa"/>
            <w:gridSpan w:val="2"/>
            <w:shd w:val="clear" w:color="auto" w:fill="F2F2F2"/>
          </w:tcPr>
          <w:p w14:paraId="48C86DFF" w14:textId="60315D06" w:rsidR="005B4387" w:rsidRPr="00021378" w:rsidRDefault="005B4387" w:rsidP="005B4387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Liczba punktów łącznie</w:t>
            </w:r>
          </w:p>
        </w:tc>
        <w:tc>
          <w:tcPr>
            <w:tcW w:w="2398" w:type="dxa"/>
            <w:shd w:val="clear" w:color="auto" w:fill="F2F2F2"/>
          </w:tcPr>
          <w:p w14:paraId="45DC785E" w14:textId="3602946D" w:rsidR="005B4387" w:rsidRPr="00021378" w:rsidRDefault="005B4387" w:rsidP="005B4387">
            <w:pPr>
              <w:jc w:val="center"/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</w:pPr>
            <w:r w:rsidRPr="00021378">
              <w:rPr>
                <w:rStyle w:val="Pogrubienie"/>
                <w:rFonts w:ascii="Open Sans" w:eastAsia="Calibri" w:hAnsi="Open Sans" w:cs="Open Sans"/>
                <w:bCs w:val="0"/>
                <w:sz w:val="22"/>
                <w:szCs w:val="22"/>
              </w:rPr>
              <w:t>100</w:t>
            </w:r>
          </w:p>
        </w:tc>
      </w:tr>
    </w:tbl>
    <w:p w14:paraId="02B4558E" w14:textId="509522FF" w:rsidR="00125F31" w:rsidRDefault="00125F31" w:rsidP="00767DD6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Style w:val="Pogrubienie"/>
          <w:rFonts w:ascii="Open Sans" w:eastAsia="Tahoma" w:hAnsi="Open Sans" w:cs="Open Sans"/>
          <w:b w:val="0"/>
          <w:bCs w:val="0"/>
          <w:sz w:val="22"/>
          <w:szCs w:val="22"/>
        </w:rPr>
      </w:pPr>
    </w:p>
    <w:p w14:paraId="046C6E27" w14:textId="77777777" w:rsidR="00125F31" w:rsidRDefault="00125F31">
      <w:pPr>
        <w:rPr>
          <w:rStyle w:val="Pogrubienie"/>
          <w:rFonts w:ascii="Open Sans" w:eastAsia="Tahoma" w:hAnsi="Open Sans" w:cs="Open Sans"/>
          <w:b w:val="0"/>
          <w:bCs w:val="0"/>
          <w:sz w:val="22"/>
          <w:szCs w:val="22"/>
        </w:rPr>
      </w:pPr>
      <w:r>
        <w:rPr>
          <w:rStyle w:val="Pogrubienie"/>
          <w:rFonts w:ascii="Open Sans" w:eastAsia="Tahoma" w:hAnsi="Open Sans" w:cs="Open Sans"/>
          <w:b w:val="0"/>
          <w:bCs w:val="0"/>
          <w:sz w:val="22"/>
          <w:szCs w:val="22"/>
        </w:rPr>
        <w:br w:type="page"/>
      </w:r>
    </w:p>
    <w:p w14:paraId="5B42E1AE" w14:textId="49EB95C7" w:rsidR="00767DD6" w:rsidRPr="00021378" w:rsidRDefault="00767DD6" w:rsidP="005B4387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Style w:val="Pogrubienie"/>
          <w:rFonts w:ascii="Open Sans" w:eastAsia="Tahoma" w:hAnsi="Open Sans" w:cs="Open Sans"/>
          <w:b w:val="0"/>
          <w:bCs w:val="0"/>
          <w:sz w:val="22"/>
          <w:szCs w:val="22"/>
        </w:rPr>
      </w:pPr>
      <w:r w:rsidRPr="00021378">
        <w:rPr>
          <w:rStyle w:val="Pogrubienie"/>
          <w:rFonts w:ascii="Open Sans" w:eastAsia="Calibri" w:hAnsi="Open Sans" w:cs="Open Sans"/>
          <w:sz w:val="22"/>
          <w:szCs w:val="22"/>
        </w:rPr>
        <w:lastRenderedPageBreak/>
        <w:t xml:space="preserve">Kryterium „Cena </w:t>
      </w:r>
      <w:r w:rsidRPr="00021378">
        <w:rPr>
          <w:rFonts w:ascii="Open Sans" w:hAnsi="Open Sans" w:cs="Open Sans"/>
          <w:b/>
          <w:bCs/>
          <w:sz w:val="22"/>
          <w:szCs w:val="22"/>
        </w:rPr>
        <w:t xml:space="preserve">całego zamówienia” (C) – </w:t>
      </w:r>
      <w:r w:rsidR="005B4387" w:rsidRPr="00021378">
        <w:rPr>
          <w:rFonts w:ascii="Open Sans" w:hAnsi="Open Sans" w:cs="Open Sans"/>
          <w:b/>
          <w:sz w:val="22"/>
          <w:szCs w:val="22"/>
        </w:rPr>
        <w:t>waga 10</w:t>
      </w:r>
      <w:r w:rsidRPr="00021378">
        <w:rPr>
          <w:rFonts w:ascii="Open Sans" w:hAnsi="Open Sans" w:cs="Open Sans"/>
          <w:b/>
          <w:sz w:val="22"/>
          <w:szCs w:val="22"/>
        </w:rPr>
        <w:t>0 punktów.</w:t>
      </w:r>
    </w:p>
    <w:p w14:paraId="5304211C" w14:textId="77777777" w:rsidR="00AB1493" w:rsidRPr="00125F31" w:rsidRDefault="00767DD6" w:rsidP="00B9656B">
      <w:pPr>
        <w:pStyle w:val="Akapitzlist"/>
        <w:numPr>
          <w:ilvl w:val="0"/>
          <w:numId w:val="14"/>
        </w:numPr>
        <w:tabs>
          <w:tab w:val="left" w:pos="284"/>
        </w:tabs>
        <w:ind w:left="993" w:hanging="284"/>
        <w:jc w:val="both"/>
        <w:rPr>
          <w:rStyle w:val="Pogrubienie"/>
          <w:rFonts w:ascii="Open Sans" w:hAnsi="Open Sans" w:cs="Open Sans"/>
          <w:b w:val="0"/>
          <w:bCs w:val="0"/>
          <w:iCs/>
          <w:sz w:val="22"/>
          <w:szCs w:val="22"/>
        </w:rPr>
      </w:pPr>
      <w:r w:rsidRPr="00125F31">
        <w:rPr>
          <w:rStyle w:val="Pogrubienie"/>
          <w:rFonts w:ascii="Open Sans" w:eastAsia="Calibri" w:hAnsi="Open Sans" w:cs="Open Sans"/>
          <w:b w:val="0"/>
          <w:iCs/>
          <w:sz w:val="22"/>
          <w:szCs w:val="22"/>
        </w:rPr>
        <w:t xml:space="preserve">Zamawiający </w:t>
      </w:r>
      <w:r w:rsidRPr="00125F31">
        <w:rPr>
          <w:rStyle w:val="Pogrubienie"/>
          <w:rFonts w:ascii="Open Sans" w:eastAsia="Calibri" w:hAnsi="Open Sans" w:cs="Open Sans"/>
          <w:b w:val="0"/>
          <w:bCs w:val="0"/>
          <w:iCs/>
          <w:sz w:val="22"/>
          <w:szCs w:val="22"/>
        </w:rPr>
        <w:t>przy wyborze kierować się będzie kryterium najniższej ceny.</w:t>
      </w:r>
    </w:p>
    <w:p w14:paraId="14B7108A" w14:textId="6877EFF2" w:rsidR="00AB1493" w:rsidRPr="00125F31" w:rsidRDefault="00767DD6" w:rsidP="00B9656B">
      <w:pPr>
        <w:pStyle w:val="Akapitzlist"/>
        <w:numPr>
          <w:ilvl w:val="0"/>
          <w:numId w:val="14"/>
        </w:numPr>
        <w:tabs>
          <w:tab w:val="left" w:pos="284"/>
        </w:tabs>
        <w:ind w:left="993" w:hanging="284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 xml:space="preserve">Kryterium </w:t>
      </w:r>
      <w:r w:rsidRPr="00125F31">
        <w:rPr>
          <w:rStyle w:val="Pogrubienie"/>
          <w:rFonts w:ascii="Open Sans" w:eastAsia="Calibri" w:hAnsi="Open Sans" w:cs="Open Sans"/>
          <w:bCs w:val="0"/>
          <w:iCs/>
          <w:sz w:val="22"/>
          <w:szCs w:val="22"/>
        </w:rPr>
        <w:t xml:space="preserve">cena </w:t>
      </w:r>
      <w:r w:rsidRPr="00125F31">
        <w:rPr>
          <w:rFonts w:ascii="Open Sans" w:hAnsi="Open Sans" w:cs="Open Sans"/>
          <w:b/>
          <w:iCs/>
          <w:sz w:val="22"/>
          <w:szCs w:val="22"/>
        </w:rPr>
        <w:t>całego zamówienia</w:t>
      </w:r>
      <w:r w:rsidRPr="00125F31">
        <w:rPr>
          <w:rFonts w:ascii="Open Sans" w:hAnsi="Open Sans" w:cs="Open Sans"/>
          <w:iCs/>
          <w:sz w:val="22"/>
          <w:szCs w:val="22"/>
        </w:rPr>
        <w:t xml:space="preserve"> będzie rozpatrywane na podstawie ceny brutto </w:t>
      </w:r>
      <w:r w:rsidR="008B2B24" w:rsidRPr="00125F31">
        <w:rPr>
          <w:rFonts w:ascii="Open Sans" w:hAnsi="Open Sans" w:cs="Open Sans"/>
          <w:iCs/>
          <w:sz w:val="22"/>
          <w:szCs w:val="22"/>
        </w:rPr>
        <w:br/>
      </w:r>
      <w:r w:rsidRPr="00125F31">
        <w:rPr>
          <w:rFonts w:ascii="Open Sans" w:hAnsi="Open Sans" w:cs="Open Sans"/>
          <w:iCs/>
          <w:sz w:val="22"/>
          <w:szCs w:val="22"/>
        </w:rPr>
        <w:t xml:space="preserve">za wykonanie przedmiotu zamówienia, podanej przez Wykonawcę w „Formularzu ofertowym”. </w:t>
      </w:r>
    </w:p>
    <w:p w14:paraId="7665FF6A" w14:textId="75673DB4" w:rsidR="00767DD6" w:rsidRPr="00125F31" w:rsidRDefault="00767DD6" w:rsidP="00B9656B">
      <w:pPr>
        <w:pStyle w:val="Akapitzlist"/>
        <w:numPr>
          <w:ilvl w:val="0"/>
          <w:numId w:val="14"/>
        </w:numPr>
        <w:tabs>
          <w:tab w:val="left" w:pos="284"/>
        </w:tabs>
        <w:ind w:left="993" w:hanging="284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b/>
          <w:bCs/>
          <w:iCs/>
          <w:sz w:val="22"/>
          <w:szCs w:val="22"/>
        </w:rPr>
        <w:t>Ocena kryterium cena całego zamówienia</w:t>
      </w:r>
      <w:r w:rsidRPr="00125F31">
        <w:rPr>
          <w:rFonts w:ascii="Open Sans" w:hAnsi="Open Sans" w:cs="Open Sans"/>
          <w:iCs/>
          <w:sz w:val="22"/>
          <w:szCs w:val="22"/>
        </w:rPr>
        <w:t xml:space="preserve"> obliczona zostanie zgodnie ze wzorem:</w:t>
      </w:r>
    </w:p>
    <w:p w14:paraId="42047CDE" w14:textId="77777777" w:rsidR="00767DD6" w:rsidRPr="00125F31" w:rsidRDefault="00767DD6" w:rsidP="00767DD6">
      <w:pPr>
        <w:autoSpaceDE w:val="0"/>
        <w:autoSpaceDN w:val="0"/>
        <w:adjustRightInd w:val="0"/>
        <w:ind w:left="1276" w:hanging="28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>Najniższa cena brutto z ocenianych ofert</w:t>
      </w:r>
    </w:p>
    <w:p w14:paraId="41373820" w14:textId="1F4F33BC" w:rsidR="00767DD6" w:rsidRPr="00125F31" w:rsidRDefault="00767DD6" w:rsidP="00767DD6">
      <w:pPr>
        <w:autoSpaceDE w:val="0"/>
        <w:autoSpaceDN w:val="0"/>
        <w:adjustRightInd w:val="0"/>
        <w:ind w:left="1276" w:hanging="28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>----------------------------</w:t>
      </w:r>
      <w:r w:rsidR="005B4387" w:rsidRPr="00125F31">
        <w:rPr>
          <w:rFonts w:ascii="Open Sans" w:hAnsi="Open Sans" w:cs="Open Sans"/>
          <w:iCs/>
          <w:sz w:val="22"/>
          <w:szCs w:val="22"/>
        </w:rPr>
        <w:t>---------------------------- x 10</w:t>
      </w:r>
      <w:r w:rsidRPr="00125F31">
        <w:rPr>
          <w:rFonts w:ascii="Open Sans" w:hAnsi="Open Sans" w:cs="Open Sans"/>
          <w:iCs/>
          <w:sz w:val="22"/>
          <w:szCs w:val="22"/>
        </w:rPr>
        <w:t>0 = ilość uzyskanych punktów</w:t>
      </w:r>
    </w:p>
    <w:p w14:paraId="7E70F78B" w14:textId="77777777" w:rsidR="00767DD6" w:rsidRPr="00125F31" w:rsidRDefault="00767DD6" w:rsidP="00767DD6">
      <w:pPr>
        <w:autoSpaceDE w:val="0"/>
        <w:autoSpaceDN w:val="0"/>
        <w:adjustRightInd w:val="0"/>
        <w:ind w:left="1276" w:hanging="28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>Cena brutto badanej oferty</w:t>
      </w:r>
    </w:p>
    <w:p w14:paraId="4ED57A1E" w14:textId="77777777" w:rsidR="00767DD6" w:rsidRPr="00021378" w:rsidRDefault="00767DD6" w:rsidP="00767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pen Sans" w:eastAsia="Tahoma" w:hAnsi="Open Sans" w:cs="Open Sans"/>
          <w:sz w:val="22"/>
          <w:szCs w:val="22"/>
        </w:rPr>
      </w:pPr>
    </w:p>
    <w:p w14:paraId="512128CE" w14:textId="77777777" w:rsidR="00767DD6" w:rsidRPr="00021378" w:rsidRDefault="00767DD6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Fonts w:ascii="Open Sans" w:eastAsia="Tahoma" w:hAnsi="Open Sans" w:cs="Open Sans"/>
          <w:sz w:val="22"/>
          <w:szCs w:val="22"/>
        </w:rPr>
      </w:pPr>
      <w:r w:rsidRPr="00021378">
        <w:rPr>
          <w:rStyle w:val="Pogrubienie"/>
          <w:rFonts w:ascii="Open Sans" w:eastAsia="Calibri" w:hAnsi="Open Sans" w:cs="Open Sans"/>
          <w:sz w:val="22"/>
          <w:szCs w:val="22"/>
        </w:rPr>
        <w:t>Kryterium „</w:t>
      </w:r>
      <w:r w:rsidRPr="00021378">
        <w:rPr>
          <w:rFonts w:ascii="Open Sans" w:eastAsia="Tahoma" w:hAnsi="Open Sans" w:cs="Open Sans"/>
          <w:b/>
          <w:bCs/>
          <w:sz w:val="22"/>
          <w:szCs w:val="22"/>
        </w:rPr>
        <w:t xml:space="preserve">Termin płatności” (T”)- waga </w:t>
      </w:r>
      <w:r w:rsidRPr="00021378">
        <w:rPr>
          <w:rFonts w:ascii="Open Sans" w:hAnsi="Open Sans" w:cs="Open Sans"/>
          <w:b/>
          <w:sz w:val="22"/>
          <w:szCs w:val="22"/>
        </w:rPr>
        <w:t>10 punktów.</w:t>
      </w:r>
    </w:p>
    <w:p w14:paraId="00275A74" w14:textId="57176433" w:rsidR="00767DD6" w:rsidRPr="00125F31" w:rsidRDefault="00767DD6" w:rsidP="00B9656B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93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iCs/>
          <w:sz w:val="22"/>
          <w:szCs w:val="22"/>
        </w:rPr>
        <w:t>Minimalny wymagany termin płatności nie może być krótszy niż 21 dni, a maksymalny termin płatności, jaki zostanie uwzględniony (punktowany) przez zamawiającego przy ocenie ofert wg powyższego kryterium nie może być dłuższy niż 30 dni.</w:t>
      </w:r>
    </w:p>
    <w:p w14:paraId="00C5D209" w14:textId="77777777" w:rsidR="00767DD6" w:rsidRPr="00125F31" w:rsidRDefault="00767DD6" w:rsidP="00B9656B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284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iCs/>
          <w:sz w:val="22"/>
          <w:szCs w:val="22"/>
        </w:rPr>
        <w:t>Ocena za termin płatności liczona będzie następująco:</w:t>
      </w:r>
    </w:p>
    <w:p w14:paraId="2FA2B45A" w14:textId="77777777" w:rsidR="00AB1493" w:rsidRPr="00125F31" w:rsidRDefault="00767DD6" w:rsidP="00125F3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iCs/>
          <w:sz w:val="22"/>
          <w:szCs w:val="22"/>
        </w:rPr>
        <w:t xml:space="preserve">Dla terminu płatności wynoszącego 21 dni </w:t>
      </w:r>
      <w:r w:rsidRPr="00125F31">
        <w:rPr>
          <w:rFonts w:ascii="Open Sans" w:eastAsia="Tahoma" w:hAnsi="Open Sans" w:cs="Open Sans"/>
          <w:b/>
          <w:bCs/>
          <w:iCs/>
          <w:sz w:val="22"/>
          <w:szCs w:val="22"/>
        </w:rPr>
        <w:t>Wykonawca otrzyma 0 pkt.</w:t>
      </w:r>
    </w:p>
    <w:p w14:paraId="5A9B7B1A" w14:textId="38D07198" w:rsidR="00767DD6" w:rsidRPr="00125F31" w:rsidRDefault="00767DD6" w:rsidP="00125F31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iCs/>
          <w:sz w:val="22"/>
          <w:szCs w:val="22"/>
        </w:rPr>
        <w:t xml:space="preserve">Dla terminu płatności wynoszącego 30 dni </w:t>
      </w:r>
      <w:r w:rsidRPr="00125F31">
        <w:rPr>
          <w:rFonts w:ascii="Open Sans" w:eastAsia="Tahoma" w:hAnsi="Open Sans" w:cs="Open Sans"/>
          <w:b/>
          <w:bCs/>
          <w:iCs/>
          <w:sz w:val="22"/>
          <w:szCs w:val="22"/>
        </w:rPr>
        <w:t>Wykonawca otrzyma 10 pkt.</w:t>
      </w:r>
    </w:p>
    <w:p w14:paraId="19CE8690" w14:textId="77777777" w:rsidR="00767DD6" w:rsidRPr="00125F31" w:rsidRDefault="00767DD6" w:rsidP="00767DD6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b/>
          <w:bCs/>
          <w:iCs/>
          <w:sz w:val="22"/>
          <w:szCs w:val="22"/>
        </w:rPr>
        <w:t>UWAGA!</w:t>
      </w:r>
    </w:p>
    <w:p w14:paraId="230D0E4B" w14:textId="0B22EBFA" w:rsidR="00767DD6" w:rsidRPr="00125F31" w:rsidRDefault="00767DD6" w:rsidP="00767DD6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Open Sans" w:eastAsia="Tahoma" w:hAnsi="Open Sans" w:cs="Open Sans"/>
          <w:iCs/>
          <w:sz w:val="22"/>
          <w:szCs w:val="22"/>
        </w:rPr>
      </w:pPr>
      <w:r w:rsidRPr="00125F31">
        <w:rPr>
          <w:rFonts w:ascii="Open Sans" w:eastAsia="Tahoma" w:hAnsi="Open Sans" w:cs="Open Sans"/>
          <w:iCs/>
          <w:sz w:val="22"/>
          <w:szCs w:val="22"/>
        </w:rPr>
        <w:t>W przypadku gdy  Wykonawca nie wpisze w treści oferty terminu płatności, zaproponuje termin płatności krótszy niż 21 dn</w:t>
      </w:r>
      <w:r w:rsidR="00125F31">
        <w:rPr>
          <w:rFonts w:ascii="Open Sans" w:eastAsia="Tahoma" w:hAnsi="Open Sans" w:cs="Open Sans"/>
          <w:iCs/>
          <w:sz w:val="22"/>
          <w:szCs w:val="22"/>
        </w:rPr>
        <w:t>i lub dłuższy niż 30 dni, lub w </w:t>
      </w:r>
      <w:r w:rsidRPr="00125F31">
        <w:rPr>
          <w:rFonts w:ascii="Open Sans" w:eastAsia="Tahoma" w:hAnsi="Open Sans" w:cs="Open Sans"/>
          <w:iCs/>
          <w:sz w:val="22"/>
          <w:szCs w:val="22"/>
        </w:rPr>
        <w:t xml:space="preserve">niepełnych dniach Zamawiający uzna te oferty jako niezgodne z treścią </w:t>
      </w:r>
      <w:r w:rsidR="00453F97" w:rsidRPr="00125F31">
        <w:rPr>
          <w:rFonts w:ascii="Open Sans" w:eastAsia="Tahoma" w:hAnsi="Open Sans" w:cs="Open Sans"/>
          <w:iCs/>
          <w:sz w:val="22"/>
          <w:szCs w:val="22"/>
        </w:rPr>
        <w:t>S</w:t>
      </w:r>
      <w:r w:rsidR="00E51767" w:rsidRPr="00125F31">
        <w:rPr>
          <w:rFonts w:ascii="Open Sans" w:eastAsia="Tahoma" w:hAnsi="Open Sans" w:cs="Open Sans"/>
          <w:iCs/>
          <w:sz w:val="22"/>
          <w:szCs w:val="22"/>
        </w:rPr>
        <w:t>OP</w:t>
      </w:r>
      <w:r w:rsidRPr="00125F31">
        <w:rPr>
          <w:rFonts w:ascii="Open Sans" w:eastAsia="Tahoma" w:hAnsi="Open Sans" w:cs="Open Sans"/>
          <w:iCs/>
          <w:sz w:val="22"/>
          <w:szCs w:val="22"/>
        </w:rPr>
        <w:t>Z.</w:t>
      </w:r>
    </w:p>
    <w:p w14:paraId="46EA0DC4" w14:textId="77777777" w:rsidR="00767DD6" w:rsidRPr="00125F31" w:rsidRDefault="00767DD6" w:rsidP="00767DD6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Open Sans" w:eastAsia="Tahoma" w:hAnsi="Open Sans" w:cs="Open Sans"/>
          <w:iCs/>
          <w:sz w:val="22"/>
          <w:szCs w:val="22"/>
        </w:rPr>
      </w:pPr>
    </w:p>
    <w:p w14:paraId="1C1EECBA" w14:textId="77777777" w:rsidR="00767DD6" w:rsidRPr="00021378" w:rsidRDefault="00767DD6" w:rsidP="00B9656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rStyle w:val="Pogrubienie"/>
          <w:rFonts w:ascii="Open Sans" w:eastAsia="Tahoma" w:hAnsi="Open Sans" w:cs="Open Sans"/>
          <w:b w:val="0"/>
          <w:bCs w:val="0"/>
          <w:sz w:val="22"/>
          <w:szCs w:val="22"/>
        </w:rPr>
      </w:pPr>
      <w:r w:rsidRPr="00021378">
        <w:rPr>
          <w:rStyle w:val="Pogrubienie"/>
          <w:rFonts w:ascii="Open Sans" w:eastAsia="Calibri" w:hAnsi="Open Sans" w:cs="Open Sans"/>
          <w:sz w:val="22"/>
          <w:szCs w:val="22"/>
        </w:rPr>
        <w:t>Podsumowanie kryteriów.</w:t>
      </w:r>
    </w:p>
    <w:p w14:paraId="696C4AD9" w14:textId="28EA51F0" w:rsidR="00767DD6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 xml:space="preserve">Punkty liczone wg powyższych kryteriów zostaną zsumowane. </w:t>
      </w:r>
    </w:p>
    <w:p w14:paraId="7A805845" w14:textId="4D6CCFE1" w:rsidR="00767DD6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 xml:space="preserve">Za ofertę najkorzystniejszą uznana zostanie </w:t>
      </w:r>
      <w:r w:rsidRPr="00125F31">
        <w:rPr>
          <w:rFonts w:ascii="Open Sans" w:hAnsi="Open Sans" w:cs="Open Sans"/>
          <w:b/>
          <w:bCs/>
          <w:iCs/>
          <w:sz w:val="22"/>
          <w:szCs w:val="22"/>
        </w:rPr>
        <w:t xml:space="preserve">Oferta Wykonawcy, </w:t>
      </w:r>
      <w:r w:rsidRPr="00125F31">
        <w:rPr>
          <w:rFonts w:ascii="Open Sans" w:hAnsi="Open Sans" w:cs="Open Sans"/>
          <w:iCs/>
          <w:sz w:val="22"/>
          <w:szCs w:val="22"/>
        </w:rPr>
        <w:t xml:space="preserve">która w sumie uzyska największą ilość punktów obliczoną wg poniższego wzoru: </w:t>
      </w:r>
    </w:p>
    <w:p w14:paraId="28C74F6C" w14:textId="3B826902" w:rsidR="00767DD6" w:rsidRPr="00125F31" w:rsidRDefault="005B4387" w:rsidP="00767DD6">
      <w:pPr>
        <w:tabs>
          <w:tab w:val="left" w:pos="993"/>
        </w:tabs>
        <w:jc w:val="center"/>
        <w:rPr>
          <w:rFonts w:ascii="Open Sans" w:hAnsi="Open Sans" w:cs="Open Sans"/>
          <w:b/>
          <w:bCs/>
          <w:iCs/>
          <w:sz w:val="22"/>
          <w:szCs w:val="22"/>
        </w:rPr>
      </w:pPr>
      <w:r w:rsidRPr="00125F31">
        <w:rPr>
          <w:rFonts w:ascii="Open Sans" w:hAnsi="Open Sans" w:cs="Open Sans"/>
          <w:b/>
          <w:bCs/>
          <w:iCs/>
          <w:sz w:val="22"/>
          <w:szCs w:val="22"/>
        </w:rPr>
        <w:t>LP = C +</w:t>
      </w:r>
      <w:r w:rsidR="00767DD6" w:rsidRPr="00125F31">
        <w:rPr>
          <w:rFonts w:ascii="Open Sans" w:hAnsi="Open Sans" w:cs="Open Sans"/>
          <w:b/>
          <w:bCs/>
          <w:iCs/>
          <w:sz w:val="22"/>
          <w:szCs w:val="22"/>
        </w:rPr>
        <w:t xml:space="preserve"> T </w:t>
      </w:r>
    </w:p>
    <w:p w14:paraId="013E9B8F" w14:textId="77777777" w:rsidR="00767DD6" w:rsidRPr="00125F31" w:rsidRDefault="00767DD6" w:rsidP="00767DD6">
      <w:pPr>
        <w:tabs>
          <w:tab w:val="left" w:pos="993"/>
        </w:tabs>
        <w:ind w:firstLine="1843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>Gdzie:</w:t>
      </w:r>
    </w:p>
    <w:p w14:paraId="59E26EB3" w14:textId="77777777" w:rsidR="00767DD6" w:rsidRPr="00125F31" w:rsidRDefault="00767DD6" w:rsidP="00767DD6">
      <w:pPr>
        <w:pStyle w:val="Default"/>
        <w:ind w:firstLine="1843"/>
        <w:jc w:val="both"/>
        <w:rPr>
          <w:rFonts w:ascii="Open Sans" w:hAnsi="Open Sans" w:cs="Open Sans"/>
          <w:iCs/>
          <w:color w:val="auto"/>
          <w:sz w:val="22"/>
          <w:szCs w:val="22"/>
        </w:rPr>
      </w:pP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>LP</w:t>
      </w: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ab/>
        <w:t>–</w:t>
      </w:r>
      <w:r w:rsidRPr="00125F31">
        <w:rPr>
          <w:rFonts w:ascii="Open Sans" w:hAnsi="Open Sans" w:cs="Open Sans"/>
          <w:iCs/>
          <w:color w:val="auto"/>
          <w:sz w:val="22"/>
          <w:szCs w:val="22"/>
        </w:rPr>
        <w:t xml:space="preserve"> liczba punktów łącznie.  </w:t>
      </w:r>
    </w:p>
    <w:p w14:paraId="5EBDBA3E" w14:textId="77777777" w:rsidR="00767DD6" w:rsidRPr="00125F31" w:rsidRDefault="00767DD6" w:rsidP="00767DD6">
      <w:pPr>
        <w:pStyle w:val="Default"/>
        <w:ind w:firstLine="1843"/>
        <w:jc w:val="both"/>
        <w:rPr>
          <w:rFonts w:ascii="Open Sans" w:hAnsi="Open Sans" w:cs="Open Sans"/>
          <w:iCs/>
          <w:color w:val="auto"/>
          <w:sz w:val="22"/>
          <w:szCs w:val="22"/>
        </w:rPr>
      </w:pP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>C</w:t>
      </w: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ab/>
        <w:t>–</w:t>
      </w:r>
      <w:r w:rsidRPr="00125F31">
        <w:rPr>
          <w:rFonts w:ascii="Open Sans" w:hAnsi="Open Sans" w:cs="Open Sans"/>
          <w:iCs/>
          <w:color w:val="auto"/>
          <w:sz w:val="22"/>
          <w:szCs w:val="22"/>
        </w:rPr>
        <w:t xml:space="preserve"> liczba punktów w kryterium „cena całego zamówienia” </w:t>
      </w:r>
    </w:p>
    <w:p w14:paraId="7B222D46" w14:textId="62EC5EFF" w:rsidR="00767DD6" w:rsidRPr="00125F31" w:rsidRDefault="00767DD6" w:rsidP="00767DD6">
      <w:pPr>
        <w:pStyle w:val="Default"/>
        <w:ind w:firstLine="1843"/>
        <w:jc w:val="both"/>
        <w:rPr>
          <w:rFonts w:ascii="Open Sans" w:hAnsi="Open Sans" w:cs="Open Sans"/>
          <w:iCs/>
          <w:color w:val="auto"/>
          <w:sz w:val="22"/>
          <w:szCs w:val="22"/>
        </w:rPr>
      </w:pP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>T</w:t>
      </w:r>
      <w:r w:rsidRPr="00125F31">
        <w:rPr>
          <w:rFonts w:ascii="Open Sans" w:hAnsi="Open Sans" w:cs="Open Sans"/>
          <w:b/>
          <w:bCs/>
          <w:iCs/>
          <w:color w:val="auto"/>
          <w:sz w:val="22"/>
          <w:szCs w:val="22"/>
        </w:rPr>
        <w:tab/>
        <w:t>–</w:t>
      </w:r>
      <w:r w:rsidRPr="00125F31">
        <w:rPr>
          <w:rFonts w:ascii="Open Sans" w:hAnsi="Open Sans" w:cs="Open Sans"/>
          <w:iCs/>
          <w:color w:val="auto"/>
          <w:sz w:val="22"/>
          <w:szCs w:val="22"/>
        </w:rPr>
        <w:t xml:space="preserve"> liczba punktów w kryterium „termin płatn</w:t>
      </w:r>
      <w:r w:rsidR="00A474B4" w:rsidRPr="00125F31">
        <w:rPr>
          <w:rFonts w:ascii="Open Sans" w:hAnsi="Open Sans" w:cs="Open Sans"/>
          <w:iCs/>
          <w:color w:val="auto"/>
          <w:sz w:val="22"/>
          <w:szCs w:val="22"/>
        </w:rPr>
        <w:t>o</w:t>
      </w:r>
      <w:r w:rsidRPr="00125F31">
        <w:rPr>
          <w:rFonts w:ascii="Open Sans" w:hAnsi="Open Sans" w:cs="Open Sans"/>
          <w:iCs/>
          <w:color w:val="auto"/>
          <w:sz w:val="22"/>
          <w:szCs w:val="22"/>
        </w:rPr>
        <w:t xml:space="preserve">ści” </w:t>
      </w:r>
    </w:p>
    <w:p w14:paraId="64F6E355" w14:textId="494755BA" w:rsidR="00AB1493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>Punktacja przyznawana ofertom w poszczególn</w:t>
      </w:r>
      <w:r w:rsidR="00125F31">
        <w:rPr>
          <w:rFonts w:ascii="Open Sans" w:hAnsi="Open Sans" w:cs="Open Sans"/>
          <w:iCs/>
          <w:sz w:val="22"/>
          <w:szCs w:val="22"/>
        </w:rPr>
        <w:t>ych kryteriach będzie liczona z </w:t>
      </w:r>
      <w:r w:rsidRPr="00125F31">
        <w:rPr>
          <w:rFonts w:ascii="Open Sans" w:hAnsi="Open Sans" w:cs="Open Sans"/>
          <w:iCs/>
          <w:sz w:val="22"/>
          <w:szCs w:val="22"/>
        </w:rPr>
        <w:t xml:space="preserve">dokładnością do dwóch miejsc po przecinku. </w:t>
      </w:r>
    </w:p>
    <w:p w14:paraId="3A6CB987" w14:textId="77777777" w:rsidR="00AB1493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iCs/>
          <w:sz w:val="22"/>
          <w:szCs w:val="22"/>
        </w:rPr>
        <w:t xml:space="preserve">Najwyższa liczba punktów wyznaczy najkorzystniejszą ofertę. </w:t>
      </w:r>
    </w:p>
    <w:p w14:paraId="7FDEEFBE" w14:textId="27F60F53" w:rsidR="00AB1493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Style w:val="Pogrubienie"/>
          <w:rFonts w:ascii="Open Sans" w:eastAsia="Calibri" w:hAnsi="Open Sans" w:cs="Open Sans"/>
          <w:b w:val="0"/>
          <w:iCs/>
          <w:sz w:val="22"/>
          <w:szCs w:val="22"/>
        </w:rPr>
        <w:t>Zamawiający</w:t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 podpisze umowę z Wykonawcą, który spełni wszystkie wymagania określone </w:t>
      </w:r>
      <w:r w:rsidR="008B2B24" w:rsidRPr="00125F31">
        <w:rPr>
          <w:rFonts w:ascii="Open Sans" w:hAnsi="Open Sans" w:cs="Open Sans"/>
          <w:bCs/>
          <w:iCs/>
          <w:sz w:val="22"/>
          <w:szCs w:val="22"/>
        </w:rPr>
        <w:br/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w </w:t>
      </w:r>
      <w:r w:rsidR="00E51767" w:rsidRPr="00125F31">
        <w:rPr>
          <w:rFonts w:ascii="Open Sans" w:hAnsi="Open Sans" w:cs="Open Sans"/>
          <w:bCs/>
          <w:iCs/>
          <w:sz w:val="22"/>
          <w:szCs w:val="22"/>
        </w:rPr>
        <w:t>opisie przedmiotu</w:t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 zamówienia oraz otrzyma największą liczbę punktów spośród rozpatrywanych ofert na realizację przedmiotu zamówienia. </w:t>
      </w:r>
    </w:p>
    <w:p w14:paraId="3AB0E6B1" w14:textId="3BA3F9EB" w:rsidR="00767DD6" w:rsidRPr="00125F31" w:rsidRDefault="00767DD6" w:rsidP="00B9656B">
      <w:pPr>
        <w:pStyle w:val="Akapitzlist"/>
        <w:numPr>
          <w:ilvl w:val="2"/>
          <w:numId w:val="9"/>
        </w:numPr>
        <w:tabs>
          <w:tab w:val="left" w:pos="284"/>
        </w:tabs>
        <w:ind w:hanging="293"/>
        <w:jc w:val="both"/>
        <w:rPr>
          <w:rFonts w:ascii="Open Sans" w:hAnsi="Open Sans" w:cs="Open Sans"/>
          <w:iCs/>
          <w:sz w:val="22"/>
          <w:szCs w:val="22"/>
        </w:rPr>
      </w:pP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Jeżeli nie będzie można wybrać najkorzystniejszej oferty z uwagi na to, że dwie lub więcej ofert przedstawia taki sam bilans ceny lub kosztu lub innych kryteriów oceny ofert, </w:t>
      </w:r>
      <w:r w:rsidRPr="00125F31">
        <w:rPr>
          <w:rStyle w:val="Pogrubienie"/>
          <w:rFonts w:ascii="Open Sans" w:eastAsia="Calibri" w:hAnsi="Open Sans" w:cs="Open Sans"/>
          <w:b w:val="0"/>
          <w:iCs/>
          <w:sz w:val="22"/>
          <w:szCs w:val="22"/>
        </w:rPr>
        <w:t>Zamawiający</w:t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 spośród tych ofert wybiera ofertę z najniższą ceną lub najniższym kosztem, a jeżeli zostały złożone oferty o takiej samej cenie lub koszcie, </w:t>
      </w:r>
      <w:r w:rsidRPr="00125F31">
        <w:rPr>
          <w:rStyle w:val="Pogrubienie"/>
          <w:rFonts w:ascii="Open Sans" w:eastAsia="Calibri" w:hAnsi="Open Sans" w:cs="Open Sans"/>
          <w:b w:val="0"/>
          <w:iCs/>
          <w:sz w:val="22"/>
          <w:szCs w:val="22"/>
        </w:rPr>
        <w:t>Zamawiający</w:t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 wezwie Wykonawców którzy złożyli te oferty, do złożenia w terminie przez niego określonym ofert dodatkowych (art.</w:t>
      </w:r>
      <w:r w:rsidR="008B2B24" w:rsidRPr="00125F31">
        <w:rPr>
          <w:rFonts w:ascii="Open Sans" w:hAnsi="Open Sans" w:cs="Open Sans"/>
          <w:bCs/>
          <w:iCs/>
          <w:sz w:val="22"/>
          <w:szCs w:val="22"/>
        </w:rPr>
        <w:t xml:space="preserve"> 249</w:t>
      </w:r>
      <w:r w:rsidRPr="00125F31">
        <w:rPr>
          <w:rFonts w:ascii="Open Sans" w:hAnsi="Open Sans" w:cs="Open Sans"/>
          <w:bCs/>
          <w:iCs/>
          <w:sz w:val="22"/>
          <w:szCs w:val="22"/>
        </w:rPr>
        <w:t xml:space="preserve"> ustawy). Wykonawca, s</w:t>
      </w:r>
      <w:r w:rsidRPr="00125F31">
        <w:rPr>
          <w:rFonts w:ascii="Open Sans" w:hAnsi="Open Sans" w:cs="Open Sans"/>
          <w:iCs/>
          <w:sz w:val="22"/>
          <w:szCs w:val="22"/>
        </w:rPr>
        <w:t xml:space="preserve">kładając oferty </w:t>
      </w:r>
      <w:r w:rsidRPr="00125F31">
        <w:rPr>
          <w:rFonts w:ascii="Open Sans" w:hAnsi="Open Sans" w:cs="Open Sans"/>
          <w:iCs/>
          <w:sz w:val="22"/>
          <w:szCs w:val="22"/>
        </w:rPr>
        <w:lastRenderedPageBreak/>
        <w:t>dodatkowe, nie mogą zaoferować cen lub kos</w:t>
      </w:r>
      <w:r w:rsidR="00125F31">
        <w:rPr>
          <w:rFonts w:ascii="Open Sans" w:hAnsi="Open Sans" w:cs="Open Sans"/>
          <w:iCs/>
          <w:sz w:val="22"/>
          <w:szCs w:val="22"/>
        </w:rPr>
        <w:t>ztów wyższych niż zaoferowane w </w:t>
      </w:r>
      <w:r w:rsidRPr="00125F31">
        <w:rPr>
          <w:rFonts w:ascii="Open Sans" w:hAnsi="Open Sans" w:cs="Open Sans"/>
          <w:iCs/>
          <w:sz w:val="22"/>
          <w:szCs w:val="22"/>
        </w:rPr>
        <w:t xml:space="preserve">złożonych ofertach (art. </w:t>
      </w:r>
      <w:r w:rsidR="008B2B24" w:rsidRPr="00125F31">
        <w:rPr>
          <w:rFonts w:ascii="Open Sans" w:hAnsi="Open Sans" w:cs="Open Sans"/>
          <w:iCs/>
          <w:sz w:val="22"/>
          <w:szCs w:val="22"/>
        </w:rPr>
        <w:t>251</w:t>
      </w:r>
      <w:r w:rsidRPr="00125F31">
        <w:rPr>
          <w:rFonts w:ascii="Open Sans" w:hAnsi="Open Sans" w:cs="Open Sans"/>
          <w:iCs/>
          <w:sz w:val="22"/>
          <w:szCs w:val="22"/>
        </w:rPr>
        <w:t xml:space="preserve"> ustawy). </w:t>
      </w:r>
    </w:p>
    <w:p w14:paraId="3F4D29E2" w14:textId="18EC18B3" w:rsidR="008D1947" w:rsidRPr="00125F31" w:rsidRDefault="008D1947" w:rsidP="008D19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color w:val="000000"/>
          <w:sz w:val="22"/>
          <w:szCs w:val="22"/>
        </w:rPr>
      </w:pPr>
    </w:p>
    <w:p w14:paraId="0BF4290F" w14:textId="77777777" w:rsidR="005F3A72" w:rsidRPr="00125F31" w:rsidRDefault="005F3A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sz w:val="22"/>
          <w:szCs w:val="22"/>
          <w:u w:val="single"/>
        </w:rPr>
      </w:pPr>
    </w:p>
    <w:p w14:paraId="03C1D697" w14:textId="77777777" w:rsidR="00790AA6" w:rsidRPr="0017653D" w:rsidRDefault="00790AA6" w:rsidP="00790AA6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Open Sans" w:eastAsia="Tahoma" w:hAnsi="Open Sans" w:cs="Open Sans"/>
          <w:b/>
          <w:bCs/>
          <w:sz w:val="22"/>
          <w:szCs w:val="22"/>
        </w:rPr>
      </w:pPr>
    </w:p>
    <w:p w14:paraId="27AFD176" w14:textId="77777777" w:rsidR="00547EB7" w:rsidRPr="0017653D" w:rsidRDefault="00547EB7" w:rsidP="00547EB7">
      <w:pPr>
        <w:tabs>
          <w:tab w:val="left" w:pos="284"/>
        </w:tabs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17653D">
        <w:rPr>
          <w:rFonts w:ascii="Open Sans" w:hAnsi="Open Sans" w:cs="Open Sans"/>
          <w:b/>
          <w:bCs/>
          <w:sz w:val="22"/>
          <w:szCs w:val="22"/>
          <w:u w:val="single"/>
        </w:rPr>
        <w:t>Opracował:</w:t>
      </w:r>
    </w:p>
    <w:p w14:paraId="1F0354AA" w14:textId="04A2C55F" w:rsidR="00547EB7" w:rsidRPr="0017653D" w:rsidRDefault="005B4387" w:rsidP="00547EB7">
      <w:pPr>
        <w:tabs>
          <w:tab w:val="left" w:pos="284"/>
        </w:tabs>
        <w:rPr>
          <w:rFonts w:ascii="Open Sans" w:hAnsi="Open Sans" w:cs="Open Sans"/>
          <w:sz w:val="22"/>
          <w:szCs w:val="22"/>
        </w:rPr>
      </w:pPr>
      <w:r w:rsidRPr="0017653D">
        <w:rPr>
          <w:rFonts w:ascii="Open Sans" w:hAnsi="Open Sans" w:cs="Open Sans"/>
          <w:sz w:val="22"/>
          <w:szCs w:val="22"/>
        </w:rPr>
        <w:t>Jerzy Brancewicz</w:t>
      </w:r>
    </w:p>
    <w:p w14:paraId="5DD3CB75" w14:textId="5DBFACC1" w:rsidR="00547EB7" w:rsidRPr="0017653D" w:rsidRDefault="00547EB7" w:rsidP="00547EB7">
      <w:pPr>
        <w:tabs>
          <w:tab w:val="left" w:pos="284"/>
        </w:tabs>
        <w:rPr>
          <w:rFonts w:ascii="Open Sans" w:hAnsi="Open Sans" w:cs="Open Sans"/>
          <w:sz w:val="22"/>
          <w:szCs w:val="22"/>
        </w:rPr>
      </w:pPr>
      <w:r w:rsidRPr="0017653D">
        <w:rPr>
          <w:rFonts w:ascii="Open Sans" w:hAnsi="Open Sans" w:cs="Open Sans"/>
          <w:sz w:val="22"/>
          <w:szCs w:val="22"/>
        </w:rPr>
        <w:t xml:space="preserve">Koszalin, dnia </w:t>
      </w:r>
      <w:r w:rsidR="00E51767" w:rsidRPr="0017653D">
        <w:rPr>
          <w:rFonts w:ascii="Open Sans" w:hAnsi="Open Sans" w:cs="Open Sans"/>
          <w:sz w:val="22"/>
          <w:szCs w:val="22"/>
        </w:rPr>
        <w:t>0</w:t>
      </w:r>
      <w:r w:rsidR="005B4387" w:rsidRPr="0017653D">
        <w:rPr>
          <w:rFonts w:ascii="Open Sans" w:hAnsi="Open Sans" w:cs="Open Sans"/>
          <w:sz w:val="22"/>
          <w:szCs w:val="22"/>
        </w:rPr>
        <w:t>5.0</w:t>
      </w:r>
      <w:r w:rsidR="0017653D" w:rsidRPr="0017653D">
        <w:rPr>
          <w:rFonts w:ascii="Open Sans" w:hAnsi="Open Sans" w:cs="Open Sans"/>
          <w:sz w:val="22"/>
          <w:szCs w:val="22"/>
        </w:rPr>
        <w:t>4</w:t>
      </w:r>
      <w:r w:rsidRPr="0017653D">
        <w:rPr>
          <w:rFonts w:ascii="Open Sans" w:hAnsi="Open Sans" w:cs="Open Sans"/>
          <w:sz w:val="22"/>
          <w:szCs w:val="22"/>
        </w:rPr>
        <w:t>.202</w:t>
      </w:r>
      <w:r w:rsidR="0017653D">
        <w:rPr>
          <w:rFonts w:ascii="Open Sans" w:hAnsi="Open Sans" w:cs="Open Sans"/>
          <w:sz w:val="22"/>
          <w:szCs w:val="22"/>
        </w:rPr>
        <w:t>2</w:t>
      </w:r>
      <w:r w:rsidRPr="0017653D">
        <w:rPr>
          <w:rFonts w:ascii="Open Sans" w:hAnsi="Open Sans" w:cs="Open Sans"/>
          <w:sz w:val="22"/>
          <w:szCs w:val="22"/>
        </w:rPr>
        <w:t xml:space="preserve"> rok.</w:t>
      </w:r>
    </w:p>
    <w:p w14:paraId="06D4D963" w14:textId="77777777" w:rsidR="00713206" w:rsidRPr="0017653D" w:rsidRDefault="007132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ahoma" w:hAnsi="Open Sans" w:cs="Open Sans"/>
          <w:sz w:val="22"/>
          <w:szCs w:val="22"/>
          <w:u w:val="single"/>
        </w:rPr>
      </w:pPr>
    </w:p>
    <w:sectPr w:rsidR="00713206" w:rsidRPr="0017653D" w:rsidSect="005B4387">
      <w:headerReference w:type="default" r:id="rId9"/>
      <w:footerReference w:type="default" r:id="rId10"/>
      <w:pgSz w:w="11906" w:h="16838"/>
      <w:pgMar w:top="1134" w:right="1134" w:bottom="851" w:left="992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5C69" w14:textId="77777777" w:rsidR="00A23BB4" w:rsidRDefault="00A23BB4">
      <w:r>
        <w:separator/>
      </w:r>
    </w:p>
  </w:endnote>
  <w:endnote w:type="continuationSeparator" w:id="0">
    <w:p w14:paraId="605DB0EC" w14:textId="77777777" w:rsidR="00A23BB4" w:rsidRDefault="00A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C052" w14:textId="77777777" w:rsidR="004B347D" w:rsidRPr="00884312" w:rsidRDefault="004B3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6"/>
        <w:szCs w:val="16"/>
      </w:rPr>
    </w:pPr>
    <w:r w:rsidRPr="00884312">
      <w:rPr>
        <w:rFonts w:ascii="Tahoma" w:eastAsia="Tahoma" w:hAnsi="Tahoma" w:cs="Tahoma"/>
        <w:color w:val="000000"/>
        <w:sz w:val="16"/>
        <w:szCs w:val="16"/>
      </w:rPr>
      <w:t xml:space="preserve">Strona 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 w:rsidRPr="00884312">
      <w:rPr>
        <w:rFonts w:ascii="Tahoma" w:eastAsia="Tahoma" w:hAnsi="Tahoma" w:cs="Tahoma"/>
        <w:b/>
        <w:color w:val="000000"/>
        <w:sz w:val="16"/>
        <w:szCs w:val="16"/>
      </w:rPr>
      <w:instrText>PAGE</w:instrTex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6A4670">
      <w:rPr>
        <w:rFonts w:ascii="Tahoma" w:eastAsia="Tahoma" w:hAnsi="Tahoma" w:cs="Tahoma"/>
        <w:b/>
        <w:noProof/>
        <w:color w:val="000000"/>
        <w:sz w:val="16"/>
        <w:szCs w:val="16"/>
      </w:rPr>
      <w:t>4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end"/>
    </w:r>
    <w:r w:rsidRPr="00884312">
      <w:rPr>
        <w:rFonts w:ascii="Tahoma" w:eastAsia="Tahoma" w:hAnsi="Tahoma" w:cs="Tahoma"/>
        <w:color w:val="000000"/>
        <w:sz w:val="16"/>
        <w:szCs w:val="16"/>
      </w:rPr>
      <w:t xml:space="preserve"> z 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begin"/>
    </w:r>
    <w:r w:rsidRPr="00884312">
      <w:rPr>
        <w:rFonts w:ascii="Tahoma" w:eastAsia="Tahoma" w:hAnsi="Tahoma" w:cs="Tahoma"/>
        <w:b/>
        <w:color w:val="000000"/>
        <w:sz w:val="16"/>
        <w:szCs w:val="16"/>
      </w:rPr>
      <w:instrText>NUMPAGES</w:instrTex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separate"/>
    </w:r>
    <w:r w:rsidR="006A4670">
      <w:rPr>
        <w:rFonts w:ascii="Tahoma" w:eastAsia="Tahoma" w:hAnsi="Tahoma" w:cs="Tahoma"/>
        <w:b/>
        <w:noProof/>
        <w:color w:val="000000"/>
        <w:sz w:val="16"/>
        <w:szCs w:val="16"/>
      </w:rPr>
      <w:t>6</w:t>
    </w:r>
    <w:r w:rsidRPr="00884312">
      <w:rPr>
        <w:rFonts w:ascii="Tahoma" w:eastAsia="Tahoma" w:hAnsi="Tahoma" w:cs="Tahoma"/>
        <w:b/>
        <w:color w:val="000000"/>
        <w:sz w:val="16"/>
        <w:szCs w:val="16"/>
      </w:rPr>
      <w:fldChar w:fldCharType="end"/>
    </w:r>
  </w:p>
  <w:p w14:paraId="3946D159" w14:textId="77777777" w:rsidR="004B347D" w:rsidRDefault="004B3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3F943" w14:textId="77777777" w:rsidR="00A23BB4" w:rsidRDefault="00A23BB4">
      <w:r>
        <w:separator/>
      </w:r>
    </w:p>
  </w:footnote>
  <w:footnote w:type="continuationSeparator" w:id="0">
    <w:p w14:paraId="5D5590F5" w14:textId="77777777" w:rsidR="00A23BB4" w:rsidRDefault="00A2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3DFF" w14:textId="357EA2DD" w:rsidR="004B347D" w:rsidRPr="004D6AC3" w:rsidRDefault="004B347D" w:rsidP="004C56D0">
    <w:pPr>
      <w:pStyle w:val="Akapitzlist"/>
      <w:jc w:val="center"/>
      <w:rPr>
        <w:rFonts w:ascii="Open Sans" w:hAnsi="Open Sans" w:cs="Open Sans"/>
      </w:rPr>
    </w:pPr>
    <w:r w:rsidRPr="004D6AC3">
      <w:rPr>
        <w:rFonts w:ascii="Open Sans" w:hAnsi="Open Sans" w:cs="Open Sans"/>
        <w:noProof/>
      </w:rPr>
      <w:drawing>
        <wp:inline distT="0" distB="0" distL="0" distR="0" wp14:anchorId="596CBCAE" wp14:editId="6EC5CE0C">
          <wp:extent cx="607060" cy="548640"/>
          <wp:effectExtent l="0" t="0" r="254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69270" w14:textId="563ABF8A" w:rsidR="004B347D" w:rsidRPr="004C56D0" w:rsidRDefault="004B347D" w:rsidP="004C56D0">
    <w:pPr>
      <w:pStyle w:val="Akapitzlist"/>
      <w:jc w:val="center"/>
      <w:rPr>
        <w:rFonts w:ascii="Calibri" w:hAnsi="Calibri"/>
        <w:sz w:val="22"/>
        <w:szCs w:val="22"/>
      </w:rPr>
    </w:pPr>
    <w:r w:rsidRPr="004D6AC3">
      <w:rPr>
        <w:rFonts w:ascii="Open Sans" w:hAnsi="Open Sans" w:cs="Open Sans"/>
      </w:rPr>
      <w:t>Przedsiębiorstwo Gospodarki Komunalnej Spółka z o.o. w Koszalinie</w:t>
    </w:r>
    <w:r w:rsidRPr="008A278C">
      <w:rPr>
        <w:rFonts w:ascii="Tahoma" w:hAnsi="Tahoma" w:cs="Tahom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74A"/>
    <w:multiLevelType w:val="hybridMultilevel"/>
    <w:tmpl w:val="C10C6B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421AE"/>
    <w:multiLevelType w:val="hybridMultilevel"/>
    <w:tmpl w:val="DB9E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10A5C"/>
    <w:multiLevelType w:val="hybridMultilevel"/>
    <w:tmpl w:val="17F8FFBA"/>
    <w:lvl w:ilvl="0" w:tplc="61D0F2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401816"/>
    <w:multiLevelType w:val="multilevel"/>
    <w:tmpl w:val="290E8B66"/>
    <w:lvl w:ilvl="0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4">
    <w:nsid w:val="097803A5"/>
    <w:multiLevelType w:val="multilevel"/>
    <w:tmpl w:val="9CB086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5">
    <w:nsid w:val="0A7860AA"/>
    <w:multiLevelType w:val="hybridMultilevel"/>
    <w:tmpl w:val="C45CA8DE"/>
    <w:lvl w:ilvl="0" w:tplc="616CD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F25D9"/>
    <w:multiLevelType w:val="multilevel"/>
    <w:tmpl w:val="25FE0CF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4122D7C"/>
    <w:multiLevelType w:val="hybridMultilevel"/>
    <w:tmpl w:val="7E4EF47E"/>
    <w:lvl w:ilvl="0" w:tplc="0F3A8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E6AEB"/>
    <w:multiLevelType w:val="multilevel"/>
    <w:tmpl w:val="75B0410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Open Sans" w:eastAsia="Tahoma" w:hAnsi="Open Sans" w:cs="Open Sans" w:hint="default"/>
        <w:b w:val="0"/>
        <w:bCs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87" w:hanging="720"/>
      </w:pPr>
      <w:rPr>
        <w:rFonts w:ascii="Open Sans" w:eastAsia="Tahoma" w:hAnsi="Open Sans" w:cs="Open Sans"/>
        <w:b w:val="0"/>
        <w:bCs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1800"/>
      </w:pPr>
      <w:rPr>
        <w:rFonts w:ascii="Open Sans" w:eastAsia="Tahoma" w:hAnsi="Open Sans" w:cs="Open Sans" w:hint="default"/>
        <w:b/>
        <w:bCs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9">
    <w:nsid w:val="16E7557D"/>
    <w:multiLevelType w:val="hybridMultilevel"/>
    <w:tmpl w:val="26249F76"/>
    <w:lvl w:ilvl="0" w:tplc="C05047DC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885AF5"/>
    <w:multiLevelType w:val="hybridMultilevel"/>
    <w:tmpl w:val="50F2C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E637A4"/>
    <w:multiLevelType w:val="hybridMultilevel"/>
    <w:tmpl w:val="09C8A6E0"/>
    <w:lvl w:ilvl="0" w:tplc="0B0E86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1A5905CD"/>
    <w:multiLevelType w:val="multilevel"/>
    <w:tmpl w:val="2C029D6E"/>
    <w:lvl w:ilvl="0">
      <w:start w:val="2"/>
      <w:numFmt w:val="decimal"/>
      <w:lvlText w:val="%1."/>
      <w:lvlJc w:val="left"/>
      <w:pPr>
        <w:ind w:left="420" w:hanging="420"/>
      </w:pPr>
      <w:rPr>
        <w:rFonts w:ascii="Open Sans" w:eastAsia="Arial" w:hAnsi="Open Sans" w:cs="Open Sans" w:hint="default"/>
        <w:b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Open Sans" w:eastAsia="Arial" w:hAnsi="Open Sans" w:cs="Open Sans" w:hint="default"/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vertAlign w:val="baseline"/>
      </w:rPr>
    </w:lvl>
  </w:abstractNum>
  <w:abstractNum w:abstractNumId="13">
    <w:nsid w:val="1B6533A7"/>
    <w:multiLevelType w:val="hybridMultilevel"/>
    <w:tmpl w:val="454A8C18"/>
    <w:lvl w:ilvl="0" w:tplc="3F701FCE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A3C423DA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  <w:b/>
        <w:bCs w:val="0"/>
        <w:i w:val="0"/>
        <w:iCs w:val="0"/>
        <w:color w:val="000000"/>
        <w:sz w:val="22"/>
        <w:szCs w:val="22"/>
        <w:u w:val="none"/>
      </w:rPr>
    </w:lvl>
    <w:lvl w:ilvl="2" w:tplc="C5E211E4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  <w:bCs/>
        <w:color w:val="000000"/>
        <w:sz w:val="22"/>
        <w:szCs w:val="22"/>
      </w:rPr>
    </w:lvl>
    <w:lvl w:ilvl="3" w:tplc="541891C0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8D42064">
      <w:start w:val="1"/>
      <w:numFmt w:val="lowerLetter"/>
      <w:lvlText w:val="%5)"/>
      <w:lvlJc w:val="left"/>
      <w:pPr>
        <w:ind w:left="3600" w:hanging="360"/>
      </w:pPr>
      <w:rPr>
        <w:rFonts w:eastAsia="Tahom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9126B"/>
    <w:multiLevelType w:val="hybridMultilevel"/>
    <w:tmpl w:val="F8521A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240C6E"/>
    <w:multiLevelType w:val="hybridMultilevel"/>
    <w:tmpl w:val="3E7C8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D421E82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78725E"/>
    <w:multiLevelType w:val="hybridMultilevel"/>
    <w:tmpl w:val="007C08D8"/>
    <w:lvl w:ilvl="0" w:tplc="0D8CF4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1600CE5"/>
    <w:multiLevelType w:val="hybridMultilevel"/>
    <w:tmpl w:val="FE885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31D5F"/>
    <w:multiLevelType w:val="hybridMultilevel"/>
    <w:tmpl w:val="4A8AE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77B0A"/>
    <w:multiLevelType w:val="multilevel"/>
    <w:tmpl w:val="BA3E6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1002" w:hanging="720"/>
      </w:pPr>
      <w:rPr>
        <w:rFonts w:ascii="Open Sans" w:eastAsia="Tahoma" w:hAnsi="Open Sans" w:cs="Open Sans"/>
        <w:sz w:val="22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  <w:sz w:val="22"/>
      </w:rPr>
    </w:lvl>
  </w:abstractNum>
  <w:abstractNum w:abstractNumId="20">
    <w:nsid w:val="317A4958"/>
    <w:multiLevelType w:val="hybridMultilevel"/>
    <w:tmpl w:val="0038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82007"/>
    <w:multiLevelType w:val="multilevel"/>
    <w:tmpl w:val="25FE0CF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34FF5A2A"/>
    <w:multiLevelType w:val="hybridMultilevel"/>
    <w:tmpl w:val="53AEBE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5286FE4"/>
    <w:multiLevelType w:val="hybridMultilevel"/>
    <w:tmpl w:val="77A69EB6"/>
    <w:lvl w:ilvl="0" w:tplc="2B7A4850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38153D65"/>
    <w:multiLevelType w:val="multilevel"/>
    <w:tmpl w:val="37E48A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eastAsia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02" w:hanging="720"/>
      </w:pPr>
      <w:rPr>
        <w:rFonts w:ascii="Open Sans" w:eastAsia="Tahoma" w:hAnsi="Open Sans" w:cs="Open Sans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 w:hint="default"/>
      </w:rPr>
    </w:lvl>
  </w:abstractNum>
  <w:abstractNum w:abstractNumId="25">
    <w:nsid w:val="3AB277B2"/>
    <w:multiLevelType w:val="multilevel"/>
    <w:tmpl w:val="94AC2A2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0F12C05"/>
    <w:multiLevelType w:val="multilevel"/>
    <w:tmpl w:val="25FE0CF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44372494"/>
    <w:multiLevelType w:val="hybridMultilevel"/>
    <w:tmpl w:val="36F839F6"/>
    <w:lvl w:ilvl="0" w:tplc="496878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F67FD5"/>
    <w:multiLevelType w:val="hybridMultilevel"/>
    <w:tmpl w:val="C23897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A1505"/>
    <w:multiLevelType w:val="hybridMultilevel"/>
    <w:tmpl w:val="FBF81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197DB4"/>
    <w:multiLevelType w:val="hybridMultilevel"/>
    <w:tmpl w:val="AB5C5D4E"/>
    <w:lvl w:ilvl="0" w:tplc="5B80B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152B4C"/>
    <w:multiLevelType w:val="hybridMultilevel"/>
    <w:tmpl w:val="5694C0C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EC4ABC"/>
    <w:multiLevelType w:val="hybridMultilevel"/>
    <w:tmpl w:val="B84270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173FFE"/>
    <w:multiLevelType w:val="multilevel"/>
    <w:tmpl w:val="3B6CFC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002" w:hanging="720"/>
      </w:p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 w:hint="default"/>
      </w:rPr>
    </w:lvl>
  </w:abstractNum>
  <w:abstractNum w:abstractNumId="34">
    <w:nsid w:val="51A733B5"/>
    <w:multiLevelType w:val="multilevel"/>
    <w:tmpl w:val="D06EB6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0000FF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strike w:val="0"/>
        <w:dstrike w:val="0"/>
        <w:sz w:val="24"/>
        <w:u w:val="none"/>
        <w:effect w:val="none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Open Sans" w:eastAsia="Times New Roman" w:hAnsi="Open Sans" w:cs="Open Sans"/>
        <w:strike w:val="0"/>
        <w:dstrike w:val="0"/>
        <w:sz w:val="24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strike w:val="0"/>
        <w:dstrike w:val="0"/>
        <w:sz w:val="24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strike w:val="0"/>
        <w:dstrike w:val="0"/>
        <w:sz w:val="24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strike w:val="0"/>
        <w:dstrike w:val="0"/>
        <w:sz w:val="24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strike w:val="0"/>
        <w:dstrike w:val="0"/>
        <w:sz w:val="24"/>
        <w:u w:val="none"/>
        <w:effect w:val="none"/>
      </w:rPr>
    </w:lvl>
  </w:abstractNum>
  <w:abstractNum w:abstractNumId="35">
    <w:nsid w:val="601E2413"/>
    <w:multiLevelType w:val="multilevel"/>
    <w:tmpl w:val="1D8AC1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1002" w:hanging="720"/>
      </w:pPr>
      <w:rPr>
        <w:rFonts w:ascii="Open Sans" w:eastAsia="Tahoma" w:hAnsi="Open Sans" w:cs="Open Sans"/>
        <w:b w:val="0"/>
        <w:bCs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eastAsia="Times New Roman" w:hint="default"/>
      </w:rPr>
    </w:lvl>
    <w:lvl w:ilvl="4">
      <w:start w:val="1"/>
      <w:numFmt w:val="lowerLetter"/>
      <w:lvlText w:val="%5)"/>
      <w:lvlJc w:val="left"/>
      <w:pPr>
        <w:ind w:left="1644" w:hanging="1080"/>
      </w:pPr>
      <w:rPr>
        <w:rFonts w:ascii="Open Sans" w:eastAsia="Tahoma" w:hAnsi="Open Sans" w:cs="Open Sans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Times New Roman" w:hint="default"/>
      </w:rPr>
    </w:lvl>
  </w:abstractNum>
  <w:abstractNum w:abstractNumId="36">
    <w:nsid w:val="64142C2A"/>
    <w:multiLevelType w:val="multilevel"/>
    <w:tmpl w:val="25FE0CF6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Tahoma" w:hAnsi="Open Sans" w:cs="Open San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9971302"/>
    <w:multiLevelType w:val="multilevel"/>
    <w:tmpl w:val="F9F2740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color w:val="FF0000"/>
        <w:u w:val="none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color w:val="FF0000"/>
        <w:u w:val="none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/>
        <w:color w:val="FF0000"/>
        <w:u w:val="none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  <w:b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  <w:b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/>
        <w:color w:val="FF0000"/>
        <w:u w:val="none"/>
      </w:rPr>
    </w:lvl>
  </w:abstractNum>
  <w:abstractNum w:abstractNumId="38">
    <w:nsid w:val="6CBF37D3"/>
    <w:multiLevelType w:val="multilevel"/>
    <w:tmpl w:val="80CA31F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Open Sans" w:eastAsia="Tahoma" w:hAnsi="Open Sans" w:cs="Open Sans" w:hint="default"/>
        <w:b w:val="0"/>
        <w:bCs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87" w:hanging="720"/>
      </w:pPr>
      <w:rPr>
        <w:rFonts w:ascii="Open Sans" w:eastAsia="Tahoma" w:hAnsi="Open Sans" w:cs="Open Sans"/>
        <w:b w:val="0"/>
        <w:bCs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1800"/>
      </w:pPr>
      <w:rPr>
        <w:rFonts w:ascii="Open Sans" w:eastAsia="Tahoma" w:hAnsi="Open Sans" w:cs="Open Sans" w:hint="default"/>
        <w:b/>
        <w:bCs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39">
    <w:nsid w:val="6F8F1D65"/>
    <w:multiLevelType w:val="hybridMultilevel"/>
    <w:tmpl w:val="645A4CFE"/>
    <w:lvl w:ilvl="0" w:tplc="F5DE0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5651D"/>
    <w:multiLevelType w:val="hybridMultilevel"/>
    <w:tmpl w:val="FB323A94"/>
    <w:lvl w:ilvl="0" w:tplc="B134C250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0C7957"/>
    <w:multiLevelType w:val="hybridMultilevel"/>
    <w:tmpl w:val="04C43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F1F9D"/>
    <w:multiLevelType w:val="hybridMultilevel"/>
    <w:tmpl w:val="EC507158"/>
    <w:lvl w:ilvl="0" w:tplc="21621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3F7562"/>
    <w:multiLevelType w:val="hybridMultilevel"/>
    <w:tmpl w:val="B942B3B8"/>
    <w:lvl w:ilvl="0" w:tplc="316EB0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37"/>
  </w:num>
  <w:num w:numId="7">
    <w:abstractNumId w:val="25"/>
  </w:num>
  <w:num w:numId="8">
    <w:abstractNumId w:val="38"/>
  </w:num>
  <w:num w:numId="9">
    <w:abstractNumId w:val="33"/>
  </w:num>
  <w:num w:numId="10">
    <w:abstractNumId w:val="20"/>
  </w:num>
  <w:num w:numId="11">
    <w:abstractNumId w:val="16"/>
  </w:num>
  <w:num w:numId="12">
    <w:abstractNumId w:val="39"/>
  </w:num>
  <w:num w:numId="13">
    <w:abstractNumId w:val="14"/>
  </w:num>
  <w:num w:numId="14">
    <w:abstractNumId w:val="22"/>
  </w:num>
  <w:num w:numId="15">
    <w:abstractNumId w:val="27"/>
  </w:num>
  <w:num w:numId="16">
    <w:abstractNumId w:val="41"/>
  </w:num>
  <w:num w:numId="17">
    <w:abstractNumId w:val="18"/>
  </w:num>
  <w:num w:numId="18">
    <w:abstractNumId w:val="24"/>
  </w:num>
  <w:num w:numId="19">
    <w:abstractNumId w:val="11"/>
  </w:num>
  <w:num w:numId="20">
    <w:abstractNumId w:val="43"/>
  </w:num>
  <w:num w:numId="21">
    <w:abstractNumId w:val="40"/>
  </w:num>
  <w:num w:numId="22">
    <w:abstractNumId w:val="30"/>
  </w:num>
  <w:num w:numId="23">
    <w:abstractNumId w:val="1"/>
  </w:num>
  <w:num w:numId="24">
    <w:abstractNumId w:val="29"/>
  </w:num>
  <w:num w:numId="25">
    <w:abstractNumId w:val="35"/>
  </w:num>
  <w:num w:numId="26">
    <w:abstractNumId w:val="2"/>
  </w:num>
  <w:num w:numId="27">
    <w:abstractNumId w:val="19"/>
  </w:num>
  <w:num w:numId="28">
    <w:abstractNumId w:val="42"/>
  </w:num>
  <w:num w:numId="29">
    <w:abstractNumId w:val="9"/>
  </w:num>
  <w:num w:numId="30">
    <w:abstractNumId w:val="5"/>
  </w:num>
  <w:num w:numId="31">
    <w:abstractNumId w:val="17"/>
  </w:num>
  <w:num w:numId="32">
    <w:abstractNumId w:val="23"/>
  </w:num>
  <w:num w:numId="33">
    <w:abstractNumId w:val="7"/>
  </w:num>
  <w:num w:numId="34">
    <w:abstractNumId w:val="28"/>
  </w:num>
  <w:num w:numId="35">
    <w:abstractNumId w:val="4"/>
  </w:num>
  <w:num w:numId="36">
    <w:abstractNumId w:val="3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6"/>
  </w:num>
  <w:num w:numId="40">
    <w:abstractNumId w:val="36"/>
  </w:num>
  <w:num w:numId="41">
    <w:abstractNumId w:val="15"/>
  </w:num>
  <w:num w:numId="42">
    <w:abstractNumId w:val="0"/>
  </w:num>
  <w:num w:numId="43">
    <w:abstractNumId w:val="10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1"/>
    <w:rsid w:val="00021378"/>
    <w:rsid w:val="0002796D"/>
    <w:rsid w:val="000302C2"/>
    <w:rsid w:val="00032331"/>
    <w:rsid w:val="00050C74"/>
    <w:rsid w:val="00052A19"/>
    <w:rsid w:val="00052E60"/>
    <w:rsid w:val="00056FD7"/>
    <w:rsid w:val="00063A7A"/>
    <w:rsid w:val="000916FD"/>
    <w:rsid w:val="000A7451"/>
    <w:rsid w:val="000D1D34"/>
    <w:rsid w:val="000D3E12"/>
    <w:rsid w:val="000E24DE"/>
    <w:rsid w:val="000F5B7E"/>
    <w:rsid w:val="000F5C95"/>
    <w:rsid w:val="00125F31"/>
    <w:rsid w:val="001271AB"/>
    <w:rsid w:val="00136B74"/>
    <w:rsid w:val="00142AD5"/>
    <w:rsid w:val="001611B8"/>
    <w:rsid w:val="00162F5E"/>
    <w:rsid w:val="00170A8C"/>
    <w:rsid w:val="0017653D"/>
    <w:rsid w:val="001A68AF"/>
    <w:rsid w:val="001B3E96"/>
    <w:rsid w:val="001C28AF"/>
    <w:rsid w:val="001F3DE0"/>
    <w:rsid w:val="00205200"/>
    <w:rsid w:val="00205DEF"/>
    <w:rsid w:val="00212E54"/>
    <w:rsid w:val="002459A8"/>
    <w:rsid w:val="0027190B"/>
    <w:rsid w:val="0028452C"/>
    <w:rsid w:val="002B7F2F"/>
    <w:rsid w:val="002E4DB8"/>
    <w:rsid w:val="002E7EA4"/>
    <w:rsid w:val="00300176"/>
    <w:rsid w:val="00307338"/>
    <w:rsid w:val="0031104D"/>
    <w:rsid w:val="0031643F"/>
    <w:rsid w:val="003167DB"/>
    <w:rsid w:val="0032137C"/>
    <w:rsid w:val="00324B2E"/>
    <w:rsid w:val="00343ECA"/>
    <w:rsid w:val="00355098"/>
    <w:rsid w:val="00362E35"/>
    <w:rsid w:val="003819E5"/>
    <w:rsid w:val="00393E97"/>
    <w:rsid w:val="003966F5"/>
    <w:rsid w:val="003C136C"/>
    <w:rsid w:val="003C680D"/>
    <w:rsid w:val="003E5996"/>
    <w:rsid w:val="003F02BD"/>
    <w:rsid w:val="0040343C"/>
    <w:rsid w:val="004139A0"/>
    <w:rsid w:val="00430275"/>
    <w:rsid w:val="00431347"/>
    <w:rsid w:val="00453F97"/>
    <w:rsid w:val="004544E4"/>
    <w:rsid w:val="00455FEB"/>
    <w:rsid w:val="00482D26"/>
    <w:rsid w:val="004A7A71"/>
    <w:rsid w:val="004B347D"/>
    <w:rsid w:val="004B3C71"/>
    <w:rsid w:val="004B516B"/>
    <w:rsid w:val="004C56D0"/>
    <w:rsid w:val="004C572C"/>
    <w:rsid w:val="004F7330"/>
    <w:rsid w:val="004F7B86"/>
    <w:rsid w:val="0051041A"/>
    <w:rsid w:val="0052423A"/>
    <w:rsid w:val="00524290"/>
    <w:rsid w:val="00526FAB"/>
    <w:rsid w:val="005305E3"/>
    <w:rsid w:val="00543B0B"/>
    <w:rsid w:val="005461C5"/>
    <w:rsid w:val="005476C7"/>
    <w:rsid w:val="00547EB7"/>
    <w:rsid w:val="00554516"/>
    <w:rsid w:val="00555099"/>
    <w:rsid w:val="00555375"/>
    <w:rsid w:val="0057117E"/>
    <w:rsid w:val="00596FE4"/>
    <w:rsid w:val="00597117"/>
    <w:rsid w:val="005A3D04"/>
    <w:rsid w:val="005B4387"/>
    <w:rsid w:val="005C222A"/>
    <w:rsid w:val="005D2888"/>
    <w:rsid w:val="005E0ED3"/>
    <w:rsid w:val="005E1551"/>
    <w:rsid w:val="005F0067"/>
    <w:rsid w:val="005F3A72"/>
    <w:rsid w:val="0061162D"/>
    <w:rsid w:val="0065208E"/>
    <w:rsid w:val="00655279"/>
    <w:rsid w:val="00674025"/>
    <w:rsid w:val="006A4670"/>
    <w:rsid w:val="006A78AF"/>
    <w:rsid w:val="006B4824"/>
    <w:rsid w:val="006E2559"/>
    <w:rsid w:val="006F26BB"/>
    <w:rsid w:val="00713206"/>
    <w:rsid w:val="00713717"/>
    <w:rsid w:val="00713F1A"/>
    <w:rsid w:val="00727C74"/>
    <w:rsid w:val="00730BD0"/>
    <w:rsid w:val="00736D3E"/>
    <w:rsid w:val="00762D05"/>
    <w:rsid w:val="00767DD6"/>
    <w:rsid w:val="0077142D"/>
    <w:rsid w:val="00786DC7"/>
    <w:rsid w:val="00787C38"/>
    <w:rsid w:val="00790AA6"/>
    <w:rsid w:val="00792B99"/>
    <w:rsid w:val="00794C00"/>
    <w:rsid w:val="0079621F"/>
    <w:rsid w:val="007A5DDA"/>
    <w:rsid w:val="007B6CC2"/>
    <w:rsid w:val="007D4EE6"/>
    <w:rsid w:val="007E454E"/>
    <w:rsid w:val="007F3239"/>
    <w:rsid w:val="008039C9"/>
    <w:rsid w:val="00812960"/>
    <w:rsid w:val="00821861"/>
    <w:rsid w:val="00833109"/>
    <w:rsid w:val="00843B38"/>
    <w:rsid w:val="00845F31"/>
    <w:rsid w:val="00880076"/>
    <w:rsid w:val="00884312"/>
    <w:rsid w:val="008B2B24"/>
    <w:rsid w:val="008C4E68"/>
    <w:rsid w:val="008C5E10"/>
    <w:rsid w:val="008D0D6A"/>
    <w:rsid w:val="008D1947"/>
    <w:rsid w:val="008E0E84"/>
    <w:rsid w:val="008F0CF0"/>
    <w:rsid w:val="00901A29"/>
    <w:rsid w:val="00933BA5"/>
    <w:rsid w:val="00934800"/>
    <w:rsid w:val="0093725E"/>
    <w:rsid w:val="0095470C"/>
    <w:rsid w:val="009638F6"/>
    <w:rsid w:val="00966D52"/>
    <w:rsid w:val="00987FB4"/>
    <w:rsid w:val="00992638"/>
    <w:rsid w:val="009B0B8F"/>
    <w:rsid w:val="009B4A3B"/>
    <w:rsid w:val="009E64A6"/>
    <w:rsid w:val="00A00FEE"/>
    <w:rsid w:val="00A02947"/>
    <w:rsid w:val="00A07730"/>
    <w:rsid w:val="00A16FAE"/>
    <w:rsid w:val="00A23BB4"/>
    <w:rsid w:val="00A35735"/>
    <w:rsid w:val="00A474B4"/>
    <w:rsid w:val="00A51B58"/>
    <w:rsid w:val="00A51CA2"/>
    <w:rsid w:val="00A57F81"/>
    <w:rsid w:val="00A624AF"/>
    <w:rsid w:val="00A74AC2"/>
    <w:rsid w:val="00A757B0"/>
    <w:rsid w:val="00A83768"/>
    <w:rsid w:val="00A973DA"/>
    <w:rsid w:val="00AB1493"/>
    <w:rsid w:val="00AC15D8"/>
    <w:rsid w:val="00AF583F"/>
    <w:rsid w:val="00B05AE0"/>
    <w:rsid w:val="00B10EC5"/>
    <w:rsid w:val="00B12BF5"/>
    <w:rsid w:val="00B2651C"/>
    <w:rsid w:val="00B30A69"/>
    <w:rsid w:val="00B33017"/>
    <w:rsid w:val="00B33ADF"/>
    <w:rsid w:val="00B76208"/>
    <w:rsid w:val="00B80138"/>
    <w:rsid w:val="00B87200"/>
    <w:rsid w:val="00B92378"/>
    <w:rsid w:val="00B92F43"/>
    <w:rsid w:val="00B9656B"/>
    <w:rsid w:val="00BA1719"/>
    <w:rsid w:val="00BA780D"/>
    <w:rsid w:val="00BB613D"/>
    <w:rsid w:val="00BC37F9"/>
    <w:rsid w:val="00BC631F"/>
    <w:rsid w:val="00BD66B9"/>
    <w:rsid w:val="00BF1D5F"/>
    <w:rsid w:val="00C13FCF"/>
    <w:rsid w:val="00C36F6D"/>
    <w:rsid w:val="00C407AE"/>
    <w:rsid w:val="00C43117"/>
    <w:rsid w:val="00C7060A"/>
    <w:rsid w:val="00C77512"/>
    <w:rsid w:val="00C81286"/>
    <w:rsid w:val="00CA5928"/>
    <w:rsid w:val="00CA79D2"/>
    <w:rsid w:val="00CB4ABC"/>
    <w:rsid w:val="00CF7092"/>
    <w:rsid w:val="00D21444"/>
    <w:rsid w:val="00D25832"/>
    <w:rsid w:val="00D32136"/>
    <w:rsid w:val="00D4223B"/>
    <w:rsid w:val="00D4783F"/>
    <w:rsid w:val="00D51EE8"/>
    <w:rsid w:val="00D62B17"/>
    <w:rsid w:val="00DA24F3"/>
    <w:rsid w:val="00DA5914"/>
    <w:rsid w:val="00DA6FDD"/>
    <w:rsid w:val="00DC1D5D"/>
    <w:rsid w:val="00DE53FC"/>
    <w:rsid w:val="00DF4C8F"/>
    <w:rsid w:val="00E115DA"/>
    <w:rsid w:val="00E16A50"/>
    <w:rsid w:val="00E244F9"/>
    <w:rsid w:val="00E2687A"/>
    <w:rsid w:val="00E51767"/>
    <w:rsid w:val="00E51AC3"/>
    <w:rsid w:val="00EB34E7"/>
    <w:rsid w:val="00F00F2F"/>
    <w:rsid w:val="00F07A24"/>
    <w:rsid w:val="00F172D6"/>
    <w:rsid w:val="00F26488"/>
    <w:rsid w:val="00F42A8A"/>
    <w:rsid w:val="00F44733"/>
    <w:rsid w:val="00F529E9"/>
    <w:rsid w:val="00F76342"/>
    <w:rsid w:val="00F77316"/>
    <w:rsid w:val="00FA4F88"/>
    <w:rsid w:val="00FB04ED"/>
    <w:rsid w:val="00FB3062"/>
    <w:rsid w:val="00FB3FDA"/>
    <w:rsid w:val="00FC0595"/>
    <w:rsid w:val="00FC45B7"/>
    <w:rsid w:val="00FE57E1"/>
    <w:rsid w:val="00FF0EA4"/>
    <w:rsid w:val="00FF3DA1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8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E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343ECA"/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2B7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F6D"/>
  </w:style>
  <w:style w:type="paragraph" w:styleId="Stopka">
    <w:name w:val="footer"/>
    <w:basedOn w:val="Normalny"/>
    <w:link w:val="StopkaZnak"/>
    <w:uiPriority w:val="99"/>
    <w:unhideWhenUsed/>
    <w:rsid w:val="00C3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F6D"/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4C56D0"/>
  </w:style>
  <w:style w:type="table" w:styleId="Tabela-Siatka">
    <w:name w:val="Table Grid"/>
    <w:basedOn w:val="Standardowy"/>
    <w:uiPriority w:val="39"/>
    <w:rsid w:val="004C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32137C"/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rsid w:val="00F2648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48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64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qFormat/>
    <w:rsid w:val="00F264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E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343ECA"/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2B7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F6D"/>
  </w:style>
  <w:style w:type="paragraph" w:styleId="Stopka">
    <w:name w:val="footer"/>
    <w:basedOn w:val="Normalny"/>
    <w:link w:val="StopkaZnak"/>
    <w:uiPriority w:val="99"/>
    <w:unhideWhenUsed/>
    <w:rsid w:val="00C3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F6D"/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4C56D0"/>
  </w:style>
  <w:style w:type="table" w:styleId="Tabela-Siatka">
    <w:name w:val="Table Grid"/>
    <w:basedOn w:val="Standardowy"/>
    <w:uiPriority w:val="39"/>
    <w:rsid w:val="004C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32137C"/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rsid w:val="00F2648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48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64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qFormat/>
    <w:rsid w:val="00F264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76F2-3049-4881-8097-99753FC0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1386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 Sp. z o. o. w Koszalinie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Łączyńska</dc:creator>
  <cp:lastModifiedBy>Jerzy Brancewicz</cp:lastModifiedBy>
  <cp:revision>13</cp:revision>
  <cp:lastPrinted>2021-04-08T11:25:00Z</cp:lastPrinted>
  <dcterms:created xsi:type="dcterms:W3CDTF">2021-05-05T07:43:00Z</dcterms:created>
  <dcterms:modified xsi:type="dcterms:W3CDTF">2022-04-05T10:29:00Z</dcterms:modified>
</cp:coreProperties>
</file>