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2A728388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2D7B1C" w:rsidRPr="002D7B1C">
        <w:rPr>
          <w:rFonts w:cstheme="minorHAnsi"/>
          <w:b/>
          <w:bCs/>
          <w:sz w:val="24"/>
          <w:szCs w:val="24"/>
        </w:rPr>
        <w:t>Wykonanie pionowej i poziomej izolacji przeciwwilgociowej ścian fundamentowych budynku Powiatowego Zespołu Szkół im. Władysława Reymonta przy ul. Parkowej 8 w Obornikach Śląskich wraz z wykonaniem drenażu opaskowego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.272.</w:t>
      </w:r>
      <w:r w:rsidR="003B40EC">
        <w:rPr>
          <w:rFonts w:eastAsia="Calibri" w:cstheme="minorHAnsi"/>
          <w:b/>
          <w:sz w:val="24"/>
          <w:szCs w:val="24"/>
          <w:lang w:eastAsia="en-US"/>
        </w:rPr>
        <w:t>4</w:t>
      </w:r>
      <w:r w:rsidR="008967AA">
        <w:rPr>
          <w:rFonts w:eastAsia="Calibri" w:cstheme="minorHAnsi"/>
          <w:b/>
          <w:sz w:val="24"/>
          <w:szCs w:val="24"/>
          <w:lang w:eastAsia="en-US"/>
        </w:rPr>
        <w:t>.202</w:t>
      </w:r>
      <w:r w:rsidR="003B40EC">
        <w:rPr>
          <w:rFonts w:eastAsia="Calibri" w:cstheme="minorHAnsi"/>
          <w:b/>
          <w:sz w:val="24"/>
          <w:szCs w:val="24"/>
          <w:lang w:eastAsia="en-US"/>
        </w:rPr>
        <w:t>4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75E705CE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</w:t>
      </w:r>
      <w:r w:rsidR="0038545A">
        <w:rPr>
          <w:rFonts w:eastAsia="Times New Roman" w:cstheme="minorHAnsi"/>
          <w:b/>
          <w:sz w:val="24"/>
          <w:szCs w:val="24"/>
        </w:rPr>
        <w:t xml:space="preserve">oraz pkt 7 </w:t>
      </w:r>
      <w:r w:rsidRPr="007B4691">
        <w:rPr>
          <w:rFonts w:eastAsia="Times New Roman" w:cstheme="minorHAnsi"/>
          <w:b/>
          <w:sz w:val="24"/>
          <w:szCs w:val="24"/>
        </w:rPr>
        <w:t xml:space="preserve">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496805B7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i pkt 7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 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 xml:space="preserve">13 kwietnia 2022 r. o szczególnych rozwiązaniach </w:t>
      </w:r>
      <w:r w:rsidRPr="008A7309">
        <w:rPr>
          <w:rFonts w:ascii="Calibri" w:hAnsi="Calibri" w:cs="Arial"/>
        </w:rPr>
        <w:lastRenderedPageBreak/>
        <w:t>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0EC2BB67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 xml:space="preserve">Rozdziale XI 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0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0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bookmarkStart w:id="1" w:name="_GoBack"/>
      <w:bookmarkEnd w:id="1"/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7444" w14:textId="77777777" w:rsidR="00435C46" w:rsidRDefault="00435C46" w:rsidP="0019695A">
      <w:pPr>
        <w:spacing w:after="0" w:line="240" w:lineRule="auto"/>
      </w:pPr>
      <w:r>
        <w:separator/>
      </w:r>
    </w:p>
  </w:endnote>
  <w:endnote w:type="continuationSeparator" w:id="0">
    <w:p w14:paraId="3299E3FC" w14:textId="77777777" w:rsidR="00435C46" w:rsidRDefault="00435C46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27ABF" w14:textId="77777777" w:rsidR="00435C46" w:rsidRDefault="00435C46" w:rsidP="0019695A">
      <w:pPr>
        <w:spacing w:after="0" w:line="240" w:lineRule="auto"/>
      </w:pPr>
      <w:r>
        <w:separator/>
      </w:r>
    </w:p>
  </w:footnote>
  <w:footnote w:type="continuationSeparator" w:id="0">
    <w:p w14:paraId="57AC8A38" w14:textId="77777777" w:rsidR="00435C46" w:rsidRDefault="00435C46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9EA0" w14:textId="01EBCD55" w:rsidR="00A36928" w:rsidRDefault="00A36928">
    <w:pPr>
      <w:pStyle w:val="Nagwek"/>
    </w:pPr>
    <w:r>
      <w:rPr>
        <w:noProof/>
      </w:rPr>
      <w:drawing>
        <wp:inline distT="0" distB="0" distL="0" distR="0" wp14:anchorId="4E30D62C" wp14:editId="7120F852">
          <wp:extent cx="5760720" cy="70096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D7B1C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40E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967AA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928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52F0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4348-3FC2-4EB4-ADD0-8970019C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36</cp:revision>
  <cp:lastPrinted>2021-02-19T12:46:00Z</cp:lastPrinted>
  <dcterms:created xsi:type="dcterms:W3CDTF">2021-02-19T13:30:00Z</dcterms:created>
  <dcterms:modified xsi:type="dcterms:W3CDTF">2024-06-12T09:56:00Z</dcterms:modified>
</cp:coreProperties>
</file>