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360" w:lineRule="auto"/>
        <w:jc w:val="center"/>
        <w:rPr>
          <w:rFonts w:ascii="Arial" w:hAnsi="Arial" w:cs="Arial"/>
          <w:b/>
          <w:bCs/>
          <w:sz w:val="28"/>
          <w:szCs w:val="28"/>
        </w:rPr>
      </w:pPr>
    </w:p>
    <w:p>
      <w:pPr>
        <w:spacing w:after="0" w:line="360" w:lineRule="auto"/>
        <w:jc w:val="center"/>
        <w:rPr>
          <w:rFonts w:ascii="Arial" w:hAnsi="Arial" w:cs="Arial"/>
          <w:sz w:val="28"/>
          <w:szCs w:val="28"/>
        </w:rPr>
      </w:pPr>
      <w:r>
        <w:rPr>
          <w:rFonts w:ascii="Arial" w:hAnsi="Arial" w:cs="Arial"/>
          <w:b/>
          <w:bCs/>
          <w:sz w:val="28"/>
          <w:szCs w:val="28"/>
        </w:rPr>
        <w:t>SPECYFIKACJA WARUNKÓW ZAMÓWIENIA</w:t>
      </w:r>
    </w:p>
    <w:p>
      <w:pPr>
        <w:spacing w:after="0" w:line="360" w:lineRule="auto"/>
        <w:jc w:val="center"/>
        <w:rPr>
          <w:rFonts w:ascii="Arial" w:hAnsi="Arial" w:cs="Arial"/>
          <w:sz w:val="28"/>
          <w:szCs w:val="28"/>
        </w:rPr>
      </w:pPr>
      <w:r>
        <w:rPr>
          <w:rFonts w:ascii="Arial" w:hAnsi="Arial" w:cs="Arial"/>
          <w:b/>
          <w:bCs/>
          <w:sz w:val="28"/>
          <w:szCs w:val="28"/>
        </w:rPr>
        <w:t>ZAMAWIAJĄCY:</w:t>
      </w:r>
    </w:p>
    <w:p>
      <w:pPr>
        <w:spacing w:after="0" w:line="360" w:lineRule="auto"/>
        <w:jc w:val="center"/>
        <w:rPr>
          <w:rFonts w:ascii="Arial" w:hAnsi="Arial" w:cs="Arial"/>
          <w:b/>
          <w:sz w:val="28"/>
          <w:szCs w:val="28"/>
        </w:rPr>
      </w:pPr>
      <w:r>
        <w:rPr>
          <w:rFonts w:ascii="Arial" w:hAnsi="Arial" w:cs="Arial"/>
          <w:b/>
          <w:sz w:val="28"/>
          <w:szCs w:val="28"/>
        </w:rPr>
        <w:t>ZESPÓŁ OPIEKI ZDROWOTNEJ W BRODNICY</w:t>
      </w:r>
    </w:p>
    <w:p>
      <w:pPr>
        <w:spacing w:after="0" w:line="360" w:lineRule="auto"/>
        <w:jc w:val="center"/>
        <w:rPr>
          <w:rFonts w:ascii="Arial" w:hAnsi="Arial" w:cs="Arial"/>
          <w:sz w:val="24"/>
          <w:szCs w:val="24"/>
        </w:rPr>
      </w:pPr>
      <w:r>
        <w:rPr>
          <w:rFonts w:ascii="Arial" w:hAnsi="Arial" w:cs="Arial"/>
          <w:sz w:val="24"/>
          <w:szCs w:val="24"/>
        </w:rPr>
        <w:t>Zaprasza do złożenia oferty w postępowaniu o udzielenie zamówienia publicznego prowadzonego w trybie przetargu nieograniczonego na dostawy o wartości zamówienia przekraczającej progi unijne, o jakich stanowi art. 3 ustawy z 11.09.2019r. - Prawo zamówień publicznych (t. j. Dz. U. z 2022r. poz. 1710 z zm.)  pn.</w:t>
      </w:r>
    </w:p>
    <w:p>
      <w:pPr>
        <w:spacing w:after="0" w:line="360" w:lineRule="auto"/>
        <w:jc w:val="center"/>
        <w:rPr>
          <w:rFonts w:ascii="Arial" w:hAnsi="Arial" w:cs="Arial"/>
          <w:sz w:val="24"/>
          <w:szCs w:val="24"/>
        </w:rPr>
      </w:pPr>
    </w:p>
    <w:p>
      <w:pPr>
        <w:spacing w:after="0" w:line="360" w:lineRule="auto"/>
        <w:jc w:val="center"/>
        <w:rPr>
          <w:rFonts w:ascii="Arial" w:hAnsi="Arial" w:cs="Arial"/>
          <w:b/>
          <w:bCs/>
          <w:sz w:val="24"/>
          <w:szCs w:val="24"/>
        </w:rPr>
      </w:pPr>
      <w:r>
        <w:rPr>
          <w:rFonts w:ascii="Arial" w:hAnsi="Arial" w:cs="Arial"/>
          <w:b/>
          <w:bCs/>
          <w:sz w:val="24"/>
          <w:szCs w:val="24"/>
        </w:rPr>
        <w:t>„Zakup łóżek i stołów zabiegowych w ramach projektu: Poprawa jakości i dostępu do usług medycznych w Zespole Opieki Zdrowotnej w Brodnicy.”</w:t>
      </w:r>
    </w:p>
    <w:p>
      <w:pPr>
        <w:spacing w:after="0" w:line="360" w:lineRule="auto"/>
        <w:jc w:val="center"/>
        <w:rPr>
          <w:rFonts w:ascii="Arial" w:hAnsi="Arial" w:cs="Arial"/>
          <w:sz w:val="24"/>
          <w:szCs w:val="24"/>
        </w:rPr>
      </w:pPr>
      <w:r>
        <w:rPr>
          <w:rFonts w:ascii="Arial" w:hAnsi="Arial" w:cs="Arial"/>
          <w:sz w:val="24"/>
          <w:szCs w:val="24"/>
        </w:rPr>
        <w:t>/powyżej 215 000 €/</w:t>
      </w:r>
    </w:p>
    <w:p>
      <w:pPr>
        <w:spacing w:after="0" w:line="360" w:lineRule="auto"/>
        <w:jc w:val="center"/>
        <w:rPr>
          <w:rFonts w:ascii="Arial" w:hAnsi="Arial" w:cs="Arial"/>
          <w:sz w:val="24"/>
          <w:szCs w:val="24"/>
        </w:rPr>
      </w:pPr>
    </w:p>
    <w:p>
      <w:pPr>
        <w:spacing w:after="0" w:line="360" w:lineRule="auto"/>
        <w:jc w:val="center"/>
        <w:rPr>
          <w:rFonts w:ascii="Arial" w:hAnsi="Arial" w:cs="Arial"/>
          <w:sz w:val="24"/>
          <w:szCs w:val="24"/>
        </w:rPr>
      </w:pPr>
      <w:r>
        <w:rPr>
          <w:rFonts w:ascii="Arial" w:hAnsi="Arial" w:cs="Arial"/>
          <w:b/>
          <w:bCs/>
          <w:sz w:val="24"/>
          <w:szCs w:val="24"/>
        </w:rPr>
        <w:t xml:space="preserve">Przedmiotowe postępowanie prowadzone jest przy użyciu środków komunikacji elektronicznej. Składanie ofert następuje za pośrednictwem platformy zakupowej dostępnej pod adresem internetowym: </w:t>
      </w:r>
      <w:hyperlink r:id="rId7" w:history="1">
        <w:r>
          <w:rPr>
            <w:rStyle w:val="Hipercze"/>
            <w:rFonts w:ascii="Arial" w:hAnsi="Arial" w:cs="Arial"/>
            <w:b/>
            <w:bCs/>
            <w:i/>
            <w:iCs/>
            <w:sz w:val="24"/>
            <w:szCs w:val="24"/>
          </w:rPr>
          <w:t>https://platformazakupowa.pl/pn/szpitalbrodnica</w:t>
        </w:r>
      </w:hyperlink>
    </w:p>
    <w:p>
      <w:pPr>
        <w:spacing w:after="0" w:line="360" w:lineRule="auto"/>
        <w:rPr>
          <w:rFonts w:ascii="Arial" w:hAnsi="Arial" w:cs="Arial"/>
          <w:sz w:val="24"/>
          <w:szCs w:val="24"/>
        </w:rPr>
      </w:pPr>
    </w:p>
    <w:p>
      <w:pPr>
        <w:spacing w:after="0" w:line="360" w:lineRule="auto"/>
        <w:rPr>
          <w:rFonts w:ascii="Arial" w:hAnsi="Arial" w:cs="Arial"/>
          <w:sz w:val="24"/>
          <w:szCs w:val="24"/>
        </w:rPr>
      </w:pPr>
      <w:r>
        <w:rPr>
          <w:rFonts w:ascii="Arial" w:hAnsi="Arial" w:cs="Arial"/>
          <w:sz w:val="24"/>
          <w:szCs w:val="24"/>
        </w:rPr>
        <w:t>Nr postępowania: SZP.251.9.23</w:t>
      </w:r>
    </w:p>
    <w:p>
      <w:pPr>
        <w:spacing w:after="0" w:line="360" w:lineRule="auto"/>
        <w:jc w:val="center"/>
        <w:rPr>
          <w:rFonts w:ascii="Arial" w:hAnsi="Arial" w:cs="Arial"/>
          <w:b/>
          <w:bCs/>
          <w:sz w:val="24"/>
          <w:szCs w:val="24"/>
        </w:rPr>
      </w:pPr>
    </w:p>
    <w:p>
      <w:pPr>
        <w:spacing w:after="0" w:line="360" w:lineRule="auto"/>
        <w:jc w:val="center"/>
        <w:rPr>
          <w:rFonts w:ascii="Arial" w:hAnsi="Arial" w:cs="Arial"/>
          <w:b/>
          <w:bCs/>
          <w:sz w:val="24"/>
          <w:szCs w:val="24"/>
        </w:rPr>
      </w:pPr>
    </w:p>
    <w:p>
      <w:pPr>
        <w:spacing w:after="0" w:line="360" w:lineRule="auto"/>
        <w:jc w:val="center"/>
        <w:rPr>
          <w:rStyle w:val="Pogrubienie"/>
          <w:rFonts w:ascii="Arial" w:hAnsi="Arial" w:cs="Arial"/>
          <w:sz w:val="24"/>
          <w:szCs w:val="24"/>
        </w:rPr>
      </w:pPr>
      <w:r>
        <w:rPr>
          <w:rFonts w:ascii="Arial" w:hAnsi="Arial" w:cs="Arial"/>
          <w:b/>
          <w:bCs/>
          <w:sz w:val="24"/>
          <w:szCs w:val="24"/>
        </w:rPr>
        <w:t xml:space="preserve">Inwestycja finansowana ze środków </w:t>
      </w:r>
      <w:r>
        <w:rPr>
          <w:rStyle w:val="Pogrubienie"/>
          <w:rFonts w:ascii="Arial" w:hAnsi="Arial" w:cs="Arial"/>
          <w:sz w:val="24"/>
          <w:szCs w:val="24"/>
        </w:rPr>
        <w:t>Europejskiego Funduszu Rozwoju Regionalnego Nr RPKP.06.01.01-IZ.00-04-438/23 dla Osi priorytetowej 6. Solidarne społeczeństwo i konkurencyjne kadry, Działania 6.1 Inwestycje w infrastrukturę zdrowotną i społeczną, Poddziałania 6.1.1 Inwestycje w infrastrukturę zdrowotną,</w:t>
      </w:r>
    </w:p>
    <w:p>
      <w:pPr>
        <w:spacing w:after="0" w:line="360" w:lineRule="auto"/>
        <w:jc w:val="center"/>
        <w:rPr>
          <w:rStyle w:val="Pogrubienie"/>
          <w:rFonts w:ascii="Arial" w:hAnsi="Arial" w:cs="Arial"/>
          <w:sz w:val="24"/>
          <w:szCs w:val="24"/>
        </w:rPr>
      </w:pPr>
      <w:r>
        <w:rPr>
          <w:rStyle w:val="Pogrubienie"/>
          <w:rFonts w:ascii="Arial" w:hAnsi="Arial" w:cs="Arial"/>
          <w:sz w:val="24"/>
          <w:szCs w:val="24"/>
        </w:rPr>
        <w:t>Schemat: Inwestycje w zakresie opieki szpitalnej, w ramach Regionalnego Programu</w:t>
      </w:r>
    </w:p>
    <w:p>
      <w:pPr>
        <w:spacing w:after="0" w:line="360" w:lineRule="auto"/>
        <w:jc w:val="center"/>
        <w:rPr>
          <w:noProof/>
          <w:lang w:eastAsia="pl-PL"/>
        </w:rPr>
      </w:pPr>
      <w:r>
        <w:rPr>
          <w:rStyle w:val="Pogrubienie"/>
          <w:rFonts w:ascii="Arial" w:hAnsi="Arial" w:cs="Arial"/>
          <w:sz w:val="24"/>
          <w:szCs w:val="24"/>
        </w:rPr>
        <w:t>Operacyjnego Województwa Kujawsko-Pomorskiego na lata 2014-2020.</w:t>
      </w:r>
    </w:p>
    <w:p>
      <w:pPr>
        <w:spacing w:after="0" w:line="360" w:lineRule="auto"/>
        <w:jc w:val="center"/>
        <w:rPr>
          <w:rFonts w:ascii="Arial" w:hAnsi="Arial" w:cs="Arial"/>
          <w:b/>
          <w:bCs/>
        </w:rPr>
      </w:pPr>
    </w:p>
    <w:p>
      <w:pPr>
        <w:spacing w:after="0" w:line="360" w:lineRule="auto"/>
        <w:jc w:val="center"/>
        <w:rPr>
          <w:rFonts w:ascii="Arial" w:hAnsi="Arial" w:cs="Arial"/>
          <w:b/>
          <w:bCs/>
        </w:rPr>
      </w:pPr>
    </w:p>
    <w:p>
      <w:pPr>
        <w:spacing w:after="0" w:line="360" w:lineRule="auto"/>
        <w:jc w:val="center"/>
        <w:rPr>
          <w:rFonts w:ascii="Arial" w:hAnsi="Arial" w:cs="Arial"/>
          <w:b/>
          <w:bCs/>
        </w:rPr>
      </w:pPr>
    </w:p>
    <w:p>
      <w:pPr>
        <w:spacing w:after="0" w:line="360" w:lineRule="auto"/>
        <w:jc w:val="center"/>
        <w:rPr>
          <w:rFonts w:ascii="Arial" w:hAnsi="Arial" w:cs="Arial"/>
          <w:b/>
          <w:bCs/>
        </w:rPr>
      </w:pPr>
    </w:p>
    <w:p>
      <w:pPr>
        <w:spacing w:after="0" w:line="360" w:lineRule="auto"/>
        <w:rPr>
          <w:rFonts w:ascii="Arial" w:hAnsi="Arial" w:cs="Arial"/>
          <w:b/>
          <w:bCs/>
        </w:rPr>
      </w:pPr>
    </w:p>
    <w:p>
      <w:pPr>
        <w:spacing w:after="0" w:line="360" w:lineRule="auto"/>
        <w:rPr>
          <w:rFonts w:ascii="Arial" w:hAnsi="Arial" w:cs="Arial"/>
          <w:b/>
          <w:bCs/>
        </w:rPr>
      </w:pPr>
    </w:p>
    <w:p>
      <w:pPr>
        <w:spacing w:after="0" w:line="360" w:lineRule="auto"/>
        <w:jc w:val="center"/>
        <w:rPr>
          <w:rFonts w:ascii="Arial" w:hAnsi="Arial" w:cs="Arial"/>
          <w:b/>
          <w:bCs/>
        </w:rPr>
      </w:pPr>
    </w:p>
    <w:p>
      <w:pPr>
        <w:spacing w:after="0" w:line="360" w:lineRule="auto"/>
        <w:jc w:val="center"/>
        <w:rPr>
          <w:rFonts w:ascii="Arial" w:hAnsi="Arial" w:cs="Arial"/>
          <w:b/>
          <w:bCs/>
        </w:rPr>
      </w:pPr>
    </w:p>
    <w:p>
      <w:pPr>
        <w:spacing w:after="0" w:line="360" w:lineRule="auto"/>
        <w:jc w:val="center"/>
        <w:rPr>
          <w:rFonts w:ascii="Arial" w:hAnsi="Arial" w:cs="Arial"/>
        </w:rPr>
      </w:pPr>
      <w:r>
        <w:rPr>
          <w:rFonts w:ascii="Arial" w:hAnsi="Arial" w:cs="Arial"/>
          <w:b/>
          <w:bCs/>
        </w:rPr>
        <w:t>Brodnica 10.05.2023</w:t>
      </w:r>
    </w:p>
    <w:p>
      <w:pPr>
        <w:spacing w:after="0" w:line="360" w:lineRule="auto"/>
        <w:jc w:val="both"/>
        <w:rPr>
          <w:rFonts w:ascii="Arial" w:hAnsi="Arial" w:cs="Arial"/>
          <w:b/>
          <w:bCs/>
        </w:rPr>
      </w:pPr>
      <w:r>
        <w:rPr>
          <w:rFonts w:ascii="Arial" w:hAnsi="Arial" w:cs="Arial"/>
          <w:b/>
          <w:bCs/>
        </w:rPr>
        <w:lastRenderedPageBreak/>
        <w:t xml:space="preserve">I. NAZWA ORAZ ADRES ZAMAWIAJĄCEGO </w:t>
      </w:r>
    </w:p>
    <w:p>
      <w:pPr>
        <w:spacing w:after="0" w:line="360" w:lineRule="auto"/>
        <w:jc w:val="both"/>
        <w:rPr>
          <w:rFonts w:ascii="Arial" w:hAnsi="Arial" w:cs="Arial"/>
          <w:b/>
          <w:bCs/>
        </w:rPr>
      </w:pPr>
      <w:r>
        <w:rPr>
          <w:rFonts w:ascii="Arial" w:hAnsi="Arial" w:cs="Arial"/>
          <w:b/>
          <w:bCs/>
        </w:rPr>
        <w:t xml:space="preserve">Nazwa postępowania: </w:t>
      </w:r>
      <w:r>
        <w:rPr>
          <w:rFonts w:ascii="Arial" w:hAnsi="Arial" w:cs="Arial"/>
          <w:b/>
          <w:bCs/>
          <w:color w:val="000000"/>
        </w:rPr>
        <w:t>„Zakup łóżek i stołów zabiegowych w ramach projektu: Poprawa jakości i dostępu do usług medycznych w Zespole Opieki Zdrowotnej w Brodnicy."</w:t>
      </w:r>
      <w:r>
        <w:rPr>
          <w:rFonts w:ascii="Arial" w:hAnsi="Arial" w:cs="Arial"/>
          <w:b/>
          <w:bCs/>
        </w:rPr>
        <w:t xml:space="preserve">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b/>
          <w:bCs/>
          <w:color w:val="000000"/>
          <w:kern w:val="1"/>
          <w:lang w:eastAsia="hi-IN" w:bidi="hi-IN"/>
        </w:rPr>
        <w:t xml:space="preserve">Podstawa prawna – </w:t>
      </w:r>
      <w:r>
        <w:rPr>
          <w:rFonts w:ascii="Arial" w:eastAsia="Lucida Sans Unicode" w:hAnsi="Arial" w:cs="Arial"/>
          <w:color w:val="000000"/>
          <w:kern w:val="1"/>
          <w:lang w:eastAsia="hi-IN" w:bidi="hi-IN"/>
        </w:rPr>
        <w:t>Prawo zamówień publicznych</w:t>
      </w:r>
      <w:r>
        <w:rPr>
          <w:rFonts w:ascii="Arial" w:eastAsia="Lucida Sans Unicode" w:hAnsi="Arial" w:cs="Arial"/>
          <w:i/>
          <w:iCs/>
          <w:color w:val="000000"/>
          <w:kern w:val="1"/>
          <w:lang w:eastAsia="hi-IN" w:bidi="hi-IN"/>
        </w:rPr>
        <w:t xml:space="preserve"> (t. j. </w:t>
      </w:r>
      <w:r>
        <w:rPr>
          <w:rFonts w:ascii="Arial" w:eastAsia="Lucida Sans Unicode" w:hAnsi="Arial" w:cs="Arial"/>
          <w:bCs/>
          <w:i/>
          <w:color w:val="000000"/>
          <w:kern w:val="1"/>
          <w:lang w:eastAsia="hi-IN" w:bidi="hi-IN"/>
        </w:rPr>
        <w:t>Dz. U. z 2022r. poz. 1710 z zm.</w:t>
      </w:r>
      <w:r>
        <w:rPr>
          <w:rFonts w:ascii="Arial" w:eastAsia="Lucida Sans Unicode" w:hAnsi="Arial" w:cs="Arial"/>
          <w:color w:val="000000"/>
          <w:kern w:val="1"/>
          <w:lang w:eastAsia="hi-IN" w:bidi="hi-IN"/>
        </w:rPr>
        <w:t xml:space="preserve">) zwana dalej „ustawą </w:t>
      </w:r>
      <w:proofErr w:type="spellStart"/>
      <w:r>
        <w:rPr>
          <w:rFonts w:ascii="Arial" w:eastAsia="Lucida Sans Unicode" w:hAnsi="Arial" w:cs="Arial"/>
          <w:color w:val="000000"/>
          <w:kern w:val="1"/>
          <w:lang w:eastAsia="hi-IN" w:bidi="hi-IN"/>
        </w:rPr>
        <w:t>p.z.p</w:t>
      </w:r>
      <w:proofErr w:type="spellEnd"/>
      <w:r>
        <w:rPr>
          <w:rFonts w:ascii="Arial" w:eastAsia="Lucida Sans Unicode" w:hAnsi="Arial" w:cs="Arial"/>
          <w:color w:val="000000"/>
          <w:kern w:val="1"/>
          <w:lang w:eastAsia="hi-IN" w:bidi="hi-IN"/>
        </w:rPr>
        <w:t xml:space="preserve">.” lub </w:t>
      </w:r>
      <w:r>
        <w:rPr>
          <w:rFonts w:ascii="Arial" w:eastAsia="Lucida Sans Unicode" w:hAnsi="Arial" w:cs="Arial"/>
          <w:bCs/>
          <w:color w:val="000000"/>
          <w:kern w:val="1"/>
          <w:lang w:eastAsia="hi-IN" w:bidi="hi-IN"/>
        </w:rPr>
        <w:t xml:space="preserve">„ustawą </w:t>
      </w:r>
      <w:proofErr w:type="spellStart"/>
      <w:r>
        <w:rPr>
          <w:rFonts w:ascii="Arial" w:eastAsia="Lucida Sans Unicode" w:hAnsi="Arial" w:cs="Arial"/>
          <w:bCs/>
          <w:color w:val="000000"/>
          <w:kern w:val="1"/>
          <w:lang w:eastAsia="hi-IN" w:bidi="hi-IN"/>
        </w:rPr>
        <w:t>Pzp</w:t>
      </w:r>
      <w:proofErr w:type="spellEnd"/>
      <w:r>
        <w:rPr>
          <w:rFonts w:ascii="Arial" w:eastAsia="Lucida Sans Unicode" w:hAnsi="Arial" w:cs="Arial"/>
          <w:bCs/>
          <w:color w:val="000000"/>
          <w:kern w:val="1"/>
          <w:lang w:eastAsia="hi-IN" w:bidi="hi-IN"/>
        </w:rPr>
        <w:t xml:space="preserve">” </w:t>
      </w:r>
      <w:r>
        <w:rPr>
          <w:rFonts w:ascii="Arial" w:eastAsia="Lucida Sans Unicode" w:hAnsi="Arial" w:cs="Arial"/>
          <w:color w:val="000000"/>
          <w:kern w:val="1"/>
          <w:lang w:eastAsia="hi-IN" w:bidi="hi-IN"/>
        </w:rPr>
        <w:t xml:space="preserve"> oraz akty wykonawcze do ustawy.</w:t>
      </w:r>
    </w:p>
    <w:p>
      <w:pPr>
        <w:widowControl w:val="0"/>
        <w:suppressAutoHyphens/>
        <w:spacing w:after="0" w:line="360" w:lineRule="auto"/>
        <w:jc w:val="both"/>
        <w:rPr>
          <w:rFonts w:ascii="Arial" w:eastAsia="Lucida Sans Unicode" w:hAnsi="Arial" w:cs="Arial"/>
          <w:color w:val="000000"/>
          <w:kern w:val="1"/>
          <w:lang w:eastAsia="hi-IN" w:bidi="hi-IN"/>
        </w:rPr>
      </w:pPr>
    </w:p>
    <w:p>
      <w:pPr>
        <w:widowControl w:val="0"/>
        <w:suppressAutoHyphens/>
        <w:spacing w:after="0" w:line="360" w:lineRule="auto"/>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 xml:space="preserve">Zespół Opieki Zdrowotnej </w:t>
      </w:r>
    </w:p>
    <w:p>
      <w:pPr>
        <w:widowControl w:val="0"/>
        <w:suppressAutoHyphens/>
        <w:spacing w:after="0" w:line="360" w:lineRule="auto"/>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 xml:space="preserve">Samodzielny Publiczny Zakład Opieki Zdrowotnej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b/>
          <w:bCs/>
          <w:color w:val="000000"/>
          <w:kern w:val="1"/>
          <w:lang w:eastAsia="hi-IN" w:bidi="hi-IN"/>
        </w:rPr>
        <w:t xml:space="preserve">ul. Wiejska 9, 87-300 Brodnica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fax </w:t>
      </w:r>
      <w:r>
        <w:rPr>
          <w:rFonts w:ascii="Arial" w:eastAsia="Lucida Sans Unicode" w:hAnsi="Arial" w:cs="Arial"/>
          <w:color w:val="000000"/>
          <w:kern w:val="1"/>
          <w:lang w:val="it-IT" w:eastAsia="hi-IN" w:bidi="hi-IN"/>
        </w:rPr>
        <w:t>56 668 91 01</w:t>
      </w:r>
      <w:r>
        <w:rPr>
          <w:rFonts w:ascii="Arial" w:eastAsia="Lucida Sans Unicode" w:hAnsi="Arial" w:cs="Arial"/>
          <w:color w:val="000000"/>
          <w:kern w:val="1"/>
          <w:lang w:eastAsia="hi-IN" w:bidi="hi-IN"/>
        </w:rPr>
        <w:t xml:space="preserve">, adres strony internetowej </w:t>
      </w:r>
      <w:hyperlink r:id="rId8" w:history="1">
        <w:r>
          <w:rPr>
            <w:rFonts w:ascii="Arial" w:eastAsia="Lucida Sans Unicode" w:hAnsi="Arial" w:cs="Arial"/>
            <w:color w:val="000000"/>
            <w:kern w:val="1"/>
            <w:u w:val="single"/>
          </w:rPr>
          <w:t>www.zozbrodnica.pl</w:t>
        </w:r>
      </w:hyperlink>
      <w:r>
        <w:rPr>
          <w:rFonts w:ascii="Arial" w:eastAsia="Lucida Sans Unicode" w:hAnsi="Arial" w:cs="Arial"/>
          <w:color w:val="000000"/>
          <w:kern w:val="1"/>
          <w:u w:val="single"/>
          <w:lang w:eastAsia="hi-IN" w:bidi="hi-IN"/>
        </w:rPr>
        <w:t>,</w:t>
      </w:r>
      <w:r>
        <w:rPr>
          <w:rFonts w:ascii="Arial" w:eastAsia="Lucida Sans Unicode" w:hAnsi="Arial" w:cs="Arial"/>
          <w:color w:val="000000"/>
          <w:kern w:val="1"/>
          <w:lang w:eastAsia="hi-IN" w:bidi="hi-IN"/>
        </w:rPr>
        <w:t xml:space="preserve">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NIP: 8741484403, REGON: 000302327, KRS: 0000005223</w:t>
      </w:r>
    </w:p>
    <w:p>
      <w:pPr>
        <w:widowControl w:val="0"/>
        <w:suppressAutoHyphens/>
        <w:spacing w:after="0" w:line="360" w:lineRule="auto"/>
        <w:jc w:val="both"/>
        <w:rPr>
          <w:rFonts w:ascii="Arial" w:eastAsia="Lucida Sans Unicode" w:hAnsi="Arial" w:cs="Arial"/>
          <w:color w:val="000000"/>
          <w:kern w:val="1"/>
          <w:u w:val="single"/>
          <w:lang w:eastAsia="hi-IN" w:bidi="hi-IN"/>
        </w:rPr>
      </w:pPr>
      <w:r>
        <w:rPr>
          <w:rFonts w:ascii="Arial" w:eastAsia="Lucida Sans Unicode" w:hAnsi="Arial" w:cs="Arial"/>
          <w:color w:val="000000"/>
          <w:kern w:val="1"/>
          <w:lang w:eastAsia="hi-IN" w:bidi="hi-IN"/>
        </w:rPr>
        <w:t xml:space="preserve">adres strony internetowej, na której została umieszczone Ogłoszenie o Zamówieniu, Specyfikacja Warunków Zamówienia, zmiany i wyjaśnienia SWZ oraz inne dokumenty zamówienia bezpośrednio związane z postępowaniem: </w:t>
      </w:r>
      <w:hyperlink r:id="rId9" w:history="1">
        <w:r>
          <w:rPr>
            <w:rFonts w:ascii="Arial" w:eastAsia="Lucida Sans Unicode" w:hAnsi="Arial" w:cs="Arial"/>
            <w:color w:val="000000"/>
            <w:kern w:val="1"/>
            <w:u w:val="single"/>
          </w:rPr>
          <w:t>www.platformazakupowa.pl</w:t>
        </w:r>
      </w:hyperlink>
      <w:r>
        <w:rPr>
          <w:rFonts w:ascii="Arial" w:eastAsia="Lucida Sans Unicode" w:hAnsi="Arial" w:cs="Arial"/>
          <w:color w:val="000000"/>
          <w:kern w:val="1"/>
          <w:u w:val="single"/>
          <w:lang w:eastAsia="hi-IN" w:bidi="hi-IN"/>
        </w:rPr>
        <w:t xml:space="preserve">. </w:t>
      </w:r>
    </w:p>
    <w:p>
      <w:pPr>
        <w:widowControl w:val="0"/>
        <w:suppressAutoHyphens/>
        <w:spacing w:after="0" w:line="360" w:lineRule="auto"/>
        <w:jc w:val="both"/>
        <w:rPr>
          <w:rFonts w:ascii="Arial" w:eastAsia="Lucida Sans Unicode" w:hAnsi="Arial" w:cs="Arial"/>
          <w:color w:val="000000"/>
          <w:kern w:val="1"/>
          <w:u w:val="single"/>
          <w:lang w:eastAsia="hi-IN" w:bidi="hi-IN"/>
        </w:rPr>
      </w:pPr>
      <w:r>
        <w:rPr>
          <w:rFonts w:ascii="Arial" w:eastAsia="Lucida Sans Unicode" w:hAnsi="Arial" w:cs="Arial"/>
          <w:color w:val="000000"/>
          <w:kern w:val="1"/>
          <w:u w:val="single"/>
          <w:lang w:eastAsia="hi-IN" w:bidi="hi-IN"/>
        </w:rPr>
        <w:t xml:space="preserve">Link do profilu Zamawiającego: </w:t>
      </w:r>
      <w:hyperlink r:id="rId10" w:history="1">
        <w:r>
          <w:rPr>
            <w:rFonts w:ascii="Arial" w:eastAsia="Lucida Sans Unicode" w:hAnsi="Arial" w:cs="Arial"/>
            <w:color w:val="000000"/>
            <w:kern w:val="1"/>
            <w:u w:val="single"/>
          </w:rPr>
          <w:t>https://platformazakupowa.pl/pn/szpitalbrodnica</w:t>
        </w:r>
      </w:hyperlink>
    </w:p>
    <w:p>
      <w:pPr>
        <w:widowControl w:val="0"/>
        <w:suppressAutoHyphens/>
        <w:spacing w:after="0" w:line="360" w:lineRule="auto"/>
        <w:jc w:val="both"/>
        <w:rPr>
          <w:rFonts w:ascii="Arial" w:eastAsia="Lucida Sans Unicode" w:hAnsi="Arial" w:cs="Arial"/>
          <w:color w:val="000000"/>
          <w:kern w:val="1"/>
          <w:u w:val="single"/>
          <w:lang w:eastAsia="hi-IN" w:bidi="hi-IN"/>
        </w:rPr>
      </w:pPr>
    </w:p>
    <w:p>
      <w:pPr>
        <w:widowControl w:val="0"/>
        <w:suppressAutoHyphens/>
        <w:spacing w:after="0" w:line="360" w:lineRule="auto"/>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 xml:space="preserve">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 </w:t>
      </w:r>
    </w:p>
    <w:p>
      <w:pPr>
        <w:widowControl w:val="0"/>
        <w:suppressAutoHyphens/>
        <w:spacing w:after="0" w:line="360" w:lineRule="auto"/>
        <w:jc w:val="both"/>
        <w:rPr>
          <w:rFonts w:ascii="Arial" w:eastAsia="Lucida Sans Unicode" w:hAnsi="Arial" w:cs="Arial"/>
          <w:color w:val="000000"/>
          <w:kern w:val="1"/>
          <w:u w:val="single"/>
          <w:lang w:eastAsia="hi-IN" w:bidi="hi-IN"/>
        </w:rPr>
      </w:pPr>
      <w:r>
        <w:rPr>
          <w:rFonts w:ascii="Arial" w:eastAsia="Lucida Sans Unicode" w:hAnsi="Arial" w:cs="Arial"/>
          <w:color w:val="000000"/>
          <w:kern w:val="1"/>
          <w:lang w:eastAsia="hi-IN" w:bidi="hi-IN"/>
        </w:rPr>
        <w:t xml:space="preserve">Adres poczty elektronicznej: </w:t>
      </w:r>
      <w:hyperlink r:id="rId11" w:history="1">
        <w:r>
          <w:rPr>
            <w:rFonts w:ascii="Arial" w:eastAsia="Lucida Sans Unicode" w:hAnsi="Arial" w:cs="Arial"/>
            <w:color w:val="000000"/>
            <w:kern w:val="1"/>
            <w:u w:val="single"/>
          </w:rPr>
          <w:t>zamowienia.publiczne@zozbrodnica.pl</w:t>
        </w:r>
      </w:hyperlink>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W celu złożenia oferty</w:t>
      </w:r>
      <w:r>
        <w:rPr>
          <w:rFonts w:ascii="Arial" w:eastAsia="Lucida Sans Unicode" w:hAnsi="Arial" w:cs="Arial"/>
          <w:b/>
          <w:color w:val="000000"/>
          <w:kern w:val="1"/>
          <w:lang w:eastAsia="hi-IN" w:bidi="hi-IN"/>
        </w:rPr>
        <w:t xml:space="preserve"> nie jest konieczne utworzenia Konta Użytkownika</w:t>
      </w:r>
      <w:r>
        <w:rPr>
          <w:rFonts w:ascii="Arial" w:eastAsia="Lucida Sans Unicode" w:hAnsi="Arial" w:cs="Arial"/>
          <w:color w:val="000000"/>
          <w:kern w:val="1"/>
          <w:lang w:eastAsia="hi-IN" w:bidi="hi-IN"/>
        </w:rPr>
        <w:t xml:space="preserve"> na Platformie zakupowej. Zamawiający informuję, że w celu założenia  Konta Użytkownika (Wykonawcy) na platformazakupowa.pl, konieczne jest posiadanie przez Użytkownika aktywnego konta poczty elektronicznej (e-mail).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Wymagania techniczne i organizacyjne wysyłania oraz odbierania dokumentów elektronicznych, elektronicznych kopii dokumentów i oświadczeń oraz informacji przekazywanych przy ich użyciu zostały opisane w Regulaminie korzystania z Platformy (adres: https://platformazakupowa.pl/strona/1-regulamin). Korzystanie z Platformy jest możliwe dla Użytkowników Internetu z użyciem popularnych przeglądarek internetowych, systemów operacyjnych, typów urządzeń oraz typów połączeń internetowych. Minimalne wymagania techniczne umożliwiające korzystanie ze strony www.platformazakupowa.pl to: przeglądarka internetowa Microsoft Edge, Chrome i FireFox w najnowszej dostępnej wersji, z włączoną obsługą </w:t>
      </w:r>
      <w:r>
        <w:rPr>
          <w:rFonts w:ascii="Arial" w:eastAsia="Lucida Sans Unicode" w:hAnsi="Arial" w:cs="Arial"/>
          <w:color w:val="000000"/>
          <w:kern w:val="1"/>
          <w:lang w:eastAsia="hi-IN" w:bidi="hi-IN"/>
        </w:rPr>
        <w:lastRenderedPageBreak/>
        <w:t xml:space="preserve">języka </w:t>
      </w:r>
      <w:proofErr w:type="spellStart"/>
      <w:r>
        <w:rPr>
          <w:rFonts w:ascii="Arial" w:eastAsia="Lucida Sans Unicode" w:hAnsi="Arial" w:cs="Arial"/>
          <w:color w:val="000000"/>
          <w:kern w:val="1"/>
          <w:lang w:eastAsia="hi-IN" w:bidi="hi-IN"/>
        </w:rPr>
        <w:t>Javascript</w:t>
      </w:r>
      <w:proofErr w:type="spellEnd"/>
      <w:r>
        <w:rPr>
          <w:rFonts w:ascii="Arial" w:eastAsia="Lucida Sans Unicode" w:hAnsi="Arial" w:cs="Arial"/>
          <w:color w:val="000000"/>
          <w:kern w:val="1"/>
          <w:lang w:eastAsia="hi-IN" w:bidi="hi-IN"/>
        </w:rPr>
        <w:t>, akceptująca pliki typu „</w:t>
      </w:r>
      <w:proofErr w:type="spellStart"/>
      <w:r>
        <w:rPr>
          <w:rFonts w:ascii="Arial" w:eastAsia="Lucida Sans Unicode" w:hAnsi="Arial" w:cs="Arial"/>
          <w:color w:val="000000"/>
          <w:kern w:val="1"/>
          <w:lang w:eastAsia="hi-IN" w:bidi="hi-IN"/>
        </w:rPr>
        <w:t>cookies</w:t>
      </w:r>
      <w:proofErr w:type="spellEnd"/>
      <w:r>
        <w:rPr>
          <w:rFonts w:ascii="Arial" w:eastAsia="Lucida Sans Unicode" w:hAnsi="Arial" w:cs="Arial"/>
          <w:color w:val="000000"/>
          <w:kern w:val="1"/>
          <w:lang w:eastAsia="hi-IN" w:bidi="hi-IN"/>
        </w:rPr>
        <w:t xml:space="preserve">” oraz łącze internetowe o przepustowości, co najmniej 50 </w:t>
      </w:r>
      <w:proofErr w:type="spellStart"/>
      <w:r>
        <w:rPr>
          <w:rFonts w:ascii="Arial" w:eastAsia="Lucida Sans Unicode" w:hAnsi="Arial" w:cs="Arial"/>
          <w:color w:val="000000"/>
          <w:kern w:val="1"/>
          <w:lang w:eastAsia="hi-IN" w:bidi="hi-IN"/>
        </w:rPr>
        <w:t>mbit</w:t>
      </w:r>
      <w:proofErr w:type="spellEnd"/>
      <w:r>
        <w:rPr>
          <w:rFonts w:ascii="Arial" w:eastAsia="Lucida Sans Unicode" w:hAnsi="Arial" w:cs="Arial"/>
          <w:color w:val="000000"/>
          <w:kern w:val="1"/>
          <w:lang w:eastAsia="hi-IN" w:bidi="hi-IN"/>
        </w:rPr>
        <w:t xml:space="preserve">/s.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www.platformazakupowa.pl jest zoptymalizowana dla minimalnej rozdzielczości ekranu 1024x768 pikseli. Usługodawca (Operator Platformy)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Operator Platformy nigdy nie zwraca się do Użytkownika z prośbą o udostępnienie mu w jakiejkolwiek formie Hasła.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Na stronie Platformy znajduje się ponadto Instrukcja dla Wykonawców zawierająca:</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informacje ogólne,</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informacje dot. sposobu i formy złożenia oferty,</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sposobu komunikowania się Zamawiającego z Wykonawcami (nie dotyczy składania ofert),</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informacje dot. sposobu otwarcia ofert na www.platformazakupowa.pl</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W przypadku pytań dotyczących funkcjonowania i obsługi technicznej platformy, prosimy o skorzystanie z pomocy Centrum Wsparcia Klienta, które udziela wszelkich informacji związanych z procesem składania ofert, rejestracji czy innych aspektów technicznych platformy, dostępne codziennie od poniedziałku do piątku w godz. od 7.00 do 17.00 pod nr tel. 22 101-02-02.</w:t>
      </w:r>
    </w:p>
    <w:p>
      <w:pPr>
        <w:widowControl w:val="0"/>
        <w:suppressAutoHyphens/>
        <w:spacing w:after="0" w:line="360" w:lineRule="auto"/>
        <w:jc w:val="both"/>
        <w:rPr>
          <w:rFonts w:ascii="Arial" w:eastAsia="Lucida Sans Unicode" w:hAnsi="Arial" w:cs="Arial"/>
          <w:color w:val="000000"/>
          <w:kern w:val="1"/>
          <w:u w:val="single"/>
          <w:lang w:eastAsia="hi-IN" w:bidi="hi-IN"/>
        </w:rPr>
      </w:pPr>
      <w:r>
        <w:rPr>
          <w:rFonts w:ascii="Arial" w:eastAsia="Lucida Sans Unicode" w:hAnsi="Arial" w:cs="Arial"/>
          <w:color w:val="000000"/>
          <w:kern w:val="1"/>
          <w:u w:val="single"/>
          <w:lang w:eastAsia="hi-IN" w:bidi="hi-IN"/>
        </w:rPr>
        <w:t>Zamawiający nie dokonuje zakupu w imieniu innych instytucji zamawiających.</w:t>
      </w:r>
    </w:p>
    <w:p>
      <w:pPr>
        <w:widowControl w:val="0"/>
        <w:suppressAutoHyphens/>
        <w:spacing w:after="0" w:line="360" w:lineRule="auto"/>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 xml:space="preserve">Płatnik: </w:t>
      </w:r>
    </w:p>
    <w:p>
      <w:pPr>
        <w:widowControl w:val="0"/>
        <w:suppressAutoHyphens/>
        <w:spacing w:after="0" w:line="360" w:lineRule="auto"/>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Zespół Opieki Zdrowotnej</w:t>
      </w:r>
    </w:p>
    <w:p>
      <w:pPr>
        <w:widowControl w:val="0"/>
        <w:suppressAutoHyphens/>
        <w:spacing w:after="0" w:line="360" w:lineRule="auto"/>
        <w:jc w:val="both"/>
        <w:rPr>
          <w:rFonts w:ascii="Arial" w:eastAsia="Lucida Sans Unicode" w:hAnsi="Arial" w:cs="Arial"/>
          <w:color w:val="000000"/>
          <w:kern w:val="1"/>
          <w:u w:val="single"/>
          <w:lang w:eastAsia="hi-IN" w:bidi="hi-IN"/>
        </w:rPr>
      </w:pPr>
      <w:r>
        <w:rPr>
          <w:rFonts w:ascii="Arial" w:eastAsia="Lucida Sans Unicode" w:hAnsi="Arial" w:cs="Arial"/>
          <w:b/>
          <w:bCs/>
          <w:color w:val="000000"/>
          <w:kern w:val="1"/>
          <w:lang w:eastAsia="hi-IN" w:bidi="hi-IN"/>
        </w:rPr>
        <w:t>Samodzielny Publiczny Zakład Opieki Zdrowotnej</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u w:val="single"/>
          <w:lang w:eastAsia="hi-IN" w:bidi="hi-IN"/>
        </w:rPr>
        <w:t>Adres</w:t>
      </w:r>
      <w:r>
        <w:rPr>
          <w:rFonts w:ascii="Arial" w:eastAsia="Lucida Sans Unicode" w:hAnsi="Arial" w:cs="Arial"/>
          <w:color w:val="000000"/>
          <w:kern w:val="1"/>
          <w:lang w:eastAsia="hi-IN" w:bidi="hi-IN"/>
        </w:rPr>
        <w:t>: ul. Wiejska 9, 87-300 Brodnica</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KRS: 0000005223;  NIP: 8741484403;  REGON: 000302327;</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II. OCHRONA DANYCH OSOBOWYCH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pPr>
        <w:spacing w:after="0" w:line="360" w:lineRule="auto"/>
        <w:jc w:val="both"/>
        <w:rPr>
          <w:rFonts w:ascii="Arial" w:hAnsi="Arial" w:cs="Arial"/>
        </w:rPr>
      </w:pPr>
      <w:r>
        <w:rPr>
          <w:rFonts w:ascii="Arial" w:hAnsi="Arial" w:cs="Arial"/>
          <w:b/>
          <w:bCs/>
        </w:rPr>
        <w:t xml:space="preserve">1) administratorem Pani/Pana danych osobowych jest Zespół Opieki Zdrowotnej Samodzielny Publiczny Zakład Opieki Zdrowotnej, ul. Wiejska 9, 87-300 Brodnica;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administrator wyznaczył Inspektora Danych Osobowych, z którym można się kontaktować pod adresem e-mail: </w:t>
      </w:r>
      <w:r>
        <w:rPr>
          <w:rFonts w:ascii="Arial" w:eastAsia="Calibri" w:hAnsi="Arial" w:cs="Arial"/>
        </w:rPr>
        <w:t xml:space="preserve">: </w:t>
      </w:r>
      <w:hyperlink r:id="rId12" w:history="1">
        <w:r>
          <w:rPr>
            <w:rFonts w:ascii="Arial" w:eastAsia="Calibri" w:hAnsi="Arial" w:cs="Arial"/>
            <w:b/>
            <w:color w:val="000000"/>
            <w:u w:val="single"/>
          </w:rPr>
          <w:t>iod@zozbrodnica.pl</w:t>
        </w:r>
      </w:hyperlink>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Pani/Pana dane osobowe przetwarzane będą na podstawie art. 6 ust. 1 lit. c RODO w celu związanym z przedmiotowym postępowaniem o udzielenie zamówienia publicznego, prowadzonym w trybie przetargu nieograniczonego. </w:t>
      </w:r>
    </w:p>
    <w:p>
      <w:pPr>
        <w:spacing w:after="0" w:line="360" w:lineRule="auto"/>
        <w:jc w:val="both"/>
        <w:rPr>
          <w:rFonts w:ascii="Arial" w:hAnsi="Arial" w:cs="Arial"/>
        </w:rPr>
      </w:pPr>
      <w:r>
        <w:rPr>
          <w:rFonts w:ascii="Arial" w:hAnsi="Arial" w:cs="Arial"/>
          <w:b/>
          <w:bCs/>
        </w:rPr>
        <w:lastRenderedPageBreak/>
        <w:t xml:space="preserve">4) </w:t>
      </w:r>
      <w:r>
        <w:rPr>
          <w:rFonts w:ascii="Arial" w:hAnsi="Arial" w:cs="Arial"/>
        </w:rPr>
        <w:t xml:space="preserve">odbiorcami Pani/Pana danych osobowych będą osoby lub podmioty, którym udostępniona zostanie dokumentacja postępowania w oparciu o art. 74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Pani/Pana dane osobowe będą przechowywane, zgodnie z art. 78 ust. 1 </w:t>
      </w:r>
      <w:proofErr w:type="spellStart"/>
      <w:r>
        <w:rPr>
          <w:rFonts w:ascii="Arial" w:hAnsi="Arial" w:cs="Arial"/>
        </w:rPr>
        <w:t>p.z.p</w:t>
      </w:r>
      <w:proofErr w:type="spellEnd"/>
      <w:r>
        <w:rPr>
          <w:rFonts w:ascii="Arial" w:hAnsi="Arial" w:cs="Arial"/>
        </w:rPr>
        <w:t xml:space="preserve">. przez okres 4 lat od dnia zakończenia postępowania o udzielenie zamówienia, a jeżeli czas trwania umowy przekracza 4 lata, okres przechowywania obejmuje cały czas trwania umowy; </w:t>
      </w:r>
    </w:p>
    <w:p>
      <w:pPr>
        <w:spacing w:after="0" w:line="360" w:lineRule="auto"/>
        <w:jc w:val="both"/>
        <w:rPr>
          <w:rFonts w:ascii="Arial" w:hAnsi="Arial" w:cs="Arial"/>
        </w:rPr>
      </w:pPr>
      <w:r>
        <w:rPr>
          <w:rFonts w:ascii="Arial" w:hAnsi="Arial" w:cs="Arial"/>
          <w:b/>
          <w:bCs/>
        </w:rPr>
        <w:t xml:space="preserve">6) </w:t>
      </w:r>
      <w:r>
        <w:rPr>
          <w:rFonts w:ascii="Arial" w:hAnsi="Arial" w:cs="Arial"/>
        </w:rPr>
        <w:t xml:space="preserve">obowiązek podania przez Panią/Pana danych osobowych bezpośrednio Pani/Pana dotyczących jest wymogiem ustawowym określonym w przepisach </w:t>
      </w:r>
      <w:proofErr w:type="spellStart"/>
      <w:r>
        <w:rPr>
          <w:rFonts w:ascii="Arial" w:hAnsi="Arial" w:cs="Arial"/>
        </w:rPr>
        <w:t>p.z.p</w:t>
      </w:r>
      <w:proofErr w:type="spellEnd"/>
      <w:r>
        <w:rPr>
          <w:rFonts w:ascii="Arial" w:hAnsi="Arial" w:cs="Arial"/>
        </w:rPr>
        <w:t xml:space="preserve">., związanym z udziałem w postępowaniu o udzielenie zamówienia publicznego. </w:t>
      </w:r>
    </w:p>
    <w:p>
      <w:pPr>
        <w:spacing w:after="0" w:line="360" w:lineRule="auto"/>
        <w:jc w:val="both"/>
        <w:rPr>
          <w:rFonts w:ascii="Arial" w:hAnsi="Arial" w:cs="Arial"/>
        </w:rPr>
      </w:pPr>
      <w:r>
        <w:rPr>
          <w:rFonts w:ascii="Arial" w:hAnsi="Arial" w:cs="Arial"/>
          <w:b/>
          <w:bCs/>
        </w:rPr>
        <w:t xml:space="preserve">7) </w:t>
      </w:r>
      <w:r>
        <w:rPr>
          <w:rFonts w:ascii="Arial" w:hAnsi="Arial" w:cs="Arial"/>
        </w:rPr>
        <w:t xml:space="preserve">w odniesieniu do Pani/Pana danych osobowych decyzje nie będą podejmowane w sposób zautomatyzowany, stosownie do art. 22 RODO. </w:t>
      </w:r>
    </w:p>
    <w:p>
      <w:pPr>
        <w:spacing w:after="0" w:line="360" w:lineRule="auto"/>
        <w:jc w:val="both"/>
        <w:rPr>
          <w:rFonts w:ascii="Arial" w:hAnsi="Arial" w:cs="Arial"/>
        </w:rPr>
      </w:pPr>
      <w:r>
        <w:rPr>
          <w:rFonts w:ascii="Arial" w:hAnsi="Arial" w:cs="Arial"/>
          <w:b/>
          <w:bCs/>
        </w:rPr>
        <w:t xml:space="preserve">8) posiada Pani/Pan: </w:t>
      </w:r>
    </w:p>
    <w:p>
      <w:pPr>
        <w:spacing w:after="0" w:line="360" w:lineRule="auto"/>
        <w:jc w:val="both"/>
        <w:rPr>
          <w:rFonts w:ascii="Arial" w:hAnsi="Arial" w:cs="Arial"/>
        </w:rPr>
      </w:pPr>
      <w:r>
        <w:rPr>
          <w:rFonts w:ascii="Arial" w:hAnsi="Arial" w:cs="Arial"/>
          <w:b/>
          <w:bCs/>
        </w:rPr>
        <w:t xml:space="preserve">a) </w:t>
      </w:r>
      <w:r>
        <w:rPr>
          <w:rFonts w:ascii="Arial" w:hAnsi="Arial"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pPr>
        <w:spacing w:after="0" w:line="360" w:lineRule="auto"/>
        <w:jc w:val="both"/>
        <w:rPr>
          <w:rFonts w:ascii="Arial" w:hAnsi="Arial" w:cs="Arial"/>
        </w:rPr>
      </w:pPr>
      <w:r>
        <w:rPr>
          <w:rFonts w:ascii="Arial" w:hAnsi="Arial" w:cs="Arial"/>
          <w:b/>
          <w:bCs/>
        </w:rPr>
        <w:t xml:space="preserve">b) </w:t>
      </w:r>
      <w:r>
        <w:rPr>
          <w:rFonts w:ascii="Arial" w:hAnsi="Arial" w:cs="Arial"/>
        </w:rPr>
        <w:t>na podstawie art. 16 RODO prawo do sprostowania Pani/Pana danych osobowych (</w:t>
      </w:r>
      <w:r>
        <w:rPr>
          <w:rFonts w:ascii="Arial" w:hAnsi="Arial" w:cs="Arial"/>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c) </w:t>
      </w:r>
      <w:r>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d) </w:t>
      </w:r>
      <w:r>
        <w:rPr>
          <w:rFonts w:ascii="Arial" w:hAnsi="Arial" w:cs="Arial"/>
        </w:rPr>
        <w:t xml:space="preserve">prawo do wniesienia skargi do Prezesa Urzędu Ochrony Danych Osobowych, gdy uzna Pani/Pan, że przetwarzanie danych osobowych Pani/Pana dotyczących narusza przepisy RODO; </w:t>
      </w:r>
    </w:p>
    <w:p>
      <w:pPr>
        <w:spacing w:after="0" w:line="360" w:lineRule="auto"/>
        <w:jc w:val="both"/>
        <w:rPr>
          <w:rFonts w:ascii="Arial" w:hAnsi="Arial" w:cs="Arial"/>
        </w:rPr>
      </w:pPr>
      <w:r>
        <w:rPr>
          <w:rFonts w:ascii="Arial" w:hAnsi="Arial" w:cs="Arial"/>
          <w:b/>
          <w:bCs/>
        </w:rPr>
        <w:t xml:space="preserve">9) </w:t>
      </w:r>
      <w:r>
        <w:rPr>
          <w:rFonts w:ascii="Arial" w:hAnsi="Arial" w:cs="Arial"/>
        </w:rPr>
        <w:t xml:space="preserve">nie przysługuje Pani/Panu: </w:t>
      </w:r>
    </w:p>
    <w:p>
      <w:pPr>
        <w:spacing w:after="0" w:line="360" w:lineRule="auto"/>
        <w:jc w:val="both"/>
        <w:rPr>
          <w:rFonts w:ascii="Arial" w:hAnsi="Arial" w:cs="Arial"/>
        </w:rPr>
      </w:pPr>
      <w:r>
        <w:rPr>
          <w:rFonts w:ascii="Arial" w:hAnsi="Arial" w:cs="Arial"/>
          <w:b/>
          <w:bCs/>
        </w:rPr>
        <w:t xml:space="preserve">a) </w:t>
      </w:r>
      <w:r>
        <w:rPr>
          <w:rFonts w:ascii="Arial" w:hAnsi="Arial" w:cs="Arial"/>
        </w:rPr>
        <w:t xml:space="preserve">w związku z art. 17 ust. 3 lit. b, d lub e RODO prawo do usunięcia danych osobowych; </w:t>
      </w:r>
    </w:p>
    <w:p>
      <w:pPr>
        <w:spacing w:after="0" w:line="360" w:lineRule="auto"/>
        <w:jc w:val="both"/>
        <w:rPr>
          <w:rFonts w:ascii="Arial" w:hAnsi="Arial" w:cs="Arial"/>
        </w:rPr>
      </w:pPr>
      <w:r>
        <w:rPr>
          <w:rFonts w:ascii="Arial" w:hAnsi="Arial" w:cs="Arial"/>
          <w:b/>
          <w:bCs/>
        </w:rPr>
        <w:t xml:space="preserve">b) prawo do przenoszenia danych osobowych, o którym mowa w art. 20 RODO; </w:t>
      </w:r>
    </w:p>
    <w:p>
      <w:pPr>
        <w:spacing w:after="0" w:line="360" w:lineRule="auto"/>
        <w:jc w:val="both"/>
        <w:rPr>
          <w:rFonts w:ascii="Arial" w:hAnsi="Arial" w:cs="Arial"/>
        </w:rPr>
      </w:pPr>
      <w:r>
        <w:rPr>
          <w:rFonts w:ascii="Arial" w:hAnsi="Arial" w:cs="Arial"/>
          <w:b/>
          <w:bCs/>
        </w:rPr>
        <w:t xml:space="preserve">c) </w:t>
      </w:r>
      <w:r>
        <w:rPr>
          <w:rFonts w:ascii="Arial" w:hAnsi="Arial" w:cs="Arial"/>
        </w:rPr>
        <w:t xml:space="preserve">na podstawie art. 21 RODO prawo sprzeciwu, wobec przetwarzania danych osobowych, gdyż podstawą prawną przetwarzania Pani/Pana danych osobowych jest art. 6 ust. 1 lit. c RODO; </w:t>
      </w:r>
    </w:p>
    <w:p>
      <w:pPr>
        <w:spacing w:after="0" w:line="360" w:lineRule="auto"/>
        <w:jc w:val="both"/>
        <w:rPr>
          <w:rFonts w:ascii="Arial" w:hAnsi="Arial" w:cs="Arial"/>
        </w:rPr>
      </w:pPr>
      <w:r>
        <w:rPr>
          <w:rFonts w:ascii="Arial" w:hAnsi="Arial" w:cs="Arial"/>
          <w:b/>
          <w:bCs/>
        </w:rPr>
        <w:t xml:space="preserve">10) </w:t>
      </w:r>
      <w:r>
        <w:rPr>
          <w:rFonts w:ascii="Arial" w:hAnsi="Arial" w:cs="Arial"/>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III. TRYB UDZIELENIA ZAMÓWIENIA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b/>
          <w:bCs/>
          <w:color w:val="000000"/>
          <w:kern w:val="1"/>
          <w:lang w:eastAsia="hi-IN" w:bidi="hi-IN"/>
        </w:rPr>
        <w:lastRenderedPageBreak/>
        <w:t xml:space="preserve">Tryb udzielania zamówienia: </w:t>
      </w:r>
      <w:r>
        <w:rPr>
          <w:rFonts w:ascii="Arial" w:eastAsia="Lucida Sans Unicode" w:hAnsi="Arial" w:cs="Arial"/>
          <w:bCs/>
          <w:color w:val="000000"/>
          <w:kern w:val="1"/>
          <w:lang w:eastAsia="hi-IN" w:bidi="hi-IN"/>
        </w:rPr>
        <w:t>zamówienie klasyczne w trybie</w:t>
      </w:r>
      <w:r>
        <w:rPr>
          <w:rFonts w:ascii="Arial" w:eastAsia="Lucida Sans Unicode" w:hAnsi="Arial" w:cs="Arial"/>
          <w:b/>
          <w:bCs/>
          <w:color w:val="000000"/>
          <w:kern w:val="1"/>
          <w:lang w:eastAsia="hi-IN" w:bidi="hi-IN"/>
        </w:rPr>
        <w:t xml:space="preserve"> </w:t>
      </w:r>
      <w:r>
        <w:rPr>
          <w:rFonts w:ascii="Arial" w:eastAsia="Lucida Sans Unicode" w:hAnsi="Arial" w:cs="Arial"/>
          <w:color w:val="000000"/>
          <w:kern w:val="1"/>
          <w:lang w:eastAsia="hi-IN" w:bidi="hi-IN"/>
        </w:rPr>
        <w:t>przetargu nieograniczonego (postępowanie o udzielenie zamówienia klasycznego o wartości równej lub przekraczającej progi unijne, tryb przetargu nieograniczonego).</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1. Niniejsze postępowanie prowadzone jest w trybie przetargu nieograniczonego na podstawie art. 132 do art. 139 ustawy z dnia 11 września 2019 r. - Prawo Zamówień Publicznych (t. j. Dz.U. z 2022r. poz. 1710 z zm.)- zwanej dalej „ustawą </w:t>
      </w:r>
      <w:proofErr w:type="spellStart"/>
      <w:r>
        <w:rPr>
          <w:rFonts w:ascii="Arial" w:eastAsia="Lucida Sans Unicode" w:hAnsi="Arial" w:cs="Arial"/>
          <w:color w:val="000000"/>
          <w:kern w:val="1"/>
          <w:lang w:eastAsia="hi-IN" w:bidi="hi-IN"/>
        </w:rPr>
        <w:t>Pzp</w:t>
      </w:r>
      <w:proofErr w:type="spellEnd"/>
      <w:r>
        <w:rPr>
          <w:rFonts w:ascii="Arial" w:eastAsia="Lucida Sans Unicode" w:hAnsi="Arial" w:cs="Arial"/>
          <w:color w:val="000000"/>
          <w:kern w:val="1"/>
          <w:lang w:eastAsia="hi-IN" w:bidi="hi-IN"/>
        </w:rPr>
        <w:t xml:space="preserve">”.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2. Niniejsze  postępowanie  uwzględnia  zasady  bezpośredniej  skuteczności dyrektywy  2014/24/UE  (Dz. Urz. UE L 94 z 28.3.2014 r., str. 65 z </w:t>
      </w:r>
      <w:proofErr w:type="spellStart"/>
      <w:r>
        <w:rPr>
          <w:rFonts w:ascii="Arial" w:eastAsia="Lucida Sans Unicode" w:hAnsi="Arial" w:cs="Arial"/>
          <w:color w:val="000000"/>
          <w:kern w:val="1"/>
          <w:lang w:eastAsia="hi-IN" w:bidi="hi-IN"/>
        </w:rPr>
        <w:t>późn</w:t>
      </w:r>
      <w:proofErr w:type="spellEnd"/>
      <w:r>
        <w:rPr>
          <w:rFonts w:ascii="Arial" w:eastAsia="Lucida Sans Unicode" w:hAnsi="Arial" w:cs="Arial"/>
          <w:color w:val="000000"/>
          <w:kern w:val="1"/>
          <w:lang w:eastAsia="hi-IN" w:bidi="hi-IN"/>
        </w:rPr>
        <w:t xml:space="preserve">. zm.), z  dnia  26  lutego  2014  r.  w  oparciu  o  informacje  z  Jednolitego  Europejskiego  Dokumentu Zamówienia oraz uwzględnia zasady rozporządzenia wykonawczego Komisji Europejskiej 2016/7 z 5 stycznia 2016r. ustanawiającego standardowy formularz jednolitego europejskiego dokumentu zamówienia (Dz. Urz. UE L 3/16).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3. W  zakresie  nieuregulowanym  niniejszą  Specyfikacją  Warunków  Zamówienia,  zwaną  dalej „SWZ”, zastosowanie mają przepisy ustawy </w:t>
      </w:r>
      <w:proofErr w:type="spellStart"/>
      <w:r>
        <w:rPr>
          <w:rFonts w:ascii="Arial" w:eastAsia="Lucida Sans Unicode" w:hAnsi="Arial" w:cs="Arial"/>
          <w:color w:val="000000"/>
          <w:kern w:val="1"/>
          <w:lang w:eastAsia="hi-IN" w:bidi="hi-IN"/>
        </w:rPr>
        <w:t>Pzp</w:t>
      </w:r>
      <w:proofErr w:type="spellEnd"/>
      <w:r>
        <w:rPr>
          <w:rFonts w:ascii="Arial" w:eastAsia="Lucida Sans Unicode" w:hAnsi="Arial" w:cs="Arial"/>
          <w:color w:val="000000"/>
          <w:kern w:val="1"/>
          <w:lang w:eastAsia="hi-IN" w:bidi="hi-IN"/>
        </w:rPr>
        <w:t xml:space="preserve"> oraz aktów wykonawczych do przedmiotowej ustawy oraz ustawy z dnia 23 kwietnia 1964r. Kodeks cywilny (t. j. Dz.U. z 2020 r. poz. 1740)</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4. Ogłoszenie o zamówieniu zostało opublikowane w Dzienniku Urzędowym Unii Europejskiej i umieszczone na profilu Zamawiającego na dedykowanej elektronicznej Platformie Zakupowej pod adresem: https://platformazakupowa.pl/pn/szpitalbrodnica.</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5. Niniejsza Specyfikacja Warunków Zamówienia zwana jest w dalszej treści SWZ lub specyfikacją.</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6. Szacunkowa wartość zamówienia przekracza kwotę określoną w obwieszczeniu Prezesa Urzędu Zamówień Publicznych wydanym na podstawie art. 3 ust. 2 </w:t>
      </w:r>
      <w:proofErr w:type="spellStart"/>
      <w:r>
        <w:rPr>
          <w:rFonts w:ascii="Arial" w:eastAsia="Lucida Sans Unicode" w:hAnsi="Arial" w:cs="Arial"/>
          <w:color w:val="000000"/>
          <w:kern w:val="1"/>
          <w:lang w:eastAsia="hi-IN" w:bidi="hi-IN"/>
        </w:rPr>
        <w:t>Pzp</w:t>
      </w:r>
      <w:proofErr w:type="spellEnd"/>
      <w:r>
        <w:rPr>
          <w:rFonts w:ascii="Arial" w:eastAsia="Lucida Sans Unicode" w:hAnsi="Arial" w:cs="Arial"/>
          <w:color w:val="000000"/>
          <w:kern w:val="1"/>
          <w:lang w:eastAsia="hi-IN" w:bidi="hi-IN"/>
        </w:rPr>
        <w:t>.</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7. 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pPr>
        <w:spacing w:after="0" w:line="360" w:lineRule="auto"/>
        <w:jc w:val="both"/>
        <w:rPr>
          <w:rFonts w:ascii="Arial" w:hAnsi="Arial" w:cs="Arial"/>
          <w:b/>
        </w:rPr>
      </w:pPr>
      <w:r>
        <w:rPr>
          <w:rFonts w:ascii="Arial" w:hAnsi="Arial" w:cs="Arial"/>
          <w:b/>
          <w:bCs/>
        </w:rPr>
        <w:t xml:space="preserve">4. </w:t>
      </w:r>
      <w:r>
        <w:rPr>
          <w:rFonts w:ascii="Arial" w:hAnsi="Arial" w:cs="Arial"/>
          <w:b/>
        </w:rPr>
        <w:t xml:space="preserve">Zgodnie z art. 257 </w:t>
      </w:r>
      <w:proofErr w:type="spellStart"/>
      <w:r>
        <w:rPr>
          <w:rFonts w:ascii="Arial" w:hAnsi="Arial" w:cs="Arial"/>
          <w:b/>
        </w:rPr>
        <w:t>Pzp</w:t>
      </w:r>
      <w:proofErr w:type="spellEnd"/>
      <w:r>
        <w:rPr>
          <w:rFonts w:ascii="Arial" w:hAnsi="Arial" w:cs="Arial"/>
          <w:b/>
        </w:rPr>
        <w:t xml:space="preserve">, Zamawiający przewiduje możliwość unieważnienia przedmiotowego postępowania, jeżeli środki publiczne, które Zamawiający zamierzał przeznaczyć na sfinansowanie całości lub części zamówienia, nie zostaną mu przyznane.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Zamawiający nie przewiduje aukcji elektronicznej. </w:t>
      </w:r>
    </w:p>
    <w:p>
      <w:pPr>
        <w:spacing w:after="0" w:line="360" w:lineRule="auto"/>
        <w:jc w:val="both"/>
        <w:rPr>
          <w:rFonts w:ascii="Arial" w:hAnsi="Arial" w:cs="Arial"/>
        </w:rPr>
      </w:pPr>
      <w:r>
        <w:rPr>
          <w:rFonts w:ascii="Arial" w:hAnsi="Arial" w:cs="Arial"/>
          <w:b/>
          <w:bCs/>
        </w:rPr>
        <w:t xml:space="preserve">6. Zamawiający nie prowadzi postępowania w celu zawarcia umowy ramowej. </w:t>
      </w:r>
    </w:p>
    <w:p>
      <w:pPr>
        <w:spacing w:after="0" w:line="360" w:lineRule="auto"/>
        <w:jc w:val="both"/>
        <w:rPr>
          <w:rFonts w:ascii="Arial" w:hAnsi="Arial" w:cs="Arial"/>
        </w:rPr>
      </w:pPr>
      <w:r>
        <w:rPr>
          <w:rFonts w:ascii="Arial" w:hAnsi="Arial" w:cs="Arial"/>
          <w:b/>
          <w:bCs/>
        </w:rPr>
        <w:t xml:space="preserve">7. </w:t>
      </w:r>
      <w:r>
        <w:rPr>
          <w:rFonts w:ascii="Arial" w:hAnsi="Arial" w:cs="Arial"/>
        </w:rPr>
        <w:t xml:space="preserve">Do postępowania stosuje się przepisy dotyczące nabywania dostaw. </w:t>
      </w:r>
    </w:p>
    <w:p>
      <w:pPr>
        <w:spacing w:after="0" w:line="360" w:lineRule="auto"/>
        <w:jc w:val="both"/>
        <w:rPr>
          <w:rFonts w:ascii="Arial" w:hAnsi="Arial" w:cs="Arial"/>
          <w:b/>
          <w:bCs/>
        </w:rPr>
      </w:pPr>
    </w:p>
    <w:p>
      <w:pPr>
        <w:spacing w:after="0" w:line="360" w:lineRule="auto"/>
        <w:jc w:val="both"/>
        <w:rPr>
          <w:rFonts w:ascii="Arial" w:hAnsi="Arial" w:cs="Arial"/>
          <w:b/>
          <w:bCs/>
        </w:rPr>
      </w:pPr>
      <w:r>
        <w:rPr>
          <w:rFonts w:ascii="Arial" w:hAnsi="Arial" w:cs="Arial"/>
          <w:b/>
          <w:bCs/>
        </w:rPr>
        <w:t xml:space="preserve">IV. OPIS PRZEDMIOTU ZAMÓWIENIA </w:t>
      </w:r>
    </w:p>
    <w:p>
      <w:pPr>
        <w:pStyle w:val="Akapitzlist"/>
        <w:tabs>
          <w:tab w:val="left" w:pos="284"/>
        </w:tabs>
        <w:spacing w:after="0" w:line="360" w:lineRule="auto"/>
        <w:ind w:left="0"/>
        <w:jc w:val="both"/>
        <w:rPr>
          <w:rFonts w:ascii="Arial" w:eastAsia="Times New Roman" w:hAnsi="Arial" w:cs="Arial"/>
          <w:lang w:eastAsia="pl-PL"/>
        </w:rPr>
      </w:pPr>
      <w:r>
        <w:rPr>
          <w:rFonts w:ascii="Arial" w:hAnsi="Arial" w:cs="Arial"/>
        </w:rPr>
        <w:t>1.</w:t>
      </w:r>
      <w:r>
        <w:rPr>
          <w:rFonts w:ascii="Arial" w:hAnsi="Arial" w:cs="Arial"/>
        </w:rPr>
        <w:tab/>
      </w:r>
      <w:bookmarkStart w:id="0" w:name="_Hlk65744491"/>
      <w:r>
        <w:rPr>
          <w:rFonts w:ascii="Arial" w:eastAsia="Times New Roman" w:hAnsi="Arial" w:cs="Arial"/>
          <w:lang w:eastAsia="pl-PL"/>
        </w:rPr>
        <w:t>Przedmiotem zamówienia jest zakup łóżek szpitalnych, łóżek ortopedycznych z ramami, szafek szpitalnych, wózków transportowych, łóżek dziecięcych oraz łóżek intensywnej terapii, stołów porodowych i foteli ginekologicznych w ramach projektu: Poprawa jakości i dostępu do usług medycznych w Zespole Opieki Zdrowotnej w Brodnicy, zgodnie z warunkami umowy oraz szczegółowym opisem określonym w Załączniku nr 1A do SWZ, w zakresie:</w:t>
      </w:r>
      <w:bookmarkEnd w:id="0"/>
    </w:p>
    <w:p>
      <w:pPr>
        <w:numPr>
          <w:ilvl w:val="0"/>
          <w:numId w:val="13"/>
        </w:numPr>
        <w:contextualSpacing/>
        <w:rPr>
          <w:rFonts w:ascii="Arial" w:hAnsi="Arial" w:cs="Arial"/>
          <w:b/>
          <w:lang w:eastAsia="pl-PL"/>
        </w:rPr>
      </w:pPr>
      <w:r>
        <w:rPr>
          <w:rFonts w:ascii="Arial" w:hAnsi="Arial" w:cs="Arial"/>
          <w:b/>
          <w:lang w:eastAsia="pl-PL"/>
        </w:rPr>
        <w:lastRenderedPageBreak/>
        <w:t>Łóżka szpitalne dwusegmentowe z szafkami – 15 szt. i czterosegmentowe z ramami ortopedycznymi i szafkami – 17 szt.</w:t>
      </w:r>
    </w:p>
    <w:p>
      <w:pPr>
        <w:numPr>
          <w:ilvl w:val="0"/>
          <w:numId w:val="13"/>
        </w:numPr>
        <w:spacing w:after="0" w:line="360" w:lineRule="auto"/>
        <w:contextualSpacing/>
        <w:jc w:val="both"/>
        <w:rPr>
          <w:rFonts w:ascii="Arial" w:hAnsi="Arial" w:cs="Arial"/>
          <w:b/>
          <w:lang w:eastAsia="pl-PL"/>
        </w:rPr>
      </w:pPr>
      <w:r>
        <w:rPr>
          <w:rFonts w:ascii="Arial" w:hAnsi="Arial" w:cs="Arial"/>
          <w:b/>
          <w:lang w:eastAsia="pl-PL"/>
        </w:rPr>
        <w:t>Łózka dziecięce – 10 szt.</w:t>
      </w:r>
    </w:p>
    <w:p>
      <w:pPr>
        <w:numPr>
          <w:ilvl w:val="0"/>
          <w:numId w:val="13"/>
        </w:numPr>
        <w:spacing w:after="0" w:line="360" w:lineRule="auto"/>
        <w:contextualSpacing/>
        <w:jc w:val="both"/>
        <w:rPr>
          <w:rFonts w:ascii="Arial" w:hAnsi="Arial" w:cs="Arial"/>
          <w:b/>
          <w:lang w:eastAsia="pl-PL"/>
        </w:rPr>
      </w:pPr>
      <w:r>
        <w:rPr>
          <w:rFonts w:ascii="Arial" w:hAnsi="Arial" w:cs="Arial"/>
          <w:b/>
          <w:lang w:eastAsia="pl-PL"/>
        </w:rPr>
        <w:t>Łózka intensywnej terapii – 9</w:t>
      </w:r>
      <w:bookmarkStart w:id="1" w:name="_GoBack"/>
      <w:bookmarkEnd w:id="1"/>
      <w:r>
        <w:rPr>
          <w:rFonts w:ascii="Arial" w:hAnsi="Arial" w:cs="Arial"/>
          <w:b/>
          <w:lang w:eastAsia="pl-PL"/>
        </w:rPr>
        <w:t xml:space="preserve"> szt.</w:t>
      </w:r>
    </w:p>
    <w:p>
      <w:pPr>
        <w:numPr>
          <w:ilvl w:val="0"/>
          <w:numId w:val="13"/>
        </w:numPr>
        <w:spacing w:after="0" w:line="360" w:lineRule="auto"/>
        <w:contextualSpacing/>
        <w:jc w:val="both"/>
        <w:rPr>
          <w:rFonts w:ascii="Arial" w:hAnsi="Arial" w:cs="Arial"/>
          <w:b/>
          <w:lang w:eastAsia="pl-PL"/>
        </w:rPr>
      </w:pPr>
      <w:r>
        <w:rPr>
          <w:rFonts w:ascii="Arial" w:hAnsi="Arial" w:cs="Arial"/>
          <w:b/>
          <w:lang w:eastAsia="pl-PL"/>
        </w:rPr>
        <w:t>Wózki transportowe – 4 szt.</w:t>
      </w:r>
    </w:p>
    <w:p>
      <w:pPr>
        <w:numPr>
          <w:ilvl w:val="0"/>
          <w:numId w:val="13"/>
        </w:numPr>
        <w:spacing w:after="0" w:line="360" w:lineRule="auto"/>
        <w:contextualSpacing/>
        <w:jc w:val="both"/>
        <w:rPr>
          <w:rFonts w:ascii="Arial" w:hAnsi="Arial" w:cs="Arial"/>
          <w:b/>
          <w:lang w:eastAsia="pl-PL"/>
        </w:rPr>
      </w:pPr>
      <w:r>
        <w:rPr>
          <w:rFonts w:ascii="Arial" w:hAnsi="Arial" w:cs="Arial"/>
          <w:b/>
          <w:lang w:eastAsia="pl-PL"/>
        </w:rPr>
        <w:t>Łóżka porodowe – 2 szt. i fotele ginekologiczne – 2 szt.</w:t>
      </w:r>
    </w:p>
    <w:p>
      <w:pPr>
        <w:numPr>
          <w:ilvl w:val="0"/>
          <w:numId w:val="13"/>
        </w:numPr>
        <w:spacing w:after="0" w:line="360" w:lineRule="auto"/>
        <w:contextualSpacing/>
        <w:jc w:val="both"/>
        <w:rPr>
          <w:rFonts w:ascii="Arial" w:hAnsi="Arial" w:cs="Arial"/>
          <w:b/>
          <w:lang w:eastAsia="pl-PL"/>
        </w:rPr>
      </w:pPr>
      <w:r>
        <w:rPr>
          <w:rFonts w:ascii="Arial" w:hAnsi="Arial" w:cs="Arial"/>
          <w:b/>
          <w:lang w:eastAsia="pl-PL"/>
        </w:rPr>
        <w:t>Stół do badań onkologicznych oraz biopsji – 1 szt.</w:t>
      </w:r>
    </w:p>
    <w:p>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Szczegółowy opis przedmiotu zamówienia stanowi: </w:t>
      </w:r>
      <w:r>
        <w:rPr>
          <w:rFonts w:ascii="Arial" w:eastAsia="Times New Roman" w:hAnsi="Arial" w:cs="Arial"/>
          <w:b/>
          <w:lang w:eastAsia="pl-PL"/>
        </w:rPr>
        <w:t xml:space="preserve">Załącznik nr 1A </w:t>
      </w:r>
      <w:r>
        <w:rPr>
          <w:rFonts w:ascii="Arial" w:eastAsia="Times New Roman" w:hAnsi="Arial" w:cs="Arial"/>
          <w:lang w:eastAsia="pl-PL"/>
        </w:rPr>
        <w:t>do SWZ „Formularz parametrów technicznych”</w:t>
      </w:r>
    </w:p>
    <w:p>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Wykonawca zobowiązany jest zrealizować zamówienie na zasadach i warunkach opisanych w projekcie umowy stanowiącym </w:t>
      </w:r>
      <w:r>
        <w:rPr>
          <w:rFonts w:ascii="Arial" w:eastAsia="Times New Roman" w:hAnsi="Arial" w:cs="Arial"/>
          <w:b/>
          <w:lang w:eastAsia="pl-PL"/>
        </w:rPr>
        <w:t xml:space="preserve">Załącznik nr 7 </w:t>
      </w:r>
      <w:r>
        <w:rPr>
          <w:rFonts w:ascii="Arial" w:eastAsia="Times New Roman" w:hAnsi="Arial" w:cs="Arial"/>
          <w:lang w:eastAsia="pl-PL"/>
        </w:rPr>
        <w:t>do SWZ.</w:t>
      </w:r>
    </w:p>
    <w:p>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Zaoferowany sprzęt musi spełniać wszelkie normy jakościowe, posiadać wymagane świadectwa, certyfikaty i oznakowanie przewidziane zapisami ustawy o Wyrobach Medycznych świadczące o wymaganym dopuszczeniu do stosowania i obrotu na terenie Polski tj. certyfikat CE i deklarację zgodności z Rozporządzeniem Ministra Zdrowia w sprawie wymagań zasadniczych oraz procedur oceny zgodności wyrobów medycznych.</w:t>
      </w:r>
    </w:p>
    <w:p>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Zaoferowany sprzęt musi być fabrycznie nowy, nieużywany, </w:t>
      </w:r>
      <w:proofErr w:type="spellStart"/>
      <w:r>
        <w:rPr>
          <w:rFonts w:ascii="Arial" w:eastAsia="Times New Roman" w:hAnsi="Arial" w:cs="Arial"/>
          <w:lang w:eastAsia="pl-PL"/>
        </w:rPr>
        <w:t>nierekondycjonowany</w:t>
      </w:r>
      <w:proofErr w:type="spellEnd"/>
      <w:r>
        <w:rPr>
          <w:rFonts w:ascii="Arial" w:eastAsia="Times New Roman" w:hAnsi="Arial" w:cs="Arial"/>
          <w:lang w:eastAsia="pl-PL"/>
        </w:rPr>
        <w:t xml:space="preserve">, </w:t>
      </w:r>
      <w:proofErr w:type="spellStart"/>
      <w:r>
        <w:rPr>
          <w:rFonts w:ascii="Arial" w:eastAsia="Times New Roman" w:hAnsi="Arial" w:cs="Arial"/>
          <w:lang w:eastAsia="pl-PL"/>
        </w:rPr>
        <w:t>niepowystawowy</w:t>
      </w:r>
      <w:proofErr w:type="spellEnd"/>
      <w:r>
        <w:rPr>
          <w:rFonts w:ascii="Arial" w:eastAsia="Times New Roman" w:hAnsi="Arial" w:cs="Arial"/>
          <w:lang w:eastAsia="pl-PL"/>
        </w:rPr>
        <w:t xml:space="preserve"> oraz wolny od wszelkich wad fizycznych i prawnych. Zamawiający oczekuje wyrobów wysokiej jakości, spełniających wszystkie funkcje zgodnie z ich przeznaczeniem. Oferowany przedmioty zamówienia musi bezwzględnie spełniać wymogi szczegółowo opisane w formularzach parametrów technicznych.</w:t>
      </w:r>
    </w:p>
    <w:p>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Wykonawca winien uwzględnić w cenie oferty wszystkie przewidywane koszty realizacji zamówienia, które będą miały wpływ na cenę oferty.</w:t>
      </w:r>
    </w:p>
    <w:p>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Oferowane wyroby stanowiące przedmiot zamówienia winny spełniać wymagania prawne dotyczące dopuszczenia do obrotu na terytorium Rzeczpospolitej Polskiej, oraz posiadać wszelkie niezbędne  atesty i świadectwa rejestracji dotyczące przedmiotu zamówienia objętego niniejszą specyfikacją istotnych warunków zamówienia, zgodnie z obowiązującymi przepisami a w szczególności postanowieniami ustawy z dnia 7 kwietnia 2022r. o wyrobach medycznych (Dz. U. poz. 974), a Wykonawca zobowiązany jest do złożenia w ofercie </w:t>
      </w:r>
      <w:r>
        <w:rPr>
          <w:rFonts w:ascii="Arial" w:eastAsia="Times New Roman" w:hAnsi="Arial" w:cs="Arial"/>
          <w:b/>
          <w:bCs/>
          <w:lang w:eastAsia="pl-PL"/>
        </w:rPr>
        <w:t>oświadczenia o posiadaniu atestów i świadectw dopuszczających do obrotu</w:t>
      </w:r>
      <w:r>
        <w:rPr>
          <w:rFonts w:ascii="Arial" w:eastAsia="Times New Roman" w:hAnsi="Arial" w:cs="Arial"/>
          <w:lang w:eastAsia="pl-PL"/>
        </w:rPr>
        <w:t xml:space="preserve">, dotyczących przedmiotu zamówienia objętego niniejszą specyfikacją istotnych warunków zamówienia oraz </w:t>
      </w:r>
      <w:r>
        <w:rPr>
          <w:rFonts w:ascii="Arial" w:eastAsia="Times New Roman" w:hAnsi="Arial" w:cs="Arial"/>
          <w:b/>
          <w:bCs/>
          <w:lang w:eastAsia="pl-PL"/>
        </w:rPr>
        <w:t>oświadczenia o zobowiązaniu się do ich przedstawienia na każde żądanie Zamawiającego</w:t>
      </w:r>
      <w:r>
        <w:rPr>
          <w:rFonts w:ascii="Arial" w:eastAsia="Times New Roman" w:hAnsi="Arial" w:cs="Arial"/>
          <w:lang w:eastAsia="pl-PL"/>
        </w:rPr>
        <w:t xml:space="preserve">. </w:t>
      </w:r>
      <w:r>
        <w:rPr>
          <w:rFonts w:ascii="Arial" w:eastAsia="Times New Roman" w:hAnsi="Arial" w:cs="Arial"/>
          <w:b/>
          <w:bCs/>
          <w:lang w:eastAsia="pl-PL"/>
        </w:rPr>
        <w:t>W przypadku gdy w rozumieniu w/w ustawy przedmiot zamówienia nie jest wyrobem medycznym, Wykonawca zobowiązany jest zaznaczyć ten fakt w załączonym oświadczeniu</w:t>
      </w:r>
      <w:r>
        <w:rPr>
          <w:rFonts w:ascii="Arial" w:eastAsia="Times New Roman" w:hAnsi="Arial" w:cs="Arial"/>
          <w:lang w:eastAsia="pl-PL"/>
        </w:rPr>
        <w:t>.</w:t>
      </w:r>
    </w:p>
    <w:p>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Podane w opisie przedmiotu zamówienia nazwy własne, znaki towarowe lub symbole producentów mają charakter wyłącznie informacyjno - pomocniczy w przygotowaniu oferty i mają na celu wskazać oczekiwane standardy co do minimalnych parametrów jakościowych dla określenia przedmiotu zamówienia. Zamawiający dopuszcza składanie ofert równoważnych pod </w:t>
      </w:r>
      <w:r>
        <w:rPr>
          <w:rFonts w:ascii="Arial" w:eastAsia="Times New Roman" w:hAnsi="Arial" w:cs="Arial"/>
          <w:lang w:eastAsia="pl-PL"/>
        </w:rPr>
        <w:lastRenderedPageBreak/>
        <w:t>warunkiem, że zaoferowane odpowiedniki będą spełniały co najmniej te parametry które wskazane zostały przez Zamawiającego w szczegółowym opisie przedmiotu zamówienia dla każdego elementu zamówienia. Zgodnie z zapisem art. 99 pkt. 5 Ustawy Prawo zamówień publicznych Wykonawca, który powołuje się na rozwiązania równoważne opisywanym przez zamawiającego jest obowiązany wskazać, że oferowane przez niego rozwiązania spełniają wymagania określone przez Zamawiającego. W przypadku wątpliwości co do równoważności zaoferowanego produktu Zamawiający zastrzega sobie prawo wezwania Wykonawcy do okazania odpowiednich dokumentów produktu.</w:t>
      </w:r>
    </w:p>
    <w:p>
      <w:pPr>
        <w:pStyle w:val="Akapitzlist"/>
        <w:numPr>
          <w:ilvl w:val="1"/>
          <w:numId w:val="9"/>
        </w:numPr>
        <w:tabs>
          <w:tab w:val="left" w:pos="567"/>
        </w:tabs>
        <w:spacing w:after="0" w:line="360" w:lineRule="auto"/>
        <w:jc w:val="both"/>
        <w:rPr>
          <w:rFonts w:ascii="Arial" w:eastAsia="Times New Roman" w:hAnsi="Arial" w:cs="Arial"/>
          <w:lang w:eastAsia="pl-PL"/>
        </w:rPr>
      </w:pPr>
      <w:r>
        <w:rPr>
          <w:rFonts w:ascii="Arial" w:hAnsi="Arial" w:cs="Arial"/>
          <w:b/>
        </w:rPr>
        <w:t>Zamawiający wymaga zaoferowania minimum 60 miesięcznej gwarancji na przedmiot zamówienia. W przypadku zaoferowania krótszego okresu gwarancji niż wymagany oferta zostanie odrzucona.</w:t>
      </w:r>
    </w:p>
    <w:p>
      <w:pPr>
        <w:spacing w:after="0" w:line="360" w:lineRule="auto"/>
        <w:jc w:val="both"/>
        <w:rPr>
          <w:rFonts w:ascii="Arial" w:hAnsi="Arial" w:cs="Arial"/>
          <w:b/>
          <w:bCs/>
        </w:rPr>
      </w:pPr>
      <w:r>
        <w:rPr>
          <w:rFonts w:ascii="Arial" w:hAnsi="Arial" w:cs="Arial"/>
          <w:b/>
        </w:rPr>
        <w:t xml:space="preserve">2. </w:t>
      </w:r>
      <w:r>
        <w:rPr>
          <w:rFonts w:ascii="Arial" w:hAnsi="Arial" w:cs="Arial"/>
          <w:b/>
          <w:bCs/>
        </w:rPr>
        <w:t>Wszystkie parametry niepunktowane w formularzu parametrów technicznych są wymagalne, brak ich spełnienia spowoduje odrzucenie oferty.</w:t>
      </w:r>
    </w:p>
    <w:p>
      <w:pPr>
        <w:pStyle w:val="Akapitzlist"/>
        <w:numPr>
          <w:ilvl w:val="0"/>
          <w:numId w:val="10"/>
        </w:numPr>
        <w:tabs>
          <w:tab w:val="left" w:pos="426"/>
        </w:tabs>
        <w:spacing w:after="0" w:line="360" w:lineRule="auto"/>
        <w:ind w:left="0" w:firstLine="0"/>
        <w:jc w:val="both"/>
        <w:rPr>
          <w:rFonts w:ascii="Arial" w:hAnsi="Arial" w:cs="Arial"/>
          <w:b/>
          <w:bCs/>
        </w:rPr>
      </w:pPr>
      <w:r>
        <w:rPr>
          <w:rFonts w:ascii="Arial" w:hAnsi="Arial" w:cs="Arial"/>
          <w:b/>
          <w:bCs/>
        </w:rPr>
        <w:t>Wspólny Słownik Zamówień CPV:</w:t>
      </w:r>
    </w:p>
    <w:p>
      <w:pPr>
        <w:spacing w:after="0" w:line="360" w:lineRule="auto"/>
        <w:jc w:val="both"/>
        <w:rPr>
          <w:rFonts w:ascii="Arial" w:hAnsi="Arial" w:cs="Arial"/>
          <w:b/>
          <w:bCs/>
          <w:color w:val="000000"/>
        </w:rPr>
      </w:pPr>
      <w:r>
        <w:rPr>
          <w:rFonts w:ascii="Arial" w:hAnsi="Arial" w:cs="Arial"/>
          <w:b/>
          <w:bCs/>
          <w:color w:val="000000"/>
        </w:rPr>
        <w:t>Łóżka szpitalne z szafkami - CPV 33192120-9;</w:t>
      </w:r>
    </w:p>
    <w:p>
      <w:pPr>
        <w:spacing w:after="0" w:line="360" w:lineRule="auto"/>
        <w:jc w:val="both"/>
        <w:rPr>
          <w:rFonts w:ascii="Arial" w:hAnsi="Arial" w:cs="Arial"/>
          <w:b/>
          <w:bCs/>
          <w:color w:val="000000"/>
        </w:rPr>
      </w:pPr>
      <w:r>
        <w:rPr>
          <w:rFonts w:ascii="Arial" w:hAnsi="Arial" w:cs="Arial"/>
          <w:b/>
          <w:bCs/>
          <w:color w:val="000000"/>
        </w:rPr>
        <w:t>Łóżka ortopedyczne – CPV 33192110-6;</w:t>
      </w:r>
    </w:p>
    <w:p>
      <w:pPr>
        <w:spacing w:after="0" w:line="360" w:lineRule="auto"/>
        <w:jc w:val="both"/>
        <w:rPr>
          <w:rFonts w:ascii="Arial" w:hAnsi="Arial" w:cs="Arial"/>
          <w:b/>
          <w:bCs/>
          <w:color w:val="000000"/>
        </w:rPr>
      </w:pPr>
      <w:r>
        <w:rPr>
          <w:rFonts w:ascii="Arial" w:hAnsi="Arial" w:cs="Arial"/>
          <w:b/>
          <w:bCs/>
          <w:color w:val="000000"/>
        </w:rPr>
        <w:t>Łóżka dziecięce i OIT - CPV 33192120-9;</w:t>
      </w:r>
    </w:p>
    <w:p>
      <w:pPr>
        <w:spacing w:after="0" w:line="360" w:lineRule="auto"/>
        <w:jc w:val="both"/>
        <w:rPr>
          <w:rFonts w:ascii="Arial" w:hAnsi="Arial" w:cs="Arial"/>
          <w:b/>
          <w:bCs/>
          <w:color w:val="000000"/>
        </w:rPr>
      </w:pPr>
      <w:r>
        <w:rPr>
          <w:rFonts w:ascii="Arial" w:hAnsi="Arial" w:cs="Arial"/>
          <w:b/>
          <w:bCs/>
          <w:color w:val="000000"/>
        </w:rPr>
        <w:t>Wózki do transportu pacjenta - CPV 33196100-1;</w:t>
      </w:r>
    </w:p>
    <w:p>
      <w:pPr>
        <w:spacing w:after="0" w:line="360" w:lineRule="auto"/>
        <w:jc w:val="both"/>
        <w:rPr>
          <w:rFonts w:ascii="Arial" w:hAnsi="Arial" w:cs="Arial"/>
          <w:b/>
          <w:bCs/>
          <w:color w:val="000000"/>
        </w:rPr>
      </w:pPr>
      <w:r>
        <w:rPr>
          <w:rFonts w:ascii="Arial" w:hAnsi="Arial" w:cs="Arial"/>
          <w:b/>
          <w:bCs/>
          <w:color w:val="000000"/>
        </w:rPr>
        <w:t>Stoły zabiegowe - CPV 33192210-7;</w:t>
      </w:r>
    </w:p>
    <w:p>
      <w:pPr>
        <w:spacing w:after="0" w:line="360" w:lineRule="auto"/>
        <w:jc w:val="both"/>
        <w:rPr>
          <w:rFonts w:ascii="Arial" w:hAnsi="Arial" w:cs="Arial"/>
          <w:b/>
          <w:bCs/>
          <w:color w:val="000000"/>
        </w:rPr>
      </w:pPr>
      <w:r>
        <w:rPr>
          <w:rFonts w:ascii="Arial" w:hAnsi="Arial" w:cs="Arial"/>
          <w:b/>
          <w:bCs/>
          <w:color w:val="000000"/>
        </w:rPr>
        <w:t>Stół operacyjny - CPV 33192230-3;</w:t>
      </w:r>
    </w:p>
    <w:p>
      <w:pPr>
        <w:spacing w:after="0" w:line="360" w:lineRule="auto"/>
        <w:jc w:val="both"/>
        <w:rPr>
          <w:rFonts w:ascii="Arial" w:hAnsi="Arial" w:cs="Arial"/>
          <w:b/>
          <w:bCs/>
          <w:color w:val="000000"/>
        </w:rPr>
      </w:pP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Przedmiot zamówienia został podzielony na części. Zamawiający dopuszcza składanie ofert częściowych.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Zamawiający nie dopuszcza składania ofert wariantowych oraz w postaci katalogów elektronicznych. </w:t>
      </w:r>
    </w:p>
    <w:p>
      <w:pPr>
        <w:spacing w:after="0" w:line="360" w:lineRule="auto"/>
        <w:jc w:val="both"/>
        <w:rPr>
          <w:rFonts w:ascii="Arial" w:hAnsi="Arial" w:cs="Arial"/>
        </w:rPr>
      </w:pPr>
      <w:r>
        <w:rPr>
          <w:rFonts w:ascii="Arial" w:hAnsi="Arial" w:cs="Arial"/>
          <w:b/>
          <w:bCs/>
        </w:rPr>
        <w:t xml:space="preserve">6. </w:t>
      </w:r>
      <w:r>
        <w:rPr>
          <w:rFonts w:ascii="Arial" w:hAnsi="Arial" w:cs="Arial"/>
        </w:rPr>
        <w:t xml:space="preserve">Zamawiający nie przewiduje udzielania zamówień, o których mowa w art. 214 ust. 1 pkt 8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V. PODWYKONAWSTWO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Wykonawca może powierzyć wykonanie części zamówienia podwykonawcy (podwykonawcom).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Zgodnie z art. 281 ust. 2 pkt 15 </w:t>
      </w:r>
      <w:proofErr w:type="spellStart"/>
      <w:r>
        <w:rPr>
          <w:rFonts w:ascii="Arial" w:hAnsi="Arial" w:cs="Arial"/>
        </w:rPr>
        <w:t>p.z.p</w:t>
      </w:r>
      <w:proofErr w:type="spellEnd"/>
      <w:r>
        <w:rPr>
          <w:rFonts w:ascii="Arial" w:hAnsi="Arial" w:cs="Arial"/>
        </w:rPr>
        <w:t xml:space="preserve">. Zamawiający zastrzega obowiązek osobistego wykonania przez Wykonawcę kluczowych części zamówienia.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Powierzenie części zamówienia podwykonawcom nie zwalnia Wykonawcy z odpowiedzialności za należyte wykonanie zamówienia. </w:t>
      </w:r>
    </w:p>
    <w:p>
      <w:pPr>
        <w:spacing w:after="0" w:line="360" w:lineRule="auto"/>
        <w:jc w:val="both"/>
        <w:rPr>
          <w:rFonts w:ascii="Arial" w:hAnsi="Arial" w:cs="Arial"/>
        </w:rPr>
      </w:pPr>
    </w:p>
    <w:p>
      <w:pPr>
        <w:spacing w:after="0" w:line="360" w:lineRule="auto"/>
        <w:jc w:val="both"/>
        <w:rPr>
          <w:rFonts w:ascii="Arial" w:hAnsi="Arial" w:cs="Arial"/>
        </w:rPr>
      </w:pPr>
      <w:r>
        <w:rPr>
          <w:rFonts w:ascii="Arial" w:hAnsi="Arial" w:cs="Arial"/>
          <w:b/>
          <w:bCs/>
        </w:rPr>
        <w:t xml:space="preserve">VI. TERMIN WYKONANIA ZAMÓWIENIA </w:t>
      </w:r>
    </w:p>
    <w:p>
      <w:pPr>
        <w:spacing w:after="0" w:line="360" w:lineRule="auto"/>
        <w:jc w:val="both"/>
        <w:rPr>
          <w:rFonts w:ascii="Arial" w:hAnsi="Arial" w:cs="Arial"/>
        </w:rPr>
      </w:pPr>
      <w:r>
        <w:rPr>
          <w:rFonts w:ascii="Arial" w:hAnsi="Arial" w:cs="Arial"/>
          <w:b/>
          <w:bCs/>
        </w:rPr>
        <w:lastRenderedPageBreak/>
        <w:t xml:space="preserve">1. </w:t>
      </w:r>
      <w:r>
        <w:rPr>
          <w:rFonts w:ascii="Arial" w:hAnsi="Arial" w:cs="Arial"/>
        </w:rPr>
        <w:t>Termin realizacji zamówienia: do 30 listopada 2023r.</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VII. WARUNKI UDZIAŁU W POSTĘPOWANIU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O udzielenie zamówienia mogą ubiegać się Wykonawcy, którzy nie podlegają wykluczeniu, na zasadach określonych w Rozdziale VIII SWZ, oraz spełniają określone przez Zamawiającego warunki udziału w postępowaniu.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O udzielenie zamówienia mogą ubiegać się Wykonawcy, którzy spełniają warunki dotyczące: </w:t>
      </w:r>
    </w:p>
    <w:p>
      <w:pPr>
        <w:spacing w:after="0" w:line="360" w:lineRule="auto"/>
        <w:jc w:val="both"/>
        <w:rPr>
          <w:rFonts w:ascii="Arial" w:hAnsi="Arial" w:cs="Arial"/>
        </w:rPr>
      </w:pPr>
      <w:r>
        <w:rPr>
          <w:rFonts w:ascii="Arial" w:hAnsi="Arial" w:cs="Arial"/>
          <w:b/>
          <w:bCs/>
        </w:rPr>
        <w:t xml:space="preserve">1) zdolności do występowania w obrocie gospodarczym: </w:t>
      </w:r>
    </w:p>
    <w:p>
      <w:pPr>
        <w:widowControl w:val="0"/>
        <w:tabs>
          <w:tab w:val="left" w:pos="342"/>
        </w:tabs>
        <w:suppressAutoHyphens/>
        <w:spacing w:after="0" w:line="360" w:lineRule="auto"/>
        <w:jc w:val="both"/>
        <w:rPr>
          <w:rFonts w:ascii="Arial" w:eastAsia="Lucida Sans Unicode" w:hAnsi="Arial" w:cs="Arial"/>
          <w:kern w:val="1"/>
          <w:lang w:eastAsia="hi-IN" w:bidi="hi-IN"/>
        </w:rPr>
      </w:pPr>
      <w:r>
        <w:rPr>
          <w:rFonts w:ascii="Arial" w:eastAsia="Lucida Sans Unicode" w:hAnsi="Arial" w:cs="Arial"/>
          <w:kern w:val="1"/>
          <w:lang w:eastAsia="hi-IN" w:bidi="hi-IN"/>
        </w:rPr>
        <w:t>Warunek zostanie spełniony, jeżeli wykonawcy prowadzący działalność gospodarczą lub zawodową będą wpisani do jednego z rejestrów zawodowych lub handlowych prowadzonych w kraju, w którym mają siedzibę lub miejsce zamieszkania (np. KRS/CDEIG w Polsce)</w:t>
      </w:r>
    </w:p>
    <w:p>
      <w:pPr>
        <w:widowControl w:val="0"/>
        <w:tabs>
          <w:tab w:val="left" w:pos="342"/>
        </w:tabs>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Ocena spełnienia w/w warunku zostanie dokonana na podstawie załączonych do oferty zezwoleń oraz „Jednolitego Europejskiego Dokumentu Zamówienia” (JEDZ). Wykonawca, w terminie wyznaczonym na składanie ofert składa oświadczenie w formie JEDZ (Jednolity Europejski Dokument Zamówień) aktualne na dzień składania ofert, potwierdzające wstępnie, że spełnia warunki określone przez Zamawiającego w SWZ i ogłoszeniu o zamówieniu oraz nie podlega wykluczeniu. Oświadczenie JEDZ Wykonawca składa Zamawiającemu w formie elektronicznej opatrzone kwalifikowanym podpisem elektronicznym na Platformie zakupowej. Wykonawca wypełnia pola zaznaczone przez Zamawiającego zgodnie z wzorem JEDZ dołączonym do SWZ jako załącznik nr 2.</w:t>
      </w:r>
    </w:p>
    <w:p>
      <w:pPr>
        <w:spacing w:after="0" w:line="360" w:lineRule="auto"/>
        <w:jc w:val="both"/>
        <w:rPr>
          <w:rFonts w:ascii="Arial" w:hAnsi="Arial" w:cs="Arial"/>
        </w:rPr>
      </w:pPr>
      <w:r>
        <w:rPr>
          <w:rFonts w:ascii="Arial" w:hAnsi="Arial" w:cs="Arial"/>
          <w:b/>
          <w:bCs/>
        </w:rPr>
        <w:t xml:space="preserve">2) uprawnień do prowadzenia określonej działalności gospodarczej lub zawodowej, o ile wynika to z odrębnych przepisów: </w:t>
      </w:r>
    </w:p>
    <w:p>
      <w:pPr>
        <w:spacing w:after="0" w:line="360" w:lineRule="auto"/>
        <w:jc w:val="both"/>
        <w:rPr>
          <w:rFonts w:ascii="Arial" w:hAnsi="Arial" w:cs="Arial"/>
        </w:rPr>
      </w:pPr>
      <w:r>
        <w:rPr>
          <w:rFonts w:ascii="Arial" w:hAnsi="Arial" w:cs="Arial"/>
        </w:rPr>
        <w:t xml:space="preserve">Zamawiający nie stawia warunku w powyższym zakresie. </w:t>
      </w:r>
    </w:p>
    <w:p>
      <w:pPr>
        <w:spacing w:after="0" w:line="360" w:lineRule="auto"/>
        <w:jc w:val="both"/>
        <w:rPr>
          <w:rFonts w:ascii="Arial" w:hAnsi="Arial" w:cs="Arial"/>
        </w:rPr>
      </w:pPr>
      <w:r>
        <w:rPr>
          <w:rFonts w:ascii="Arial" w:hAnsi="Arial" w:cs="Arial"/>
          <w:b/>
          <w:bCs/>
        </w:rPr>
        <w:t xml:space="preserve">3) sytuacji ekonomicznej lub finansowej: </w:t>
      </w:r>
    </w:p>
    <w:p>
      <w:pPr>
        <w:spacing w:after="0" w:line="360" w:lineRule="auto"/>
        <w:jc w:val="both"/>
        <w:rPr>
          <w:rFonts w:ascii="Arial" w:hAnsi="Arial" w:cs="Arial"/>
        </w:rPr>
      </w:pPr>
      <w:r>
        <w:rPr>
          <w:rFonts w:ascii="Arial" w:hAnsi="Arial" w:cs="Arial"/>
        </w:rPr>
        <w:t>Zamawiający nie stawia warunku w powyższym zakresie.</w:t>
      </w:r>
    </w:p>
    <w:p>
      <w:pPr>
        <w:spacing w:after="0" w:line="360" w:lineRule="auto"/>
        <w:jc w:val="both"/>
        <w:rPr>
          <w:rFonts w:ascii="Arial" w:hAnsi="Arial" w:cs="Arial"/>
        </w:rPr>
      </w:pPr>
      <w:r>
        <w:rPr>
          <w:rFonts w:ascii="Arial" w:hAnsi="Arial" w:cs="Arial"/>
          <w:b/>
          <w:bCs/>
        </w:rPr>
        <w:t xml:space="preserve">4) zdolności technicznej lub zawodowej: </w:t>
      </w:r>
    </w:p>
    <w:p>
      <w:pPr>
        <w:spacing w:after="0" w:line="360" w:lineRule="auto"/>
        <w:jc w:val="both"/>
        <w:rPr>
          <w:rFonts w:ascii="Arial" w:hAnsi="Arial" w:cs="Arial"/>
        </w:rPr>
      </w:pPr>
      <w:r>
        <w:rPr>
          <w:rFonts w:ascii="Arial" w:hAnsi="Arial" w:cs="Arial"/>
        </w:rPr>
        <w:t>Wykonawca spełni warunek, jeżeli wykaże że w okresie ostatnich 3 lat przed upływem terminu składania ofert, a jeżeli okres prowadzenia działalności jest krótszy - w tym okresie, wykonał należycie co najmniej 2 dostawy oferowanego sprzętu, każdy o wartości min.</w:t>
      </w:r>
    </w:p>
    <w:p>
      <w:pPr>
        <w:numPr>
          <w:ilvl w:val="0"/>
          <w:numId w:val="26"/>
        </w:numPr>
        <w:contextualSpacing/>
        <w:rPr>
          <w:rFonts w:ascii="Arial" w:hAnsi="Arial" w:cs="Arial"/>
          <w:b/>
          <w:lang w:eastAsia="pl-PL"/>
        </w:rPr>
      </w:pPr>
      <w:r>
        <w:rPr>
          <w:rFonts w:ascii="Arial" w:hAnsi="Arial" w:cs="Arial"/>
          <w:b/>
          <w:lang w:eastAsia="pl-PL"/>
        </w:rPr>
        <w:t>Łóżka szpitalne dwusegmentowe z szafkami – 15 szt. i czterosegmentowe z ramami ortopedycznymi i szafkami – 17 szt. – 200.000,00 zł.</w:t>
      </w:r>
    </w:p>
    <w:p>
      <w:pPr>
        <w:numPr>
          <w:ilvl w:val="0"/>
          <w:numId w:val="26"/>
        </w:numPr>
        <w:spacing w:after="0" w:line="360" w:lineRule="auto"/>
        <w:contextualSpacing/>
        <w:jc w:val="both"/>
        <w:rPr>
          <w:rFonts w:ascii="Arial" w:hAnsi="Arial" w:cs="Arial"/>
          <w:b/>
          <w:lang w:eastAsia="pl-PL"/>
        </w:rPr>
      </w:pPr>
      <w:r>
        <w:rPr>
          <w:rFonts w:ascii="Arial" w:hAnsi="Arial" w:cs="Arial"/>
          <w:b/>
          <w:lang w:eastAsia="pl-PL"/>
        </w:rPr>
        <w:t>Łózka dziecięce – 10 szt. – 30.000,00 zł</w:t>
      </w:r>
    </w:p>
    <w:p>
      <w:pPr>
        <w:numPr>
          <w:ilvl w:val="0"/>
          <w:numId w:val="26"/>
        </w:numPr>
        <w:spacing w:after="0" w:line="360" w:lineRule="auto"/>
        <w:contextualSpacing/>
        <w:jc w:val="both"/>
        <w:rPr>
          <w:rFonts w:ascii="Arial" w:hAnsi="Arial" w:cs="Arial"/>
          <w:b/>
          <w:lang w:eastAsia="pl-PL"/>
        </w:rPr>
      </w:pPr>
      <w:r>
        <w:rPr>
          <w:rFonts w:ascii="Arial" w:hAnsi="Arial" w:cs="Arial"/>
          <w:b/>
          <w:lang w:eastAsia="pl-PL"/>
        </w:rPr>
        <w:t>Łózka intensywnej terapii – 10 szt. – 300.000,00 zł</w:t>
      </w:r>
    </w:p>
    <w:p>
      <w:pPr>
        <w:numPr>
          <w:ilvl w:val="0"/>
          <w:numId w:val="26"/>
        </w:numPr>
        <w:spacing w:after="0" w:line="360" w:lineRule="auto"/>
        <w:contextualSpacing/>
        <w:jc w:val="both"/>
        <w:rPr>
          <w:rFonts w:ascii="Arial" w:hAnsi="Arial" w:cs="Arial"/>
          <w:b/>
          <w:lang w:eastAsia="pl-PL"/>
        </w:rPr>
      </w:pPr>
      <w:r>
        <w:rPr>
          <w:rFonts w:ascii="Arial" w:hAnsi="Arial" w:cs="Arial"/>
          <w:b/>
          <w:lang w:eastAsia="pl-PL"/>
        </w:rPr>
        <w:t>Wózki transportowe – 4 szt. – 40.000,00 zł</w:t>
      </w:r>
    </w:p>
    <w:p>
      <w:pPr>
        <w:numPr>
          <w:ilvl w:val="0"/>
          <w:numId w:val="26"/>
        </w:numPr>
        <w:spacing w:after="0" w:line="360" w:lineRule="auto"/>
        <w:contextualSpacing/>
        <w:jc w:val="both"/>
        <w:rPr>
          <w:rFonts w:ascii="Arial" w:hAnsi="Arial" w:cs="Arial"/>
          <w:b/>
          <w:lang w:eastAsia="pl-PL"/>
        </w:rPr>
      </w:pPr>
      <w:r>
        <w:rPr>
          <w:rFonts w:ascii="Arial" w:hAnsi="Arial" w:cs="Arial"/>
          <w:b/>
          <w:lang w:eastAsia="pl-PL"/>
        </w:rPr>
        <w:t>Łóżka porodowe – 2 szt. i fotele ginekologiczne – 2 szt. – 100.000,00 zł.</w:t>
      </w:r>
    </w:p>
    <w:p>
      <w:pPr>
        <w:numPr>
          <w:ilvl w:val="0"/>
          <w:numId w:val="26"/>
        </w:numPr>
        <w:spacing w:after="0" w:line="360" w:lineRule="auto"/>
        <w:contextualSpacing/>
        <w:jc w:val="both"/>
        <w:rPr>
          <w:rFonts w:ascii="Arial" w:hAnsi="Arial" w:cs="Arial"/>
          <w:b/>
          <w:lang w:eastAsia="pl-PL"/>
        </w:rPr>
      </w:pPr>
      <w:r>
        <w:rPr>
          <w:rFonts w:ascii="Arial" w:hAnsi="Arial" w:cs="Arial"/>
          <w:b/>
          <w:lang w:eastAsia="pl-PL"/>
        </w:rPr>
        <w:t>Stół do badań onkologicznych oraz biopsji – 1 szt. – 10.000,00 zł.</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Zamawiający, w stosunku do Wykonawców wspólnie ubiegających się o udzielenie zamówienia, w odniesieniu do warunku dotyczącego zdolności technicznej lub zawodowej dopuszcza łączne spełnianie warunku przez Wykonawców. </w:t>
      </w:r>
    </w:p>
    <w:p>
      <w:pPr>
        <w:spacing w:after="0" w:line="360" w:lineRule="auto"/>
        <w:jc w:val="both"/>
        <w:rPr>
          <w:rFonts w:ascii="Arial" w:hAnsi="Arial" w:cs="Arial"/>
        </w:rPr>
      </w:pPr>
      <w:r>
        <w:rPr>
          <w:rFonts w:ascii="Arial" w:hAnsi="Arial" w:cs="Arial"/>
          <w:b/>
          <w:bCs/>
        </w:rPr>
        <w:lastRenderedPageBreak/>
        <w:t xml:space="preserve">4. </w:t>
      </w:r>
      <w:r>
        <w:rPr>
          <w:rFonts w:ascii="Arial" w:hAnsi="Arial" w:cs="Arial"/>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VIII. PODSTAWY WYKLUCZENIA Z POSTĘPOWANIA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Z postępowania o udzielenie zamówienia wyklucza się Wykonawców, w stosunku do których zachodzi którakolwiek z okoliczności wskazanych: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 art. 108 ust. 1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w art. 109 ust. 1 pkt. 4, 5, 7 </w:t>
      </w:r>
      <w:proofErr w:type="spellStart"/>
      <w:r>
        <w:rPr>
          <w:rFonts w:ascii="Arial" w:hAnsi="Arial" w:cs="Arial"/>
        </w:rPr>
        <w:t>Pzp</w:t>
      </w:r>
      <w:proofErr w:type="spellEnd"/>
      <w:r>
        <w:rPr>
          <w:rFonts w:ascii="Arial" w:hAnsi="Arial" w:cs="Arial"/>
        </w:rPr>
        <w:t xml:space="preserve"> tj.: </w:t>
      </w:r>
    </w:p>
    <w:p>
      <w:pPr>
        <w:spacing w:after="0" w:line="360" w:lineRule="auto"/>
        <w:jc w:val="both"/>
        <w:rPr>
          <w:rFonts w:ascii="Arial" w:hAnsi="Arial" w:cs="Arial"/>
        </w:rPr>
      </w:pPr>
      <w:r>
        <w:rPr>
          <w:rFonts w:ascii="Arial" w:hAnsi="Arial" w:cs="Arial"/>
          <w:b/>
          <w:bCs/>
        </w:rPr>
        <w:t xml:space="preserve">a) </w:t>
      </w:r>
      <w:r>
        <w:rPr>
          <w:rFonts w:ascii="Arial" w:hAnsi="Arial"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pPr>
        <w:spacing w:after="0" w:line="360" w:lineRule="auto"/>
        <w:jc w:val="both"/>
        <w:rPr>
          <w:rFonts w:ascii="Arial" w:hAnsi="Arial" w:cs="Arial"/>
        </w:rPr>
      </w:pPr>
      <w:r>
        <w:rPr>
          <w:rFonts w:ascii="Arial" w:hAnsi="Arial" w:cs="Arial"/>
          <w:b/>
          <w:bCs/>
        </w:rPr>
        <w:t xml:space="preserve">b) </w:t>
      </w:r>
      <w:r>
        <w:rPr>
          <w:rFonts w:ascii="Arial" w:hAnsi="Arial" w:cs="Aria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pPr>
        <w:spacing w:after="0" w:line="360" w:lineRule="auto"/>
        <w:jc w:val="both"/>
        <w:rPr>
          <w:rFonts w:ascii="Arial" w:hAnsi="Arial" w:cs="Arial"/>
        </w:rPr>
      </w:pPr>
      <w:r>
        <w:rPr>
          <w:rFonts w:ascii="Arial" w:hAnsi="Arial" w:cs="Arial"/>
          <w:b/>
          <w:bCs/>
        </w:rPr>
        <w:t xml:space="preserve">c) </w:t>
      </w:r>
      <w:r>
        <w:rPr>
          <w:rFonts w:ascii="Arial" w:hAnsi="Arial" w:cs="Aria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pPr>
        <w:spacing w:after="0" w:line="360" w:lineRule="auto"/>
        <w:jc w:val="both"/>
        <w:rPr>
          <w:rFonts w:ascii="Arial" w:hAnsi="Arial" w:cs="Arial"/>
        </w:rPr>
      </w:pPr>
      <w:r>
        <w:rPr>
          <w:rFonts w:ascii="Arial" w:hAnsi="Arial" w:cs="Arial"/>
          <w:b/>
          <w:bCs/>
        </w:rPr>
        <w:t xml:space="preserve">2. </w:t>
      </w:r>
      <w:r>
        <w:rPr>
          <w:rFonts w:ascii="Arial" w:hAnsi="Arial" w:cs="Arial"/>
          <w:bCs/>
        </w:rPr>
        <w:t xml:space="preserve">Wykluczenie Wykonawcy następuje zgodnie z art. 111 </w:t>
      </w:r>
      <w:proofErr w:type="spellStart"/>
      <w:r>
        <w:rPr>
          <w:rFonts w:ascii="Arial" w:hAnsi="Arial" w:cs="Arial"/>
          <w:bCs/>
        </w:rPr>
        <w:t>p.z.p</w:t>
      </w:r>
      <w:proofErr w:type="spellEnd"/>
      <w:r>
        <w:rPr>
          <w:rFonts w:ascii="Arial" w:hAnsi="Arial" w:cs="Arial"/>
          <w:bCs/>
        </w:rPr>
        <w:t>.</w:t>
      </w:r>
      <w:r>
        <w:rPr>
          <w:rFonts w:ascii="Arial" w:hAnsi="Arial" w:cs="Arial"/>
          <w:b/>
          <w:bCs/>
        </w:rPr>
        <w:t xml:space="preserve">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Wykonawca nie podlega wykluczeniu w okolicznościach określonych w art. 108 ust. 1 pkt 1, 2, 5 i 6 </w:t>
      </w:r>
      <w:proofErr w:type="spellStart"/>
      <w:r>
        <w:rPr>
          <w:rFonts w:ascii="Arial" w:hAnsi="Arial" w:cs="Arial"/>
        </w:rPr>
        <w:t>p.z.p</w:t>
      </w:r>
      <w:proofErr w:type="spellEnd"/>
      <w:r>
        <w:rPr>
          <w:rFonts w:ascii="Arial" w:hAnsi="Arial" w:cs="Arial"/>
        </w:rPr>
        <w:t xml:space="preserve"> lub art. 109 ust. 1 pkt 4, 5, 7 </w:t>
      </w:r>
      <w:proofErr w:type="spellStart"/>
      <w:r>
        <w:rPr>
          <w:rFonts w:ascii="Arial" w:hAnsi="Arial" w:cs="Arial"/>
        </w:rPr>
        <w:t>p.z.p</w:t>
      </w:r>
      <w:proofErr w:type="spellEnd"/>
      <w:r>
        <w:rPr>
          <w:rFonts w:ascii="Arial" w:hAnsi="Arial" w:cs="Arial"/>
        </w:rPr>
        <w:t xml:space="preserve">, jeżeli udowodni zamawiającemu, że spełnił łącznie przesłanki wskazane w art. 110 ust. 2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Zamawiający oceni, czy podjęte przez wykonawcę czynności, o których mowa w art. 110 ust. 2 </w:t>
      </w:r>
      <w:proofErr w:type="spellStart"/>
      <w:r>
        <w:rPr>
          <w:rFonts w:ascii="Arial" w:hAnsi="Arial" w:cs="Arial"/>
        </w:rPr>
        <w:t>p.z.p</w:t>
      </w:r>
      <w:proofErr w:type="spellEnd"/>
      <w:r>
        <w:rPr>
          <w:rFonts w:ascii="Arial" w:hAnsi="Arial" w:cs="Arial"/>
        </w:rPr>
        <w:t>., są wystarczające do wykazania jego rzetelności, uwzględniając wagę i szczególne okoliczności czynu wykonawcy. Jeżeli podjęte przez wykonawcę czynności nie są wystarczające do wykazania jego rzetelności, zamawiający wyklucza wykonawcę.</w:t>
      </w:r>
    </w:p>
    <w:p>
      <w:pPr>
        <w:spacing w:after="0" w:line="360" w:lineRule="auto"/>
        <w:jc w:val="both"/>
        <w:rPr>
          <w:rFonts w:ascii="Arial" w:eastAsia="Calibri" w:hAnsi="Arial" w:cs="Arial"/>
        </w:rPr>
      </w:pPr>
      <w:r>
        <w:rPr>
          <w:rFonts w:ascii="Arial" w:hAnsi="Arial" w:cs="Arial"/>
        </w:rPr>
        <w:t xml:space="preserve">5. </w:t>
      </w:r>
      <w:r>
        <w:rPr>
          <w:rFonts w:ascii="Arial" w:eastAsia="Calibri" w:hAnsi="Arial" w:cs="Arial"/>
        </w:rPr>
        <w:t>Z postępowania o udzielenie zamówienia wyklucza się Wykonawców, w stosunku do których zachodzi którakolwiek z okoliczności wskazanych:</w:t>
      </w:r>
    </w:p>
    <w:p>
      <w:pPr>
        <w:numPr>
          <w:ilvl w:val="0"/>
          <w:numId w:val="15"/>
        </w:numPr>
        <w:suppressAutoHyphens/>
        <w:spacing w:line="360" w:lineRule="auto"/>
        <w:ind w:left="284" w:hanging="284"/>
        <w:contextualSpacing/>
        <w:jc w:val="both"/>
        <w:rPr>
          <w:rFonts w:ascii="Arial" w:eastAsia="Calibri" w:hAnsi="Arial" w:cs="Arial"/>
        </w:rPr>
      </w:pPr>
      <w:r>
        <w:rPr>
          <w:rFonts w:ascii="Arial" w:eastAsia="Calibri" w:hAnsi="Arial" w:cs="Arial"/>
        </w:rPr>
        <w:t>w art.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p>
    <w:p>
      <w:pPr>
        <w:numPr>
          <w:ilvl w:val="0"/>
          <w:numId w:val="15"/>
        </w:numPr>
        <w:suppressAutoHyphens/>
        <w:spacing w:line="360" w:lineRule="auto"/>
        <w:ind w:left="284" w:hanging="284"/>
        <w:contextualSpacing/>
        <w:jc w:val="both"/>
        <w:rPr>
          <w:rFonts w:ascii="Arial" w:eastAsia="Calibri" w:hAnsi="Arial" w:cs="Arial"/>
        </w:rPr>
      </w:pPr>
      <w:r>
        <w:rPr>
          <w:rFonts w:ascii="Arial" w:eastAsia="Calibri" w:hAnsi="Arial" w:cs="Arial"/>
        </w:rPr>
        <w:lastRenderedPageBreak/>
        <w:t>w art. 7 ust. 1 ustawy o szczególnych rozwiązaniach w zakresie przeciwdziałania wspieraniu agresji na Ukrainę oraz służących ochronie bezpieczeństwa narodowego.</w:t>
      </w:r>
    </w:p>
    <w:p>
      <w:pPr>
        <w:pStyle w:val="Akapitzlist"/>
        <w:numPr>
          <w:ilvl w:val="0"/>
          <w:numId w:val="16"/>
        </w:numPr>
        <w:tabs>
          <w:tab w:val="left" w:pos="284"/>
          <w:tab w:val="left" w:pos="851"/>
        </w:tabs>
        <w:suppressAutoHyphens/>
        <w:spacing w:line="360" w:lineRule="auto"/>
        <w:ind w:left="0" w:firstLine="0"/>
        <w:jc w:val="both"/>
        <w:rPr>
          <w:rFonts w:ascii="Arial" w:eastAsia="Calibri" w:hAnsi="Arial" w:cs="Arial"/>
        </w:rPr>
      </w:pPr>
      <w:r>
        <w:rPr>
          <w:rFonts w:ascii="Arial" w:eastAsia="Calibri" w:hAnsi="Arial" w:cs="Arial"/>
        </w:rPr>
        <w:t xml:space="preserve">Jeśli wobec wykonawcy zachodzi którakolwiek z przesłanek, o których mowa w art. 5k rozporządzenia 833/2014 w brzmieniu nadanym rozporządzeniem 2022/576 oraz w art. 7 ust. 1 ustawy o szczególnych rozwiązaniach w zakresie przeciwdziałania wspieraniu agresji na Ukrainę oraz służących ochronie bezpieczeństwa narodowego wówczas oferta tego wykonawcy zostanie odrzucona na podstawie art. 226 pkt 2 lit. a) ustawy </w:t>
      </w:r>
      <w:proofErr w:type="spellStart"/>
      <w:r>
        <w:rPr>
          <w:rFonts w:ascii="Arial" w:eastAsia="Calibri" w:hAnsi="Arial" w:cs="Arial"/>
        </w:rPr>
        <w:t>Pzp</w:t>
      </w:r>
      <w:proofErr w:type="spellEnd"/>
      <w:r>
        <w:rPr>
          <w:rFonts w:ascii="Arial" w:eastAsia="Calibri" w:hAnsi="Arial" w:cs="Arial"/>
        </w:rPr>
        <w:t>, tj. z uwagi na fakt, że oferta została złożona przez wykonawcę podlegającego wykluczeniu z postępowania.</w:t>
      </w:r>
    </w:p>
    <w:p>
      <w:pPr>
        <w:spacing w:after="0" w:line="360" w:lineRule="auto"/>
        <w:jc w:val="both"/>
        <w:rPr>
          <w:rFonts w:ascii="Arial" w:hAnsi="Arial" w:cs="Arial"/>
        </w:rPr>
      </w:pPr>
      <w:r>
        <w:rPr>
          <w:rFonts w:ascii="Arial" w:hAnsi="Arial" w:cs="Arial"/>
          <w:b/>
          <w:bCs/>
        </w:rPr>
        <w:t xml:space="preserve">IX. OŚWIADCZENIA I DOKUMENTY, JAKIE ZOBOWIĄZANI SĄ DOSTARCZYĆ WYKONAWCY W CELU WYKAZANIA BRAKU PODSTAW WYKLUCZENIA ORAZ POTWIERDZENIA SPEŁNIANIA WARUNKÓW UDZIAŁU W POSTĘPOWANIU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Do oferty Wykonawca zobowiązany jest dołączyć aktualne na dzień składania ofert oświadczenie, że nie podlega wykluczeniu oraz spełnia warunki udziału w postępowaniu. Przedmiotowe oświadczenie Wykonawca składa w formie </w:t>
      </w:r>
      <w:r>
        <w:rPr>
          <w:rFonts w:ascii="Arial" w:hAnsi="Arial" w:cs="Arial"/>
          <w:b/>
          <w:bCs/>
        </w:rPr>
        <w:t>Jednolitego Europejskiego Dokumentu Zamówienia (ESPD)</w:t>
      </w:r>
      <w:r>
        <w:rPr>
          <w:rFonts w:ascii="Arial" w:hAnsi="Arial" w:cs="Arial"/>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Zamawiający informuje, iż instrukcję wypełnienia ESPD oraz edytowalną wersję formularza ESPD można znaleźć pod adresem: </w:t>
      </w:r>
      <w:hyperlink r:id="rId13" w:history="1">
        <w:r>
          <w:rPr>
            <w:rStyle w:val="Hipercze"/>
            <w:rFonts w:ascii="Arial" w:hAnsi="Arial" w:cs="Arial"/>
          </w:rPr>
          <w:t>https://www.uzp.gov.pl/baza-wiedzy/prawo-zamowien-publicznych-regulacje/prawo-krajowe/jednolity-europejski-dokument-zamowienia</w:t>
        </w:r>
      </w:hyperlink>
      <w:r>
        <w:rPr>
          <w:rFonts w:ascii="Arial" w:hAnsi="Arial" w:cs="Arial"/>
        </w:rPr>
        <w:t>. Zamawiający zaleca wypełnienie ESPD za pomocą serwisu dostępnego pod adresem: https://espd.uzp.gov.pl/ . W tym celu przygotowany przez Zamawiającego Jednolity Europejski Dokument Zamówienia (ESPD) w formacie *.</w:t>
      </w:r>
      <w:proofErr w:type="spellStart"/>
      <w:r>
        <w:rPr>
          <w:rFonts w:ascii="Arial" w:hAnsi="Arial" w:cs="Arial"/>
        </w:rPr>
        <w:t>xml</w:t>
      </w:r>
      <w:proofErr w:type="spellEnd"/>
      <w:r>
        <w:rPr>
          <w:rFonts w:ascii="Arial" w:hAnsi="Arial" w:cs="Arial"/>
        </w:rPr>
        <w:t xml:space="preserve">, stanowiący </w:t>
      </w:r>
      <w:r>
        <w:rPr>
          <w:rFonts w:ascii="Arial" w:hAnsi="Arial" w:cs="Arial"/>
          <w:b/>
          <w:bCs/>
        </w:rPr>
        <w:t>Załącznik nr 2 do SWZ</w:t>
      </w:r>
      <w:r>
        <w:rPr>
          <w:rFonts w:ascii="Arial" w:hAnsi="Arial" w:cs="Arial"/>
        </w:rPr>
        <w:t xml:space="preserve">, należy zaimportować do wyżej wymienionego serwisu oraz postępując zgodnie z zamieszczoną tam instrukcją wypełnić wzór elektronicznego formularza ESPD, z zastrzeżeniem poniższych uwag: </w:t>
      </w:r>
    </w:p>
    <w:p>
      <w:pPr>
        <w:spacing w:after="0" w:line="360" w:lineRule="auto"/>
        <w:jc w:val="both"/>
        <w:rPr>
          <w:rFonts w:ascii="Arial" w:hAnsi="Arial" w:cs="Arial"/>
        </w:rPr>
      </w:pPr>
      <w:r>
        <w:rPr>
          <w:rFonts w:ascii="Arial" w:hAnsi="Arial" w:cs="Arial"/>
          <w:b/>
          <w:bCs/>
        </w:rPr>
        <w:t xml:space="preserve">1) </w:t>
      </w:r>
      <w:r>
        <w:rPr>
          <w:rFonts w:ascii="Arial" w:hAnsi="Arial" w:cs="Arial"/>
        </w:rPr>
        <w:t>w Części II Sekcji D ESPD (</w:t>
      </w:r>
      <w:r>
        <w:rPr>
          <w:rFonts w:ascii="Arial" w:hAnsi="Arial" w:cs="Arial"/>
          <w:i/>
          <w:iCs/>
        </w:rPr>
        <w:t>Informacje dotyczące podwykonawców, na których zdolności Wykonawca nie polega</w:t>
      </w:r>
      <w:r>
        <w:rPr>
          <w:rFonts w:ascii="Arial" w:hAnsi="Arial" w:cs="Arial"/>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w Części IV Zamawiający żąda jedynie ogólnego oświadczenia dotyczącego wszystkich kryteriów kwalifikacji (sekcja α), bez wypełniania poszczególnych Sekcji A, B, C i D; </w:t>
      </w:r>
    </w:p>
    <w:p>
      <w:pPr>
        <w:spacing w:after="0" w:line="360" w:lineRule="auto"/>
        <w:jc w:val="both"/>
        <w:rPr>
          <w:rFonts w:ascii="Arial" w:hAnsi="Arial" w:cs="Arial"/>
        </w:rPr>
      </w:pPr>
      <w:r>
        <w:rPr>
          <w:rFonts w:ascii="Arial" w:hAnsi="Arial" w:cs="Arial"/>
          <w:b/>
          <w:bCs/>
        </w:rPr>
        <w:t xml:space="preserve">3) </w:t>
      </w:r>
      <w:r>
        <w:rPr>
          <w:rFonts w:ascii="Arial" w:hAnsi="Arial" w:cs="Arial"/>
        </w:rPr>
        <w:t>Część V (</w:t>
      </w:r>
      <w:r>
        <w:rPr>
          <w:rFonts w:ascii="Arial" w:hAnsi="Arial" w:cs="Arial"/>
          <w:i/>
          <w:iCs/>
        </w:rPr>
        <w:t>Ograniczenie liczby kwalifikujących się kandydatów</w:t>
      </w:r>
      <w:r>
        <w:rPr>
          <w:rFonts w:ascii="Arial" w:hAnsi="Arial" w:cs="Arial"/>
        </w:rPr>
        <w:t xml:space="preserve">) należy pozostawić niewypełnioną. </w:t>
      </w:r>
    </w:p>
    <w:p>
      <w:pPr>
        <w:spacing w:after="0" w:line="360" w:lineRule="auto"/>
        <w:jc w:val="both"/>
        <w:rPr>
          <w:rFonts w:ascii="Arial" w:hAnsi="Arial" w:cs="Arial"/>
        </w:rPr>
      </w:pPr>
      <w:r>
        <w:rPr>
          <w:rFonts w:ascii="Arial" w:hAnsi="Arial" w:cs="Arial"/>
          <w:b/>
          <w:bCs/>
        </w:rPr>
        <w:lastRenderedPageBreak/>
        <w:t xml:space="preserve">3. </w:t>
      </w:r>
      <w:r>
        <w:rPr>
          <w:rFonts w:ascii="Arial" w:hAnsi="Arial" w:cs="Arial"/>
        </w:rPr>
        <w:t xml:space="preserve">Zamawiający przed wyborem najkorzystniejszej oferty wzywa wykonawcę, którego oferta została najwyżej oceniona, do złożenia w wyznaczonym terminie, nie krótszym niż 10 dni, aktualnych na dzień złożenia podmiotowych środków dowodowych: </w:t>
      </w:r>
    </w:p>
    <w:p>
      <w:pPr>
        <w:autoSpaceDE w:val="0"/>
        <w:autoSpaceDN w:val="0"/>
        <w:adjustRightInd w:val="0"/>
        <w:spacing w:after="0" w:line="360" w:lineRule="auto"/>
        <w:jc w:val="both"/>
        <w:rPr>
          <w:rFonts w:ascii="Arial" w:eastAsia="Times New Roman" w:hAnsi="Arial" w:cs="Arial"/>
          <w:b/>
          <w:bCs/>
          <w:lang w:eastAsia="pl-PL"/>
        </w:rPr>
      </w:pPr>
      <w:r>
        <w:rPr>
          <w:rFonts w:ascii="Arial" w:eastAsia="Times New Roman" w:hAnsi="Arial" w:cs="Arial"/>
          <w:b/>
          <w:bCs/>
          <w:lang w:eastAsia="pl-PL"/>
        </w:rPr>
        <w:t>Podmiotowe środki dowodowe</w:t>
      </w:r>
    </w:p>
    <w:p>
      <w:pPr>
        <w:spacing w:after="0" w:line="360" w:lineRule="auto"/>
        <w:jc w:val="both"/>
        <w:rPr>
          <w:rFonts w:ascii="Arial" w:hAnsi="Arial" w:cs="Arial"/>
        </w:rPr>
      </w:pPr>
      <w:r>
        <w:rPr>
          <w:rFonts w:ascii="Arial" w:hAnsi="Arial" w:cs="Arial"/>
          <w:b/>
          <w:bCs/>
        </w:rPr>
        <w:t xml:space="preserve">1) Oświadczenie wykonawcy </w:t>
      </w:r>
      <w:r>
        <w:rPr>
          <w:rFonts w:ascii="Arial" w:hAnsi="Arial" w:cs="Arial"/>
        </w:rPr>
        <w:t xml:space="preserve">w zakresie art. 108 ust. 1 pkt 5 </w:t>
      </w:r>
      <w:proofErr w:type="spellStart"/>
      <w:r>
        <w:rPr>
          <w:rFonts w:ascii="Arial" w:hAnsi="Arial" w:cs="Arial"/>
        </w:rPr>
        <w:t>p.z.p</w:t>
      </w:r>
      <w:proofErr w:type="spellEnd"/>
      <w:r>
        <w:rPr>
          <w:rFonts w:ascii="Arial" w:hAnsi="Arial" w:cs="Arial"/>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rPr>
        <w:t>załącznik nr 4 do SWZ</w:t>
      </w:r>
      <w:r>
        <w:rPr>
          <w:rFonts w:ascii="Arial" w:hAnsi="Arial" w:cs="Arial"/>
        </w:rPr>
        <w:t xml:space="preserve">; </w:t>
      </w:r>
    </w:p>
    <w:p>
      <w:pPr>
        <w:spacing w:after="0" w:line="360" w:lineRule="auto"/>
        <w:jc w:val="both"/>
        <w:rPr>
          <w:rFonts w:ascii="Arial" w:hAnsi="Arial" w:cs="Arial"/>
        </w:rPr>
      </w:pPr>
      <w:r>
        <w:rPr>
          <w:rFonts w:ascii="Arial" w:hAnsi="Arial" w:cs="Arial"/>
          <w:b/>
          <w:bCs/>
        </w:rPr>
        <w:t>2) Odpis lub informacja z Krajowego Rejestru Sądowego lub z Centralnej Ewidencji i Informacji o Działalności Gospodarczej</w:t>
      </w:r>
      <w:r>
        <w:rPr>
          <w:rFonts w:ascii="Arial" w:hAnsi="Arial" w:cs="Arial"/>
        </w:rPr>
        <w:t xml:space="preserve">, w zakresie art. 109 ust. 1 pkt 4 p.z.p.22, sporządzonych nie wcześniej niż 3 miesiące przed jej złożeniem, jeżeli odrębne przepisy wymagają wpisu do rejestru lub ewidencji; </w:t>
      </w:r>
    </w:p>
    <w:p>
      <w:pPr>
        <w:spacing w:after="0" w:line="360" w:lineRule="auto"/>
        <w:jc w:val="both"/>
        <w:rPr>
          <w:rFonts w:ascii="Arial" w:hAnsi="Arial" w:cs="Arial"/>
        </w:rPr>
      </w:pPr>
      <w:r>
        <w:rPr>
          <w:rFonts w:ascii="Arial" w:hAnsi="Arial" w:cs="Arial"/>
          <w:b/>
          <w:bCs/>
        </w:rPr>
        <w:t xml:space="preserve">3) Wykaz dostaw wykonanych w okresie ostatnich 3 lat, </w:t>
      </w:r>
      <w:r>
        <w:rPr>
          <w:rFonts w:ascii="Arial" w:hAnsi="Arial" w:cs="Arial"/>
        </w:rPr>
        <w:t>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wzór wykazu dostaw stanowi Z</w:t>
      </w:r>
      <w:r>
        <w:rPr>
          <w:rFonts w:ascii="Arial" w:hAnsi="Arial" w:cs="Arial"/>
          <w:b/>
          <w:bCs/>
        </w:rPr>
        <w:t>ałącznik nr 5 do SWZ</w:t>
      </w:r>
      <w:r>
        <w:rPr>
          <w:rFonts w:ascii="Arial" w:hAnsi="Arial" w:cs="Arial"/>
        </w:rPr>
        <w:t xml:space="preserve">; </w:t>
      </w:r>
    </w:p>
    <w:p>
      <w:pPr>
        <w:spacing w:after="0" w:line="360" w:lineRule="auto"/>
        <w:jc w:val="both"/>
        <w:rPr>
          <w:rFonts w:ascii="Arial" w:hAnsi="Arial" w:cs="Arial"/>
          <w:color w:val="FF0000"/>
        </w:rPr>
      </w:pPr>
      <w:r>
        <w:rPr>
          <w:rFonts w:ascii="Arial" w:hAnsi="Arial" w:cs="Arial"/>
          <w:b/>
          <w:bCs/>
        </w:rPr>
        <w:t xml:space="preserve">4) Oświadczenie wykonawcy </w:t>
      </w:r>
      <w:r>
        <w:rPr>
          <w:rFonts w:ascii="Arial" w:hAnsi="Arial" w:cs="Arial"/>
        </w:rPr>
        <w:t xml:space="preserve">o aktualności informacji zawartych w oświadczeniu, o którym mowa w art. 125 ust. 1 </w:t>
      </w:r>
      <w:proofErr w:type="spellStart"/>
      <w:r>
        <w:rPr>
          <w:rFonts w:ascii="Arial" w:hAnsi="Arial" w:cs="Arial"/>
        </w:rPr>
        <w:t>p.z.p</w:t>
      </w:r>
      <w:proofErr w:type="spellEnd"/>
      <w:r>
        <w:rPr>
          <w:rFonts w:ascii="Arial" w:hAnsi="Arial" w:cs="Arial"/>
        </w:rPr>
        <w:t xml:space="preserve">. w zakresie odnoszącym się do podstaw wykluczenia wskazanych w art. 108 ust. 1 pkt 3-6 </w:t>
      </w:r>
      <w:proofErr w:type="spellStart"/>
      <w:r>
        <w:rPr>
          <w:rFonts w:ascii="Arial" w:hAnsi="Arial" w:cs="Arial"/>
        </w:rPr>
        <w:t>p.z.p</w:t>
      </w:r>
      <w:proofErr w:type="spellEnd"/>
      <w:r>
        <w:rPr>
          <w:rFonts w:ascii="Arial" w:hAnsi="Arial" w:cs="Arial"/>
        </w:rPr>
        <w:t xml:space="preserve">. oraz w zakresie podstaw wykluczenia wskazanych w art. 109 ust. 1 pkt 4 - 7 </w:t>
      </w:r>
      <w:proofErr w:type="spellStart"/>
      <w:r>
        <w:rPr>
          <w:rFonts w:ascii="Arial" w:hAnsi="Arial" w:cs="Arial"/>
        </w:rPr>
        <w:t>p.z.p</w:t>
      </w:r>
      <w:proofErr w:type="spellEnd"/>
      <w:r>
        <w:rPr>
          <w:rFonts w:ascii="Arial" w:hAnsi="Arial" w:cs="Arial"/>
        </w:rPr>
        <w:t xml:space="preserve">. - wzór oświadczenia stanowi </w:t>
      </w:r>
      <w:r>
        <w:rPr>
          <w:rFonts w:ascii="Arial" w:hAnsi="Arial" w:cs="Arial"/>
          <w:b/>
          <w:bCs/>
        </w:rPr>
        <w:t xml:space="preserve">Załącznik nr 6 do SWZ. </w:t>
      </w:r>
    </w:p>
    <w:p>
      <w:pPr>
        <w:spacing w:after="0" w:line="360" w:lineRule="auto"/>
        <w:jc w:val="both"/>
        <w:rPr>
          <w:rFonts w:ascii="Arial" w:hAnsi="Arial" w:cs="Arial"/>
        </w:rPr>
      </w:pPr>
      <w:r>
        <w:rPr>
          <w:rFonts w:ascii="Arial" w:hAnsi="Arial" w:cs="Arial"/>
          <w:b/>
          <w:bCs/>
        </w:rPr>
        <w:t xml:space="preserve">5) Informacja z Krajowego Rejestru Karnego </w:t>
      </w:r>
      <w:r>
        <w:rPr>
          <w:rFonts w:ascii="Arial" w:hAnsi="Arial" w:cs="Arial"/>
        </w:rPr>
        <w:t xml:space="preserve">w zakresie dotyczącym podstaw wykluczenia wskazanych w art. 108 ust. 1 pkt 1,2 i 4 </w:t>
      </w:r>
      <w:proofErr w:type="spellStart"/>
      <w:r>
        <w:rPr>
          <w:rFonts w:ascii="Arial" w:hAnsi="Arial" w:cs="Arial"/>
        </w:rPr>
        <w:t>p.z.p</w:t>
      </w:r>
      <w:proofErr w:type="spellEnd"/>
      <w:r>
        <w:rPr>
          <w:rFonts w:ascii="Arial" w:hAnsi="Arial" w:cs="Arial"/>
        </w:rPr>
        <w:t xml:space="preserve">. sporządzona nie wcześniej niż 6 miesięcy przed jej złożeniem.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4. W przypadku wspólnego ubiegania się o zamówienie przez Wykonawców oświadczenie, o którym mowa w ust. 1 niniejszego Rozdziału SWZ, składa każdy z Wykonawców. Oświadczenie to ma potwierdzać brak podstaw wykluczenia.</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5. Zamawiający wymaga od Wykonawcy złożenia w oświadczeniu, o którym mowa w ust. 1 niniejszego Rozdziału SWZ (Załącznik nr 2 do SWZ) oświadczenia, dotyczącego podwykonawcy niebędącego podmiotem udostępniającym zasoby, w zakresie podstaw wykluczenia, o których mowa w art.108 ust.1 oraz w art. 109 ust. 1 pkt 4, 5 i 7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
          <w:bCs/>
          <w:lang w:eastAsia="pl-PL"/>
        </w:rPr>
        <w:t xml:space="preserve">6. Uwaga! </w:t>
      </w:r>
      <w:r>
        <w:rPr>
          <w:rFonts w:ascii="Arial" w:eastAsia="Times New Roman" w:hAnsi="Arial" w:cs="Arial"/>
          <w:bCs/>
          <w:lang w:eastAsia="pl-PL"/>
        </w:rPr>
        <w:t>Oświadczenia, o których mowa powyżej należy złożyć, pod rygorem nieważności, w formie elektronicznej (tj. opatrzonej kwalifikowanym podpisem elektronicznym) lub w postaci elektronicznej opatrzonej podpisem zaufanym lub podpisem osobistym.</w:t>
      </w:r>
    </w:p>
    <w:p>
      <w:pPr>
        <w:autoSpaceDE w:val="0"/>
        <w:autoSpaceDN w:val="0"/>
        <w:adjustRightInd w:val="0"/>
        <w:spacing w:after="0" w:line="360" w:lineRule="auto"/>
        <w:jc w:val="both"/>
        <w:rPr>
          <w:rFonts w:ascii="Arial" w:eastAsia="Times New Roman" w:hAnsi="Arial" w:cs="Arial"/>
          <w:b/>
          <w:bCs/>
          <w:lang w:eastAsia="pl-PL"/>
        </w:rPr>
      </w:pPr>
      <w:r>
        <w:rPr>
          <w:rFonts w:ascii="Arial" w:eastAsia="Times New Roman" w:hAnsi="Arial" w:cs="Arial"/>
          <w:b/>
          <w:bCs/>
          <w:lang w:eastAsia="pl-PL"/>
        </w:rPr>
        <w:lastRenderedPageBreak/>
        <w:t xml:space="preserve">Przedmiotowe środki dowodowe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7. Zamawiający żąda złożenia wraz z ofertą przedmiotowych środków dowodowych na potwierdzenie zgodności ofertowanych dostaw z wymaganiami określonymi w opisie przedmiotu zamówienia:</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 potwierdzających wymagane parametry w oferowanych urządzeniach (np. karty katalogowe, firmowe materiały informacyjne producenta,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p>
    <w:p>
      <w:pPr>
        <w:autoSpaceDE w:val="0"/>
        <w:autoSpaceDN w:val="0"/>
        <w:adjustRightInd w:val="0"/>
        <w:spacing w:after="0" w:line="360" w:lineRule="auto"/>
        <w:jc w:val="both"/>
        <w:rPr>
          <w:rFonts w:ascii="Arial" w:eastAsia="Times New Roman" w:hAnsi="Arial" w:cs="Arial"/>
          <w:b/>
          <w:bCs/>
          <w:lang w:eastAsia="pl-PL"/>
        </w:rPr>
      </w:pPr>
      <w:r>
        <w:rPr>
          <w:rFonts w:ascii="Arial" w:eastAsia="Times New Roman" w:hAnsi="Arial" w:cs="Arial"/>
          <w:b/>
          <w:bCs/>
          <w:lang w:eastAsia="pl-PL"/>
        </w:rPr>
        <w:t>Uwaga:</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Przedmiotowe środki dowodowe muszą potwierdzić spełnienie minimalnych wymagań i parametrów dla oferowanych aparatów. Jeżeli Wykonawca wraz z ofertą nie złoży przedmiotowych środków dowodowych lub przedmiotowe środki dowodowe są niekompletne, Zamawiający wezwie do ich złożenia lub uzupełnienia w wyznaczonym terminie.</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Zamawiający akceptuje równoważne przedmiotowe środki dowodowe, jeżeli potwierdzają, że oferowane dostawy spełniają określone przez Zamawiającego wymagania. Zamawiający może żądać od Wykonawców wyjaśnień dotyczących treści przedmiotowych środków dowodowych. Zamawiający informuje, że nie wezwie do złożenia lub uzupełnienia przedmiotowych środków dowodowych, gdy mimo ich złożenia oferta podlega odrzuceniu albo zachodzą przesłanki unieważnienia postępowania.</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8. 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jeżeli wymagał ich złożenia w ogłoszeniu o zamówieniu lub dokumentach zamówienia, aktualnych na dzień ich złożenia.</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9.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10.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dane umożliwiające dostęp do tych środków.</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11. Wykonawca nie jest zobowiązany do złożenia podmiotowych środków dowodowych, które Zamawiający posiada, jeżeli Wykonawca wskaże te środki oraz potwierdzi ich prawidłowość i aktualność.</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12. Jeżeli w dokumentach składanych w postępowaniu, kwoty będą wyrażane w walucie obcej, kwoty te zostaną przeliczone na PLN wg średniego kursu PLN w stosunku do walut obcych </w:t>
      </w:r>
      <w:r>
        <w:rPr>
          <w:rFonts w:ascii="Arial" w:eastAsia="Times New Roman" w:hAnsi="Arial" w:cs="Arial"/>
          <w:bCs/>
          <w:lang w:eastAsia="pl-PL"/>
        </w:rPr>
        <w:lastRenderedPageBreak/>
        <w:t>ogłaszanego przez Narodowy Bank Polski (Tabela A kursów średnich walut obcych) w dniu zamieszczenia ogłoszenia w Biuletynie Zamówień Publicznych.</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13. Zamawiający żąda wskazania przez Wykonawcę, w ofercie, części zamówienia, których wykonanie zamierza powierzyć podwykonawcom, oraz podania nazw ewentualnych podwykonawców, jeżeli są już znani.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14.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a) Wykonawca nie jest zobowiązany do złożenia dokumentów, o których mowa w zdaniu pierwszym, jeżeli Zamawiający może uzyskać za pomocą bezpłatnych i ogólnodostępnych baz danych, o ile Wykonawca wskazał dane umożliwiające dostęp do tych dokumentów.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b) Jeżeli w imieniu Wykonawcy działa osoba, której umocowanie do jego reprezentowania nie wynika z dokumentów, o których mowa w zdaniu pierwszym, Zamawiający może żądać od Wykonawcy pełnomocnictwa lub innego dokumentu potwierdzającego umocowanie do reprezentowania Wykonawcy.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c) zapis z lit. b) powyżej stosuje się odpowiednio do osoby działającej w imieniu Wykonawców wspólnie ubiegających się o udzielenie zamówienia publicznego.</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d) zapis ust. 15 lit. a) i b) stosuje się odpowiednio do osoby działającej w imieniu podmiotu udostępniającego zasoby na zasadach określonych w art. 118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lub podwykonawcy nie będącego podmiotem udostępniającym zasoby na takich zasadach.</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15. W przypadku wskazania przez wykonawcę dostępności podmiotowych środków dowodowych lub dokumentów, o których mowa w ust. 15, pod określonymi adresami internetowymi ogólnodostępnych i bezpłatnych baz danych, zamawiający może żądać od wykonawcy przedstawienia tłumaczenia na język polski pobranych samodzielnie przez zamawiającego podmiotowych środków dowodowych lub dokumentów.</w:t>
      </w:r>
    </w:p>
    <w:p>
      <w:pPr>
        <w:autoSpaceDE w:val="0"/>
        <w:autoSpaceDN w:val="0"/>
        <w:adjustRightInd w:val="0"/>
        <w:spacing w:after="0" w:line="360" w:lineRule="auto"/>
        <w:jc w:val="both"/>
        <w:rPr>
          <w:rFonts w:ascii="Arial" w:eastAsia="Times New Roman" w:hAnsi="Arial" w:cs="Arial"/>
          <w:b/>
          <w:bCs/>
          <w:lang w:eastAsia="pl-PL"/>
        </w:rPr>
      </w:pPr>
      <w:r>
        <w:rPr>
          <w:rFonts w:ascii="Arial" w:eastAsia="Times New Roman" w:hAnsi="Arial" w:cs="Arial"/>
          <w:b/>
          <w:bCs/>
          <w:lang w:eastAsia="pl-PL"/>
        </w:rPr>
        <w:t>16. Dokumenty podmiotów zagranicznych:</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1) Jeżeli Wykonawca ma siedzibę lub miejsce zamieszkania poza granicami Rzeczypospolitej Polskiej, zamiast dokumentów, o których mowa w Rozdziale 7 ust. 6 pkt 1) lit. a) SWZ:</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a) składa dokument lub dokumenty wystawione w kraju, w którym Wykonawca ma siedzibę lub miejsce zamieszkania, potwierdzające odpowiednio, że:</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2) Jeżeli w kraju, w którym Wykonawca ma siedzibę lub miejsce zamieszkania, nie wydaje się dokumentów, o których mowa w ust. 16 pkt. 1) lit. a) powyżej, lub gdy dokumenty te nie odnoszą się do wszystkich przypadków, o których mowa w art. 108 ust 1 pkt 1, 2 i 4, art. 109 ust 1 pkt 1, 2 lit a i </w:t>
      </w:r>
      <w:r>
        <w:rPr>
          <w:rFonts w:ascii="Arial" w:eastAsia="Times New Roman" w:hAnsi="Arial" w:cs="Arial"/>
          <w:bCs/>
          <w:lang w:eastAsia="pl-PL"/>
        </w:rPr>
        <w:lastRenderedPageBreak/>
        <w:t xml:space="preserve">b oraz pkt 3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Dokumenty, o których mowa w zdaniach poprzedzających powinny być wystawione w terminach odpowiednich dla dokumentów wymienionych w ust. 16 pkt. 1) lit. a) powyżej.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17.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 oferta Wykonawcy podlega odrzuceniu bez względu na ich złożenie, uzupełnienie lub poprawienie lub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2) zachodzą przesłanki unieważnienia postępowania.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18. Wykonawca składa podmiotowe środki dowodowe na wezwanie, o którym mowa w ust. 19, aktualne na dzień ich złożenia.</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19. Zamawiający może żądać od Wykonawców wyjaśnień dotyczących treści oświadczenia, o którym mowa w art. 125 ust. 1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lub złożonych podmiotowych środków dowodowych lub innych dokumentów lub oświadczeń składanych w postępowaniu.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20. Jeżeli złożone przez Wykonawcę oświadczenie, o którym mowa w art. 125 ust. 1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21. Podmiotowe środki dowodowe, o których mowa w niniejszym Rozdziale SWZ przekazuje się za pośrednictwem Platformy zakupowej dostępnej pod adresem  </w:t>
      </w:r>
      <w:hyperlink r:id="rId14" w:history="1">
        <w:r>
          <w:rPr>
            <w:rStyle w:val="Hipercze"/>
            <w:rFonts w:ascii="Arial" w:eastAsia="Times New Roman" w:hAnsi="Arial" w:cs="Arial"/>
            <w:b/>
            <w:bCs/>
            <w:i/>
            <w:iCs/>
            <w:lang w:eastAsia="pl-PL"/>
          </w:rPr>
          <w:t>https://platformazakupowa.pl/pn/szpitalbrodnica</w:t>
        </w:r>
      </w:hyperlink>
      <w:r>
        <w:rPr>
          <w:rFonts w:ascii="Arial" w:eastAsia="Times New Roman" w:hAnsi="Arial" w:cs="Arial"/>
          <w:bCs/>
          <w:lang w:eastAsia="pl-PL"/>
        </w:rPr>
        <w:t xml:space="preserve"> poprzez „Wyślij wiadomość do zamawiającego”.</w:t>
      </w:r>
    </w:p>
    <w:p>
      <w:pPr>
        <w:spacing w:after="0" w:line="360" w:lineRule="auto"/>
        <w:rPr>
          <w:rFonts w:ascii="Arial" w:eastAsia="Times New Roman" w:hAnsi="Arial" w:cs="Arial"/>
          <w:bCs/>
          <w:lang w:eastAsia="pl-PL"/>
        </w:rPr>
      </w:pPr>
      <w:r>
        <w:rPr>
          <w:rFonts w:ascii="Arial" w:eastAsia="Times New Roman" w:hAnsi="Arial" w:cs="Arial"/>
          <w:bCs/>
          <w:lang w:eastAsia="pl-PL"/>
        </w:rPr>
        <w:t>22. Szczegółowe zasady dotyczące sporządzania podmiotowych środków dowodowych, znajdują się w Rozdziale 15 SWZ.</w:t>
      </w:r>
    </w:p>
    <w:p>
      <w:pPr>
        <w:spacing w:after="0" w:line="360" w:lineRule="auto"/>
        <w:rPr>
          <w:rFonts w:ascii="Times New Roman" w:eastAsia="Times New Roman" w:hAnsi="Times New Roman" w:cs="Times New Roman"/>
          <w:sz w:val="24"/>
          <w:szCs w:val="24"/>
          <w:lang w:eastAsia="pl-PL"/>
        </w:rPr>
      </w:pPr>
    </w:p>
    <w:p>
      <w:pPr>
        <w:spacing w:after="0" w:line="360" w:lineRule="auto"/>
        <w:jc w:val="both"/>
        <w:rPr>
          <w:rFonts w:ascii="Arial" w:hAnsi="Arial" w:cs="Arial"/>
        </w:rPr>
      </w:pPr>
      <w:r>
        <w:rPr>
          <w:rFonts w:ascii="Arial" w:hAnsi="Arial" w:cs="Arial"/>
          <w:b/>
          <w:bCs/>
        </w:rPr>
        <w:t xml:space="preserve">X. POLEGANIE NA ZASOBACH INNYCH PODMIOTÓW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pPr>
        <w:spacing w:after="0" w:line="360" w:lineRule="auto"/>
        <w:jc w:val="both"/>
        <w:rPr>
          <w:rFonts w:ascii="Arial" w:hAnsi="Arial" w:cs="Arial"/>
        </w:rPr>
      </w:pPr>
      <w:r>
        <w:rPr>
          <w:rFonts w:ascii="Arial" w:hAnsi="Arial" w:cs="Arial"/>
          <w:b/>
          <w:bCs/>
        </w:rPr>
        <w:lastRenderedPageBreak/>
        <w:t xml:space="preserve">2. </w:t>
      </w:r>
      <w:r>
        <w:rPr>
          <w:rFonts w:ascii="Arial" w:hAnsi="Arial" w:cs="Arial"/>
        </w:rPr>
        <w:t xml:space="preserve">Wymagania dotyczące polegania na zdolnościach lub sytuacjach innych podmiotów, o których mowa w ust.1: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składa wraz z ofertą zobowiązanie innego podmiotu do udostępnienia niezbędnych zasobów Wykonawcy - zgodnie z </w:t>
      </w:r>
      <w:r>
        <w:rPr>
          <w:rFonts w:ascii="Arial" w:hAnsi="Arial" w:cs="Arial"/>
          <w:b/>
          <w:bCs/>
        </w:rPr>
        <w:t>Załącznikiem nr 3 do SWZ</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składa wraz z ofertą </w:t>
      </w:r>
      <w:r>
        <w:rPr>
          <w:rFonts w:ascii="Arial" w:hAnsi="Arial" w:cs="Arial"/>
          <w:b/>
          <w:bCs/>
        </w:rPr>
        <w:t xml:space="preserve">Jednolity Europejski Dokument Zamówienia (ESPD) </w:t>
      </w:r>
      <w:r>
        <w:rPr>
          <w:rFonts w:ascii="Arial" w:hAnsi="Arial" w:cs="Arial"/>
        </w:rPr>
        <w:t>dotyczący tych podmiotów, w zakresie wskazanym w Części II Sekcji C ESPD (</w:t>
      </w:r>
      <w:r>
        <w:rPr>
          <w:rFonts w:ascii="Arial" w:hAnsi="Arial" w:cs="Arial"/>
          <w:i/>
          <w:iCs/>
        </w:rPr>
        <w:t>Informacje na temat polegania na zdolności innych podmiotów</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w terminie określonym w Rozdziale IX ust. 3 SWZ, przedkłada w odniesieniu do tych podmiotów oświadczenia i dokumenty tam wskazane.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lastRenderedPageBreak/>
        <w:t xml:space="preserve">XI. INFORMACJA DLA WYKONAWCÓW WSPÓLNIE UBIEGAJĄCYCH SIĘ O UDZIELENIE ZAMÓWIENIA (SPÓŁKI CYWILNE/ KONSORCJA)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Wykonawcy wspólnie ubiegający się o udzielenie zamówienia wskazują w formularzu oferty, które dostawy wykonają poszczególni wykonawcy.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XII. SPOSÓB KOMUNIKACJI ORAZ WYJAŚNIENIA TREŚCI SWZ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 przedmiotowym postępowaniu komunikacja między Zamawiającym a Wykonawcami odbywa się przy użyciu następujących środków komunikacji elektronicznej: </w:t>
      </w:r>
    </w:p>
    <w:p>
      <w:pPr>
        <w:spacing w:after="0" w:line="360" w:lineRule="auto"/>
        <w:jc w:val="both"/>
        <w:rPr>
          <w:rFonts w:ascii="Arial" w:hAnsi="Arial" w:cs="Arial"/>
        </w:rPr>
      </w:pPr>
      <w:r>
        <w:rPr>
          <w:rFonts w:ascii="Arial" w:hAnsi="Arial" w:cs="Arial"/>
          <w:b/>
          <w:bCs/>
        </w:rPr>
        <w:t xml:space="preserve">1) Platformy </w:t>
      </w:r>
      <w:r>
        <w:rPr>
          <w:rFonts w:ascii="Arial" w:hAnsi="Arial" w:cs="Arial"/>
        </w:rPr>
        <w:t xml:space="preserve">do obsługi postępowań przetargowych, dostępnej pod adresem: </w:t>
      </w:r>
      <w:r>
        <w:rPr>
          <w:rFonts w:ascii="Arial" w:hAnsi="Arial" w:cs="Arial"/>
          <w:b/>
          <w:bCs/>
          <w:i/>
          <w:iCs/>
          <w:color w:val="000000"/>
        </w:rPr>
        <w:t>https://platformazakupowa.pl/pn/szpitalbrodnica</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poczty elektronicznej: </w:t>
      </w:r>
      <w:r>
        <w:rPr>
          <w:rFonts w:ascii="Arial" w:hAnsi="Arial" w:cs="Arial"/>
          <w:b/>
        </w:rPr>
        <w:t>zamówienia.publiczne@zozbrodnica.pl</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 z zastrzeżeniem, iż oferta, w tym Jednolity Europejski Dokument Zamówienia (ESPD) mogą zostać przekazane wyłącznie za pomocą powyższej Platformy. </w:t>
      </w:r>
    </w:p>
    <w:p>
      <w:pPr>
        <w:spacing w:after="0" w:line="360" w:lineRule="auto"/>
        <w:jc w:val="both"/>
        <w:rPr>
          <w:rFonts w:ascii="Arial" w:hAnsi="Arial" w:cs="Arial"/>
          <w:b/>
          <w:bCs/>
        </w:rPr>
      </w:pPr>
      <w:r>
        <w:rPr>
          <w:rFonts w:ascii="Arial" w:hAnsi="Arial" w:cs="Arial"/>
          <w:b/>
          <w:bCs/>
        </w:rPr>
        <w:t>2. Rejestracja na Platformie, w tym złożenie oferty, wymaga posiadanie przez Użytkownika aktywnego konta poczty elektronicznej (e-mail). Nie jest konieczne utworzenia Konta Użytkownika na Platformie zakupowej. 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Rejestracja i korzystanie z Platformy jest bezpłatne. Dokonując rejestracji Wykonawca akceptuje regulamin korzystania z Platformy.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Zgodnie z § 11 ust. 2 </w:t>
      </w:r>
      <w:proofErr w:type="spellStart"/>
      <w:r>
        <w:rPr>
          <w:rFonts w:ascii="Arial" w:hAnsi="Arial" w:cs="Arial"/>
        </w:rPr>
        <w:t>r.d.e</w:t>
      </w:r>
      <w:proofErr w:type="spellEnd"/>
      <w:r>
        <w:rPr>
          <w:rFonts w:ascii="Arial" w:hAnsi="Arial" w:cs="Arial"/>
        </w:rPr>
        <w:t xml:space="preserve">. Zamawiający udostępnia poniżej informacje na temat specyfikacji połączenia, formatu przesyłanych danych oraz szyfrowania i oznaczania czasu przekazania i odbioru danych. Wymagania techniczne związane z korzystaniem z Platformy: </w:t>
      </w:r>
    </w:p>
    <w:p>
      <w:pPr>
        <w:spacing w:after="0" w:line="360" w:lineRule="auto"/>
        <w:jc w:val="both"/>
        <w:rPr>
          <w:rFonts w:ascii="Arial" w:hAnsi="Arial" w:cs="Arial"/>
          <w:b/>
          <w:bCs/>
        </w:rPr>
      </w:pPr>
      <w:r>
        <w:rPr>
          <w:rFonts w:ascii="Arial" w:hAnsi="Arial" w:cs="Arial"/>
          <w:b/>
          <w:bCs/>
        </w:rPr>
        <w:t xml:space="preserve">Komunikacja między Zamawiającym a Wykonawcą, w tym składanie ofert, wniosków, przekazywanie dokumentów lub oświadczeń, odbywa się przy użyciu środków komunikacji </w:t>
      </w:r>
      <w:r>
        <w:rPr>
          <w:rFonts w:ascii="Arial" w:hAnsi="Arial" w:cs="Arial"/>
          <w:b/>
          <w:bCs/>
        </w:rPr>
        <w:lastRenderedPageBreak/>
        <w:t>elektronicznej. Każdy Wykonawca ma prawo zwrócenia się do Zamawiającego za pomocą formularza „Wyślij wiadomość” dostępnego na Platformie zakupowej lub w wyjątkowych wypadkach (m.in. brak dostępu do Platformy zakupowej z powodu awarii) za pomocą poczty e-mail.</w:t>
      </w:r>
      <w:r>
        <w:rPr>
          <w:rFonts w:ascii="Arial" w:hAnsi="Arial" w:cs="Arial"/>
          <w:b/>
          <w:bCs/>
          <w:u w:val="single"/>
        </w:rPr>
        <w:t xml:space="preserve"> </w:t>
      </w:r>
    </w:p>
    <w:p>
      <w:pPr>
        <w:spacing w:after="0" w:line="360" w:lineRule="auto"/>
        <w:jc w:val="both"/>
        <w:rPr>
          <w:rFonts w:ascii="Arial" w:hAnsi="Arial" w:cs="Arial"/>
        </w:rPr>
      </w:pPr>
      <w:r>
        <w:rPr>
          <w:rFonts w:ascii="Arial" w:hAnsi="Arial" w:cs="Arial"/>
          <w:b/>
          <w:bCs/>
        </w:rPr>
        <w:t xml:space="preserve">5. Osobą uprawnioną przez Zamawiającego do porozumiewania się z Wykonawcami jest: </w:t>
      </w:r>
    </w:p>
    <w:p>
      <w:pPr>
        <w:spacing w:after="0" w:line="360" w:lineRule="auto"/>
        <w:jc w:val="both"/>
        <w:rPr>
          <w:rFonts w:ascii="Arial" w:hAnsi="Arial" w:cs="Arial"/>
        </w:rPr>
      </w:pPr>
      <w:r>
        <w:rPr>
          <w:rFonts w:ascii="Arial" w:hAnsi="Arial" w:cs="Arial"/>
          <w:b/>
          <w:bCs/>
        </w:rPr>
        <w:t xml:space="preserve">1) w zakresie proceduralnym: </w:t>
      </w:r>
    </w:p>
    <w:p>
      <w:pPr>
        <w:spacing w:after="0" w:line="360" w:lineRule="auto"/>
        <w:jc w:val="both"/>
        <w:rPr>
          <w:rFonts w:ascii="Arial" w:hAnsi="Arial" w:cs="Arial"/>
          <w:b/>
          <w:bCs/>
        </w:rPr>
      </w:pPr>
      <w:r>
        <w:rPr>
          <w:rFonts w:ascii="Arial" w:hAnsi="Arial" w:cs="Arial"/>
          <w:b/>
          <w:bCs/>
        </w:rPr>
        <w:t xml:space="preserve">Lucyna Gruszkowska, Joanna Błażej - tel. 56 668 91 20; </w:t>
      </w:r>
    </w:p>
    <w:p>
      <w:pPr>
        <w:spacing w:after="0" w:line="360" w:lineRule="auto"/>
        <w:jc w:val="both"/>
        <w:rPr>
          <w:rFonts w:ascii="Arial" w:hAnsi="Arial" w:cs="Arial"/>
        </w:rPr>
      </w:pPr>
      <w:r>
        <w:rPr>
          <w:rFonts w:ascii="Arial" w:hAnsi="Arial" w:cs="Arial"/>
          <w:b/>
          <w:bCs/>
        </w:rPr>
        <w:t xml:space="preserve">2) w zakresie merytorycznym: </w:t>
      </w:r>
    </w:p>
    <w:p>
      <w:pPr>
        <w:spacing w:after="0" w:line="360" w:lineRule="auto"/>
        <w:jc w:val="both"/>
        <w:rPr>
          <w:rFonts w:ascii="Arial" w:hAnsi="Arial" w:cs="Arial"/>
          <w:b/>
          <w:bCs/>
        </w:rPr>
      </w:pPr>
      <w:r>
        <w:rPr>
          <w:rFonts w:ascii="Arial" w:hAnsi="Arial" w:cs="Arial"/>
          <w:b/>
          <w:bCs/>
        </w:rPr>
        <w:t>Maciej Linda, tel. 56 668 92 15;</w:t>
      </w:r>
    </w:p>
    <w:p>
      <w:pPr>
        <w:spacing w:after="0" w:line="360" w:lineRule="auto"/>
        <w:jc w:val="both"/>
        <w:rPr>
          <w:rFonts w:ascii="Arial" w:hAnsi="Arial" w:cs="Arial"/>
        </w:rPr>
      </w:pPr>
      <w:r>
        <w:rPr>
          <w:rFonts w:ascii="Arial" w:hAnsi="Arial" w:cs="Arial"/>
          <w:b/>
          <w:bCs/>
        </w:rPr>
        <w:t xml:space="preserve">6. </w:t>
      </w:r>
      <w:r>
        <w:rPr>
          <w:rFonts w:ascii="Arial" w:hAnsi="Arial" w:cs="Arial"/>
        </w:rPr>
        <w:t xml:space="preserve">W korespondencji kierowanej do Zamawiającego Wykonawcy powinni posługiwać się numerem przedmiotowego postępowania. </w:t>
      </w:r>
    </w:p>
    <w:p>
      <w:pPr>
        <w:spacing w:after="0" w:line="360" w:lineRule="auto"/>
        <w:jc w:val="both"/>
        <w:rPr>
          <w:rFonts w:ascii="Arial" w:hAnsi="Arial" w:cs="Arial"/>
        </w:rPr>
      </w:pPr>
      <w:r>
        <w:rPr>
          <w:rFonts w:ascii="Arial" w:hAnsi="Arial" w:cs="Arial"/>
          <w:b/>
          <w:bCs/>
        </w:rPr>
        <w:t xml:space="preserve">7. </w:t>
      </w:r>
      <w:r>
        <w:rPr>
          <w:rFonts w:ascii="Arial" w:hAnsi="Arial" w:cs="Arial"/>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pPr>
        <w:spacing w:after="0" w:line="360" w:lineRule="auto"/>
        <w:jc w:val="both"/>
        <w:rPr>
          <w:rFonts w:ascii="Arial" w:hAnsi="Arial" w:cs="Arial"/>
        </w:rPr>
      </w:pPr>
      <w:r>
        <w:rPr>
          <w:rFonts w:ascii="Arial" w:hAnsi="Arial" w:cs="Arial"/>
          <w:b/>
          <w:bCs/>
        </w:rPr>
        <w:t xml:space="preserve">8. </w:t>
      </w:r>
      <w:r>
        <w:rPr>
          <w:rFonts w:ascii="Arial" w:hAnsi="Arial" w:cs="Arial"/>
        </w:rPr>
        <w:t xml:space="preserve">W uzasadnionych przypadkach Zamawiający może przed upływem terminu składania ofert zmienić treść SWZ.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XIII. OPIS SPOSOBU PRZYGOTOWANIA OFERT ORAZ WYMAGANIA FORMALNE DOTYCZĄCE SKŁADANYCH OŚWIADCZEŃ I DOKUMENTÓW </w:t>
      </w:r>
    </w:p>
    <w:p>
      <w:pPr>
        <w:spacing w:after="0" w:line="360" w:lineRule="auto"/>
        <w:jc w:val="both"/>
        <w:rPr>
          <w:rFonts w:ascii="Arial" w:hAnsi="Arial" w:cs="Arial"/>
        </w:rPr>
      </w:pPr>
      <w:r>
        <w:rPr>
          <w:rFonts w:ascii="Arial" w:hAnsi="Arial" w:cs="Arial"/>
          <w:b/>
          <w:bCs/>
        </w:rPr>
        <w:t xml:space="preserve">1. Wykonawca może złożyć tylko jedną ofertę. </w:t>
      </w:r>
    </w:p>
    <w:p>
      <w:pPr>
        <w:spacing w:after="0" w:line="360" w:lineRule="auto"/>
        <w:jc w:val="both"/>
        <w:rPr>
          <w:rFonts w:ascii="Arial" w:hAnsi="Arial" w:cs="Arial"/>
        </w:rPr>
      </w:pPr>
      <w:r>
        <w:rPr>
          <w:rFonts w:ascii="Arial" w:hAnsi="Arial" w:cs="Arial"/>
          <w:b/>
          <w:bCs/>
        </w:rPr>
        <w:t xml:space="preserve">2. Treść oferty musi odpowiadać treści SWZ.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Ofertę sporządza się w języku polskim na Formularzu Ofertowym - zgodnie z </w:t>
      </w:r>
      <w:r>
        <w:rPr>
          <w:rFonts w:ascii="Arial" w:hAnsi="Arial" w:cs="Arial"/>
          <w:b/>
          <w:bCs/>
        </w:rPr>
        <w:t>Załącznikiem nr 1 do SWZ</w:t>
      </w:r>
      <w:r>
        <w:rPr>
          <w:rFonts w:ascii="Arial" w:hAnsi="Arial" w:cs="Arial"/>
        </w:rPr>
        <w:t xml:space="preserve">. Wraz z ofertą Wykonawca jest zobowiązany złożyć: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oświadczenie w formie </w:t>
      </w:r>
      <w:r>
        <w:rPr>
          <w:rFonts w:ascii="Arial" w:hAnsi="Arial" w:cs="Arial"/>
          <w:b/>
        </w:rPr>
        <w:t>Jednolitego Europejskiego Dokumentu Zamówienia</w:t>
      </w:r>
      <w:r>
        <w:rPr>
          <w:rFonts w:ascii="Arial" w:hAnsi="Arial" w:cs="Arial"/>
        </w:rPr>
        <w:t xml:space="preserve"> (ESPD), o którym mowa w Rozdziale IX ust. 1 SWZ;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zobowiązanie innego podmiotu oraz oświadczenie w formie Jednolitego Europejskiego Dokumentu Zamówienia (ESPD), o których mowa w Rozdziale X ust. 3 pkt 1 i 2 SWZ (jeżeli dotyczy); </w:t>
      </w:r>
    </w:p>
    <w:p>
      <w:pPr>
        <w:spacing w:after="0" w:line="360" w:lineRule="auto"/>
        <w:jc w:val="both"/>
        <w:rPr>
          <w:rFonts w:ascii="Arial" w:hAnsi="Arial" w:cs="Arial"/>
        </w:rPr>
      </w:pPr>
      <w:r>
        <w:rPr>
          <w:rFonts w:ascii="Arial" w:hAnsi="Arial" w:cs="Arial"/>
          <w:b/>
          <w:bCs/>
        </w:rPr>
        <w:t xml:space="preserve">3) </w:t>
      </w:r>
      <w:r>
        <w:rPr>
          <w:rFonts w:ascii="Arial" w:hAnsi="Arial" w:cs="Arial"/>
          <w:b/>
        </w:rPr>
        <w:t>dowód wniesienia wadium</w:t>
      </w:r>
      <w:r>
        <w:rPr>
          <w:rFonts w:ascii="Arial" w:hAnsi="Arial" w:cs="Arial"/>
        </w:rPr>
        <w:t xml:space="preserve"> (w przypadku wadium złożonego w formie poręczeń lub gwarancji); </w:t>
      </w:r>
    </w:p>
    <w:p>
      <w:pPr>
        <w:spacing w:after="0" w:line="360" w:lineRule="auto"/>
        <w:jc w:val="both"/>
        <w:rPr>
          <w:rFonts w:ascii="Arial" w:hAnsi="Arial" w:cs="Arial"/>
        </w:rPr>
      </w:pPr>
      <w:r>
        <w:rPr>
          <w:rFonts w:ascii="Arial" w:hAnsi="Arial" w:cs="Arial"/>
          <w:b/>
          <w:bCs/>
        </w:rPr>
        <w:t xml:space="preserve">4) </w:t>
      </w:r>
      <w:r>
        <w:rPr>
          <w:rFonts w:ascii="Arial" w:hAnsi="Arial" w:cs="Arial"/>
        </w:rPr>
        <w:t>dokumenty, z których wynika prawo do podpisania oferty; odpowiednie pełnomocnictwa (jeżeli dotyczy),</w:t>
      </w:r>
    </w:p>
    <w:p>
      <w:pPr>
        <w:spacing w:after="0" w:line="360" w:lineRule="auto"/>
        <w:jc w:val="both"/>
        <w:rPr>
          <w:rFonts w:ascii="Arial" w:hAnsi="Arial" w:cs="Arial"/>
          <w:b/>
        </w:rPr>
      </w:pPr>
      <w:r>
        <w:rPr>
          <w:rFonts w:ascii="Arial" w:hAnsi="Arial" w:cs="Arial"/>
          <w:b/>
        </w:rPr>
        <w:lastRenderedPageBreak/>
        <w:t>5)</w:t>
      </w:r>
      <w:r>
        <w:rPr>
          <w:rFonts w:ascii="Arial" w:hAnsi="Arial" w:cs="Arial"/>
        </w:rPr>
        <w:t xml:space="preserve"> wypełniony i podpisany </w:t>
      </w:r>
      <w:r>
        <w:rPr>
          <w:rFonts w:ascii="Arial" w:hAnsi="Arial" w:cs="Arial"/>
          <w:b/>
        </w:rPr>
        <w:t>formularz parametrów technicznych stanowiący załącznik nr 1A do SWZ,</w:t>
      </w:r>
    </w:p>
    <w:p>
      <w:pPr>
        <w:spacing w:after="0" w:line="360" w:lineRule="auto"/>
        <w:jc w:val="both"/>
        <w:rPr>
          <w:rFonts w:ascii="Arial" w:hAnsi="Arial" w:cs="Arial"/>
        </w:rPr>
      </w:pPr>
      <w:r>
        <w:rPr>
          <w:rFonts w:ascii="Arial" w:hAnsi="Arial" w:cs="Arial"/>
          <w:b/>
        </w:rPr>
        <w:t xml:space="preserve">6) foldery, katalogi, instrukcje – </w:t>
      </w:r>
      <w:r>
        <w:rPr>
          <w:rFonts w:ascii="Arial" w:hAnsi="Arial" w:cs="Arial"/>
        </w:rPr>
        <w:t>dokumenty potwierdzające oferowane parametry,</w:t>
      </w:r>
    </w:p>
    <w:p>
      <w:pPr>
        <w:spacing w:after="0" w:line="360" w:lineRule="auto"/>
        <w:jc w:val="both"/>
        <w:rPr>
          <w:rFonts w:ascii="Arial" w:hAnsi="Arial" w:cs="Arial"/>
        </w:rPr>
      </w:pPr>
      <w:r>
        <w:rPr>
          <w:rFonts w:ascii="Arial" w:hAnsi="Arial" w:cs="Arial"/>
        </w:rPr>
        <w:t>7) oświadczenie wykonawcy/wykonawcy wspólnie ubiegającego się o udzielenie zamówienia dotyczące przesłanek wykluczenia z art. art. 7 ust. 1 ustawy o szczególnych rozwiązaniach w zakresie przeciwdziałania wspieraniu agresji na Ukrainę oraz służących ochronie bezpieczeństwa narodowego – Załącznik nr 8 do SWZ,</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Oferta oraz pozostałe oświadczenia i dokumenty, dla których Zamawiający określił wzory w formie formularzy zamieszczonych w załącznikach do SWZ, powinny być sporządzone zgodnie z tymi wzorami.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 </w:t>
      </w:r>
    </w:p>
    <w:p>
      <w:pPr>
        <w:spacing w:after="0" w:line="360" w:lineRule="auto"/>
        <w:jc w:val="both"/>
        <w:rPr>
          <w:rFonts w:ascii="Arial" w:hAnsi="Arial" w:cs="Arial"/>
        </w:rPr>
      </w:pPr>
      <w:r>
        <w:rPr>
          <w:rFonts w:ascii="Arial" w:hAnsi="Arial" w:cs="Arial"/>
          <w:b/>
          <w:bCs/>
        </w:rPr>
        <w:t xml:space="preserve">6. Ofertę, w tym Jednolity Europejski Dokument Zamówienia (ESPD), sporządza się, pod rygorem nieważności, w formie elektronicznej (podpisanej kwalifikowanym podpisem elektronicznym). </w:t>
      </w:r>
    </w:p>
    <w:p>
      <w:pPr>
        <w:spacing w:after="0" w:line="360" w:lineRule="auto"/>
        <w:jc w:val="both"/>
        <w:rPr>
          <w:rFonts w:ascii="Arial" w:hAnsi="Arial" w:cs="Arial"/>
        </w:rPr>
      </w:pPr>
      <w:r>
        <w:rPr>
          <w:rFonts w:ascii="Arial" w:hAnsi="Arial" w:cs="Arial"/>
          <w:b/>
          <w:bCs/>
        </w:rPr>
        <w:t xml:space="preserve">7. </w:t>
      </w:r>
      <w:r>
        <w:rPr>
          <w:rFonts w:ascii="Arial" w:hAnsi="Arial" w:cs="Arial"/>
        </w:rPr>
        <w:t xml:space="preserve">W celu złożenia oferty należy zarejestrować (zalogować) się na Platformie oraz postępując zgodnie z instrukcją lub filmem instruktażowym umieścić ofertę w systemie. </w:t>
      </w:r>
    </w:p>
    <w:p>
      <w:pPr>
        <w:spacing w:after="0" w:line="360" w:lineRule="auto"/>
        <w:jc w:val="both"/>
        <w:rPr>
          <w:rFonts w:ascii="Arial" w:hAnsi="Arial" w:cs="Arial"/>
        </w:rPr>
      </w:pPr>
      <w:r>
        <w:rPr>
          <w:rFonts w:ascii="Arial" w:hAnsi="Arial" w:cs="Arial"/>
          <w:b/>
          <w:bCs/>
        </w:rPr>
        <w:t xml:space="preserve">8. </w:t>
      </w:r>
      <w:r>
        <w:rPr>
          <w:rFonts w:ascii="Arial" w:hAnsi="Arial" w:cs="Arial"/>
        </w:rPr>
        <w:t xml:space="preserve">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w:t>
      </w:r>
    </w:p>
    <w:p>
      <w:pPr>
        <w:spacing w:after="0" w:line="360" w:lineRule="auto"/>
        <w:jc w:val="both"/>
        <w:rPr>
          <w:rFonts w:ascii="Arial" w:hAnsi="Arial" w:cs="Arial"/>
        </w:rPr>
      </w:pPr>
      <w:r>
        <w:rPr>
          <w:rFonts w:ascii="Arial" w:hAnsi="Arial" w:cs="Arial"/>
          <w:b/>
          <w:bCs/>
        </w:rPr>
        <w:t xml:space="preserve">9. </w:t>
      </w:r>
      <w:r>
        <w:rPr>
          <w:rFonts w:ascii="Arial" w:hAnsi="Arial" w:cs="Arial"/>
        </w:rPr>
        <w:t xml:space="preserve">Wszystkie koszty związane z uczestnictwem w postępowaniu, w szczególności z przygotowaniem i złożeniem ofert ponosi Wykonawca składający ofertę. Zamawiający nie przewiduje zwrotu kosztów udziału w postępowaniu. </w:t>
      </w:r>
    </w:p>
    <w:p>
      <w:pPr>
        <w:spacing w:after="0" w:line="360" w:lineRule="auto"/>
        <w:jc w:val="both"/>
        <w:rPr>
          <w:rFonts w:ascii="Arial" w:hAnsi="Arial" w:cs="Arial"/>
        </w:rPr>
      </w:pPr>
      <w:r>
        <w:rPr>
          <w:rFonts w:ascii="Arial" w:hAnsi="Arial" w:cs="Arial"/>
          <w:b/>
          <w:bCs/>
        </w:rPr>
        <w:t xml:space="preserve">10. </w:t>
      </w:r>
      <w:r>
        <w:rPr>
          <w:rFonts w:ascii="Arial" w:hAnsi="Arial" w:cs="Arial"/>
        </w:rPr>
        <w:t xml:space="preserve">Dokumenty lub oświadczenia, o których mowa w rozporządzeniu w sprawie dokumentów, sporządzone w języku obcym są składane wraz z tłumaczeniem na język polski.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XIV. OPIS SPOSOBU OBLICZENIA CENY OFERTY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Wykonawca podaje cenę ofertową brutto na Formularzu Ofertowym, stanowiącym </w:t>
      </w:r>
      <w:r>
        <w:rPr>
          <w:rFonts w:ascii="Arial" w:hAnsi="Arial" w:cs="Arial"/>
          <w:b/>
          <w:bCs/>
        </w:rPr>
        <w:t>Załącznik nr 1 do SWZ</w:t>
      </w:r>
      <w:r>
        <w:rPr>
          <w:rFonts w:ascii="Arial" w:hAnsi="Arial" w:cs="Arial"/>
        </w:rPr>
        <w:t>.</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zamontowania oraz uruchomienia. Stawka podatku VAT w przedmiotowym postępowaniu wynosi 8% i 23%. </w:t>
      </w:r>
    </w:p>
    <w:p>
      <w:pPr>
        <w:spacing w:after="0" w:line="360" w:lineRule="auto"/>
        <w:jc w:val="both"/>
        <w:rPr>
          <w:rFonts w:ascii="Arial" w:hAnsi="Arial" w:cs="Arial"/>
        </w:rPr>
      </w:pPr>
      <w:r>
        <w:rPr>
          <w:rFonts w:ascii="Arial" w:hAnsi="Arial" w:cs="Arial"/>
          <w:b/>
          <w:bCs/>
        </w:rPr>
        <w:lastRenderedPageBreak/>
        <w:t xml:space="preserve">3. </w:t>
      </w:r>
      <w:r>
        <w:rPr>
          <w:rFonts w:ascii="Arial" w:hAnsi="Arial" w:cs="Arial"/>
        </w:rPr>
        <w:t xml:space="preserve">Cena oferty powinna być wyrażona w złotych polskich (PLN) z dokładnością do dwóch miejsc po przecinku. </w:t>
      </w:r>
    </w:p>
    <w:p>
      <w:pPr>
        <w:spacing w:after="0" w:line="360" w:lineRule="auto"/>
        <w:jc w:val="both"/>
        <w:rPr>
          <w:rFonts w:ascii="Arial" w:hAnsi="Arial" w:cs="Arial"/>
        </w:rPr>
      </w:pPr>
      <w:r>
        <w:rPr>
          <w:rFonts w:ascii="Arial" w:hAnsi="Arial" w:cs="Arial"/>
          <w:b/>
          <w:bCs/>
        </w:rPr>
        <w:t xml:space="preserve">4. Zamawiający nie przewiduje rozliczeń w walucie obcej. </w:t>
      </w:r>
    </w:p>
    <w:p>
      <w:pPr>
        <w:spacing w:after="0" w:line="360" w:lineRule="auto"/>
        <w:jc w:val="both"/>
        <w:rPr>
          <w:rFonts w:ascii="Arial" w:hAnsi="Arial" w:cs="Arial"/>
        </w:rPr>
      </w:pPr>
      <w:r>
        <w:rPr>
          <w:rFonts w:ascii="Arial" w:hAnsi="Arial" w:cs="Arial"/>
          <w:b/>
          <w:bCs/>
        </w:rPr>
        <w:t xml:space="preserve">5. Wyliczona cena oferty brutto będzie służyć do porównania złożonych ofert. </w:t>
      </w:r>
    </w:p>
    <w:p>
      <w:pPr>
        <w:spacing w:after="0" w:line="360" w:lineRule="auto"/>
        <w:jc w:val="both"/>
        <w:rPr>
          <w:rFonts w:ascii="Arial" w:hAnsi="Arial" w:cs="Arial"/>
        </w:rPr>
      </w:pPr>
      <w:r>
        <w:rPr>
          <w:rFonts w:ascii="Arial" w:hAnsi="Arial" w:cs="Arial"/>
          <w:b/>
          <w:bCs/>
        </w:rPr>
        <w:t xml:space="preserve">6. </w:t>
      </w:r>
      <w:r>
        <w:rPr>
          <w:rFonts w:ascii="Arial" w:hAnsi="Arial" w:cs="Aria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pPr>
        <w:spacing w:after="0" w:line="360" w:lineRule="auto"/>
        <w:jc w:val="both"/>
        <w:rPr>
          <w:rFonts w:ascii="Arial" w:hAnsi="Arial" w:cs="Arial"/>
        </w:rPr>
      </w:pPr>
      <w:r>
        <w:rPr>
          <w:rFonts w:ascii="Arial" w:hAnsi="Arial" w:cs="Arial"/>
          <w:b/>
          <w:bCs/>
        </w:rPr>
        <w:t xml:space="preserve">7. </w:t>
      </w:r>
      <w:r>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XV. WYMAGANIA DOTYCZĄCE WADIUM </w:t>
      </w:r>
    </w:p>
    <w:p>
      <w:pPr>
        <w:spacing w:after="0" w:line="360" w:lineRule="auto"/>
        <w:jc w:val="both"/>
        <w:rPr>
          <w:rFonts w:ascii="Arial" w:hAnsi="Arial" w:cs="Arial"/>
        </w:rPr>
      </w:pPr>
      <w:r>
        <w:rPr>
          <w:rFonts w:ascii="Arial" w:hAnsi="Arial" w:cs="Arial"/>
          <w:b/>
          <w:bCs/>
        </w:rPr>
        <w:t xml:space="preserve">1. </w:t>
      </w:r>
      <w:r>
        <w:rPr>
          <w:rFonts w:ascii="Arial" w:hAnsi="Arial" w:cs="Arial"/>
        </w:rPr>
        <w:t>Wykonawca zobowiązany jest do zabezpieczenia swojej oferty wadium w wysokości:</w:t>
      </w:r>
    </w:p>
    <w:p>
      <w:pPr>
        <w:numPr>
          <w:ilvl w:val="0"/>
          <w:numId w:val="28"/>
        </w:numPr>
        <w:contextualSpacing/>
        <w:rPr>
          <w:rFonts w:ascii="Arial" w:hAnsi="Arial" w:cs="Arial"/>
          <w:b/>
          <w:lang w:eastAsia="pl-PL"/>
        </w:rPr>
      </w:pPr>
      <w:r>
        <w:rPr>
          <w:rFonts w:ascii="Arial" w:hAnsi="Arial" w:cs="Arial"/>
          <w:b/>
          <w:lang w:eastAsia="pl-PL"/>
        </w:rPr>
        <w:t>Łóżka szpitalne dwusegmentowe z szafkami – 15 szt. i czterosegmentowe z ramami ortopedycznymi i szafkami – 17 szt. – 6.000,00 zł.</w:t>
      </w:r>
    </w:p>
    <w:p>
      <w:pPr>
        <w:numPr>
          <w:ilvl w:val="0"/>
          <w:numId w:val="28"/>
        </w:numPr>
        <w:spacing w:after="0" w:line="360" w:lineRule="auto"/>
        <w:contextualSpacing/>
        <w:jc w:val="both"/>
        <w:rPr>
          <w:rFonts w:ascii="Arial" w:hAnsi="Arial" w:cs="Arial"/>
          <w:b/>
          <w:lang w:eastAsia="pl-PL"/>
        </w:rPr>
      </w:pPr>
      <w:r>
        <w:rPr>
          <w:rFonts w:ascii="Arial" w:hAnsi="Arial" w:cs="Arial"/>
          <w:b/>
          <w:lang w:eastAsia="pl-PL"/>
        </w:rPr>
        <w:t>Łózka dziecięce – 10 szt. – 1.000,00 zł.</w:t>
      </w:r>
    </w:p>
    <w:p>
      <w:pPr>
        <w:numPr>
          <w:ilvl w:val="0"/>
          <w:numId w:val="28"/>
        </w:numPr>
        <w:spacing w:after="0" w:line="360" w:lineRule="auto"/>
        <w:contextualSpacing/>
        <w:jc w:val="both"/>
        <w:rPr>
          <w:rFonts w:ascii="Arial" w:hAnsi="Arial" w:cs="Arial"/>
          <w:b/>
          <w:lang w:eastAsia="pl-PL"/>
        </w:rPr>
      </w:pPr>
      <w:r>
        <w:rPr>
          <w:rFonts w:ascii="Arial" w:hAnsi="Arial" w:cs="Arial"/>
          <w:b/>
          <w:lang w:eastAsia="pl-PL"/>
        </w:rPr>
        <w:t>Łózka intensywnej terapii – 10 szt. – 10.000,00 zł.</w:t>
      </w:r>
    </w:p>
    <w:p>
      <w:pPr>
        <w:numPr>
          <w:ilvl w:val="0"/>
          <w:numId w:val="28"/>
        </w:numPr>
        <w:spacing w:after="0" w:line="360" w:lineRule="auto"/>
        <w:contextualSpacing/>
        <w:jc w:val="both"/>
        <w:rPr>
          <w:rFonts w:ascii="Arial" w:hAnsi="Arial" w:cs="Arial"/>
          <w:b/>
          <w:lang w:eastAsia="pl-PL"/>
        </w:rPr>
      </w:pPr>
      <w:r>
        <w:rPr>
          <w:rFonts w:ascii="Arial" w:hAnsi="Arial" w:cs="Arial"/>
          <w:b/>
          <w:lang w:eastAsia="pl-PL"/>
        </w:rPr>
        <w:t xml:space="preserve">Wózki transportowe – 4 szt. – 1.000,00 zł. </w:t>
      </w:r>
    </w:p>
    <w:p>
      <w:pPr>
        <w:numPr>
          <w:ilvl w:val="0"/>
          <w:numId w:val="28"/>
        </w:numPr>
        <w:spacing w:after="0" w:line="360" w:lineRule="auto"/>
        <w:contextualSpacing/>
        <w:jc w:val="both"/>
        <w:rPr>
          <w:rFonts w:ascii="Arial" w:hAnsi="Arial" w:cs="Arial"/>
          <w:b/>
          <w:lang w:eastAsia="pl-PL"/>
        </w:rPr>
      </w:pPr>
      <w:r>
        <w:rPr>
          <w:rFonts w:ascii="Arial" w:hAnsi="Arial" w:cs="Arial"/>
          <w:b/>
          <w:lang w:eastAsia="pl-PL"/>
        </w:rPr>
        <w:t>Łóżka porodowe – 2 szt. i fotele ginekologiczne – 2 szt. – 4.000,00 zł.</w:t>
      </w:r>
    </w:p>
    <w:p>
      <w:pPr>
        <w:numPr>
          <w:ilvl w:val="0"/>
          <w:numId w:val="28"/>
        </w:numPr>
        <w:spacing w:after="0" w:line="360" w:lineRule="auto"/>
        <w:contextualSpacing/>
        <w:jc w:val="both"/>
        <w:rPr>
          <w:rFonts w:ascii="Arial" w:hAnsi="Arial" w:cs="Arial"/>
          <w:b/>
          <w:lang w:eastAsia="pl-PL"/>
        </w:rPr>
      </w:pPr>
      <w:r>
        <w:rPr>
          <w:rFonts w:ascii="Arial" w:hAnsi="Arial" w:cs="Arial"/>
          <w:b/>
          <w:lang w:eastAsia="pl-PL"/>
        </w:rPr>
        <w:t>Stół do badań onkologicznych oraz biopsji – 1 szt. – 250,00 zł.</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Wadium wnosi się przed upływem terminu składania ofert i utrzymuje nieprzerwanie do dnia upływu terminu związania ofertą, z wyjątkiem przypadków, o których mowa w art. 98 ust. 1 pkt 2 i 3 oraz ust. 2.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Wadium może być wnoszone według wyboru Wykonawcy w jednej lub kilku następujących formach: </w:t>
      </w:r>
    </w:p>
    <w:p>
      <w:pPr>
        <w:spacing w:after="0" w:line="360" w:lineRule="auto"/>
        <w:jc w:val="both"/>
        <w:rPr>
          <w:rFonts w:ascii="Arial" w:hAnsi="Arial" w:cs="Arial"/>
        </w:rPr>
      </w:pPr>
      <w:r>
        <w:rPr>
          <w:rFonts w:ascii="Arial" w:hAnsi="Arial" w:cs="Arial"/>
          <w:b/>
          <w:bCs/>
        </w:rPr>
        <w:t xml:space="preserve">1) pieniądzu; </w:t>
      </w:r>
    </w:p>
    <w:p>
      <w:pPr>
        <w:spacing w:after="0" w:line="360" w:lineRule="auto"/>
        <w:jc w:val="both"/>
        <w:rPr>
          <w:rFonts w:ascii="Arial" w:hAnsi="Arial" w:cs="Arial"/>
        </w:rPr>
      </w:pPr>
      <w:r>
        <w:rPr>
          <w:rFonts w:ascii="Arial" w:hAnsi="Arial" w:cs="Arial"/>
          <w:b/>
          <w:bCs/>
        </w:rPr>
        <w:t xml:space="preserve">2) gwarancjach bankowych; </w:t>
      </w:r>
    </w:p>
    <w:p>
      <w:pPr>
        <w:spacing w:after="0" w:line="360" w:lineRule="auto"/>
        <w:jc w:val="both"/>
        <w:rPr>
          <w:rFonts w:ascii="Arial" w:hAnsi="Arial" w:cs="Arial"/>
        </w:rPr>
      </w:pPr>
      <w:r>
        <w:rPr>
          <w:rFonts w:ascii="Arial" w:hAnsi="Arial" w:cs="Arial"/>
          <w:b/>
          <w:bCs/>
        </w:rPr>
        <w:t xml:space="preserve">3) gwarancjach ubezpieczeniowych;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poręczeniach udzielanych przez podmioty, o których mowa w art. 6b ust. 5 pkt 2 ustawy z dnia 9 listopada 2000 r. o utworzeniu Polskiej Agencji Rozwoju Przedsiębiorczości (Dz. U. z 2020 r. poz. 299). </w:t>
      </w:r>
    </w:p>
    <w:p>
      <w:pPr>
        <w:spacing w:after="0" w:line="360" w:lineRule="auto"/>
        <w:jc w:val="both"/>
        <w:rPr>
          <w:rFonts w:ascii="Arial" w:hAnsi="Arial" w:cs="Arial"/>
          <w:b/>
          <w:bCs/>
          <w:i/>
          <w:iCs/>
        </w:rPr>
      </w:pPr>
      <w:r>
        <w:rPr>
          <w:rFonts w:ascii="Arial" w:hAnsi="Arial" w:cs="Arial"/>
          <w:b/>
          <w:bCs/>
        </w:rPr>
        <w:t xml:space="preserve">4. </w:t>
      </w:r>
      <w:r>
        <w:rPr>
          <w:rFonts w:ascii="Arial" w:hAnsi="Arial" w:cs="Arial"/>
        </w:rPr>
        <w:t xml:space="preserve">Wadium wnoszone w pieniądzu należy wpłacić przelewem na rachunek bankowy Zamawiającego: </w:t>
      </w:r>
    </w:p>
    <w:p>
      <w:pPr>
        <w:spacing w:after="0" w:line="360" w:lineRule="auto"/>
        <w:jc w:val="center"/>
        <w:rPr>
          <w:rFonts w:ascii="Arial" w:hAnsi="Arial" w:cs="Arial"/>
          <w:b/>
          <w:bCs/>
          <w:iCs/>
        </w:rPr>
      </w:pPr>
      <w:r>
        <w:rPr>
          <w:rFonts w:ascii="Arial" w:hAnsi="Arial" w:cs="Arial"/>
          <w:b/>
          <w:bCs/>
          <w:iCs/>
        </w:rPr>
        <w:lastRenderedPageBreak/>
        <w:t>Bank Spółdzielczy w Brodnicy</w:t>
      </w:r>
    </w:p>
    <w:p>
      <w:pPr>
        <w:spacing w:after="0" w:line="360" w:lineRule="auto"/>
        <w:jc w:val="center"/>
        <w:rPr>
          <w:rFonts w:ascii="Arial" w:hAnsi="Arial" w:cs="Arial"/>
          <w:b/>
          <w:bCs/>
          <w:iCs/>
        </w:rPr>
      </w:pPr>
      <w:r>
        <w:rPr>
          <w:rFonts w:ascii="Arial" w:hAnsi="Arial" w:cs="Arial"/>
          <w:b/>
          <w:bCs/>
          <w:iCs/>
        </w:rPr>
        <w:t>Nr rachunku  93  9484  1150  2200  0000  5733  0004</w:t>
      </w:r>
    </w:p>
    <w:p>
      <w:pPr>
        <w:spacing w:after="0" w:line="360" w:lineRule="auto"/>
        <w:jc w:val="center"/>
        <w:rPr>
          <w:rFonts w:ascii="Arial" w:hAnsi="Arial" w:cs="Arial"/>
          <w:b/>
          <w:bCs/>
          <w:i/>
          <w:iCs/>
        </w:rPr>
      </w:pPr>
      <w:r>
        <w:rPr>
          <w:rFonts w:ascii="Arial" w:hAnsi="Arial" w:cs="Arial"/>
          <w:b/>
          <w:bCs/>
          <w:i/>
          <w:iCs/>
        </w:rPr>
        <w:t>Z dopiskiem numeru postępowania: SZP.251.7.23</w:t>
      </w:r>
    </w:p>
    <w:p>
      <w:pPr>
        <w:spacing w:after="0" w:line="360" w:lineRule="auto"/>
        <w:jc w:val="both"/>
        <w:rPr>
          <w:rFonts w:ascii="Arial" w:hAnsi="Arial" w:cs="Arial"/>
        </w:rPr>
      </w:pPr>
      <w:r>
        <w:rPr>
          <w:rFonts w:ascii="Arial" w:hAnsi="Arial" w:cs="Arial"/>
          <w:b/>
          <w:bCs/>
        </w:rPr>
        <w:t xml:space="preserve">UWAGA: </w:t>
      </w:r>
      <w:r>
        <w:rPr>
          <w:rFonts w:ascii="Arial" w:hAnsi="Arial" w:cs="Arial"/>
        </w:rPr>
        <w:t xml:space="preserve">Za termin wniesienia wadium w formie pieniężnej zostanie przyjęty termin uznania rachunku Zamawiającego.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Wadium wnoszone w formie poręczeń lub gwarancji musi spełniać co najmniej poniższe wymagania: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musi obejmować odpowiedzialność za wszystkie przypadki powodujące utratę wadium przez Wykonawcę określone w </w:t>
      </w:r>
      <w:proofErr w:type="spellStart"/>
      <w:r>
        <w:rPr>
          <w:rFonts w:ascii="Arial" w:hAnsi="Arial" w:cs="Arial"/>
        </w:rPr>
        <w:t>p.z.p</w:t>
      </w:r>
      <w:proofErr w:type="spellEnd"/>
      <w:r>
        <w:rPr>
          <w:rFonts w:ascii="Arial" w:hAnsi="Arial" w:cs="Arial"/>
        </w:rPr>
        <w:t xml:space="preserve">., bez potwierdzania tych okoliczności;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z jej treści powinno jednoznacznej wynikać zobowiązanie gwaranta do zapłaty całej kwoty wadium; </w:t>
      </w:r>
    </w:p>
    <w:p>
      <w:pPr>
        <w:spacing w:after="0" w:line="360" w:lineRule="auto"/>
        <w:jc w:val="both"/>
        <w:rPr>
          <w:rFonts w:ascii="Arial" w:hAnsi="Arial" w:cs="Arial"/>
        </w:rPr>
      </w:pPr>
      <w:r>
        <w:rPr>
          <w:rFonts w:ascii="Arial" w:hAnsi="Arial" w:cs="Arial"/>
          <w:b/>
          <w:bCs/>
        </w:rPr>
        <w:t xml:space="preserve">3) powinno być nieodwołalne i bezwarunkowe oraz płatne na pierwsze żądanie;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termin obowiązywania poręczenia lub gwarancji nie może być krótszy niż termin związania ofertą (z zastrzeżeniem iż pierwszym dniem związania ofertą jest dzień składania ofert);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w treści poręczenia lub gwarancji powinna znaleźć się nazwa oraz numer przedmiotowego postępowania; </w:t>
      </w:r>
    </w:p>
    <w:p>
      <w:pPr>
        <w:spacing w:after="0" w:line="360" w:lineRule="auto"/>
        <w:jc w:val="both"/>
        <w:rPr>
          <w:rFonts w:ascii="Arial" w:hAnsi="Arial" w:cs="Arial"/>
        </w:rPr>
      </w:pPr>
      <w:r>
        <w:rPr>
          <w:rFonts w:ascii="Arial" w:hAnsi="Arial" w:cs="Arial"/>
          <w:b/>
          <w:bCs/>
        </w:rPr>
        <w:t xml:space="preserve">6) beneficjentem poręczenia lub gwarancji jest: Zespół Opieki Zdrowotnej w Brodnicy, ul. Wiejska 9, 87-300 Brodnica; </w:t>
      </w:r>
    </w:p>
    <w:p>
      <w:pPr>
        <w:spacing w:after="0" w:line="360" w:lineRule="auto"/>
        <w:jc w:val="both"/>
        <w:rPr>
          <w:rFonts w:ascii="Arial" w:hAnsi="Arial" w:cs="Arial"/>
        </w:rPr>
      </w:pPr>
      <w:r>
        <w:rPr>
          <w:rFonts w:ascii="Arial" w:hAnsi="Arial" w:cs="Arial"/>
          <w:b/>
          <w:bCs/>
        </w:rPr>
        <w:t xml:space="preserve">7) </w:t>
      </w:r>
      <w:r>
        <w:rPr>
          <w:rFonts w:ascii="Arial" w:hAnsi="Arial" w:cs="Arial"/>
        </w:rPr>
        <w:t xml:space="preserve">w przypadku Wykonawców wspólnie ubiegających się o udzielenie zamówienia (art. 58 </w:t>
      </w:r>
      <w:proofErr w:type="spellStart"/>
      <w:r>
        <w:rPr>
          <w:rFonts w:ascii="Arial" w:hAnsi="Arial" w:cs="Arial"/>
        </w:rPr>
        <w:t>p.z.p</w:t>
      </w:r>
      <w:proofErr w:type="spellEnd"/>
      <w:r>
        <w:rPr>
          <w:rFonts w:ascii="Arial" w:hAnsi="Arial" w:cs="Arial"/>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pPr>
        <w:spacing w:after="0" w:line="360" w:lineRule="auto"/>
        <w:jc w:val="both"/>
        <w:rPr>
          <w:rFonts w:ascii="Arial" w:hAnsi="Arial" w:cs="Arial"/>
        </w:rPr>
      </w:pPr>
      <w:r>
        <w:rPr>
          <w:rFonts w:ascii="Arial" w:hAnsi="Arial" w:cs="Arial"/>
          <w:b/>
          <w:bCs/>
        </w:rPr>
        <w:t xml:space="preserve">8) </w:t>
      </w:r>
      <w:r>
        <w:rPr>
          <w:rFonts w:ascii="Arial" w:hAnsi="Arial" w:cs="Arial"/>
        </w:rPr>
        <w:t xml:space="preserve">musi zostać złożone w postaci elektronicznej, opatrzone kwalifikowanym podpisem elektronicznym przez wystawcę poręczenia lub gwarancji. </w:t>
      </w:r>
    </w:p>
    <w:p>
      <w:pPr>
        <w:spacing w:after="0" w:line="360" w:lineRule="auto"/>
        <w:jc w:val="both"/>
        <w:rPr>
          <w:rFonts w:ascii="Arial" w:hAnsi="Arial" w:cs="Arial"/>
        </w:rPr>
      </w:pPr>
      <w:r>
        <w:rPr>
          <w:rFonts w:ascii="Arial" w:hAnsi="Arial" w:cs="Arial"/>
          <w:b/>
          <w:bCs/>
        </w:rPr>
        <w:t xml:space="preserve">6. W przypadku wniesienia wadium w formie: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pieniężnej - zaleca się, by dowód dokonania przelewu został dołączony do oferty;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poręczeń lub gwarancji - wymaga się, by oryginał dokumentu został złożony wraz z ofertą. </w:t>
      </w:r>
    </w:p>
    <w:p>
      <w:pPr>
        <w:spacing w:after="0" w:line="360" w:lineRule="auto"/>
        <w:jc w:val="both"/>
        <w:rPr>
          <w:rFonts w:ascii="Arial" w:hAnsi="Arial" w:cs="Arial"/>
        </w:rPr>
      </w:pPr>
      <w:r>
        <w:rPr>
          <w:rFonts w:ascii="Arial" w:hAnsi="Arial" w:cs="Arial"/>
          <w:b/>
          <w:bCs/>
        </w:rPr>
        <w:t xml:space="preserve">7. </w:t>
      </w:r>
      <w:r>
        <w:rPr>
          <w:rFonts w:ascii="Arial" w:hAnsi="Arial" w:cs="Arial"/>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Pr>
          <w:rFonts w:ascii="Arial" w:hAnsi="Arial" w:cs="Arial"/>
        </w:rPr>
        <w:t>p.z.p</w:t>
      </w:r>
      <w:proofErr w:type="spellEnd"/>
      <w:r>
        <w:rPr>
          <w:rFonts w:ascii="Arial" w:hAnsi="Arial" w:cs="Arial"/>
        </w:rPr>
        <w:t xml:space="preserve">. zostanie odrzucona. </w:t>
      </w:r>
    </w:p>
    <w:p>
      <w:pPr>
        <w:spacing w:after="0" w:line="360" w:lineRule="auto"/>
        <w:jc w:val="both"/>
        <w:rPr>
          <w:rFonts w:ascii="Arial" w:hAnsi="Arial" w:cs="Arial"/>
        </w:rPr>
      </w:pPr>
      <w:r>
        <w:rPr>
          <w:rFonts w:ascii="Arial" w:hAnsi="Arial" w:cs="Arial"/>
          <w:b/>
          <w:bCs/>
        </w:rPr>
        <w:t xml:space="preserve">8. </w:t>
      </w:r>
      <w:r>
        <w:rPr>
          <w:rFonts w:ascii="Arial" w:hAnsi="Arial" w:cs="Arial"/>
        </w:rPr>
        <w:t xml:space="preserve">Zasady zwrotu oraz okoliczności zatrzymania wadium określa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XVI. TERMIN ZWIĄZANIA OFERTĄ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Wykonawca będzie związany ofertą od dnia upływu terminu składania ofert, przy czym pierwszym dniem terminu związania ofertą jest dzień, w którym upływa termin składania ofert, przez okres </w:t>
      </w:r>
      <w:r>
        <w:rPr>
          <w:rFonts w:ascii="Arial" w:hAnsi="Arial" w:cs="Arial"/>
          <w:b/>
          <w:bCs/>
        </w:rPr>
        <w:t xml:space="preserve">90 dni, tj. do </w:t>
      </w:r>
      <w:r>
        <w:rPr>
          <w:rFonts w:ascii="Arial" w:hAnsi="Arial" w:cs="Arial"/>
          <w:b/>
          <w:bCs/>
          <w:color w:val="000000" w:themeColor="text1"/>
        </w:rPr>
        <w:t xml:space="preserve">dnia </w:t>
      </w:r>
      <w:r>
        <w:rPr>
          <w:rFonts w:ascii="Arial" w:hAnsi="Arial" w:cs="Arial"/>
          <w:b/>
          <w:bCs/>
        </w:rPr>
        <w:t>06.09.2023r</w:t>
      </w:r>
      <w:r>
        <w:rPr>
          <w:rFonts w:ascii="Arial" w:hAnsi="Arial" w:cs="Arial"/>
          <w:b/>
          <w:bCs/>
          <w:color w:val="000000" w:themeColor="text1"/>
        </w:rPr>
        <w:t>.</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W przypadku gdy wybór najkorzystniejszej oferty nie nastąpi przed upływem terminu związania ofertą, o którym mowa w pkt 1, Zamawiający przed upływem terminu związania ofertą, zwróci się </w:t>
      </w:r>
      <w:r>
        <w:rPr>
          <w:rFonts w:ascii="Arial" w:hAnsi="Arial" w:cs="Arial"/>
        </w:rPr>
        <w:lastRenderedPageBreak/>
        <w:t xml:space="preserve">jednokrotnie do Wykonawców o wyrażenie zgody na przedłużenie tego terminu o wskazywany przez niego okres, nie dłuższy niż 60 dni.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Przedłużenie terminu związania ofertą, o którym mowa w ust. 2, wymaga złożenia przez Wykonawcę pisemnego oświadczenia o wyrażeniu zgody na przedłużenie terminu związania ofertą.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XVII. MIEJSCE I TERMIN SKŁADANIA I OTWARCIA OFERT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Ofertę należy złożyć poprzez Platformę </w:t>
      </w:r>
      <w:r>
        <w:rPr>
          <w:rFonts w:ascii="Arial" w:hAnsi="Arial" w:cs="Arial"/>
          <w:b/>
          <w:bCs/>
        </w:rPr>
        <w:t>do dnia 22.06.2023r. do godziny 10:00</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O terminie złożenia oferty decyduje czas pełnego przeprocesowania transakcji na Platformie.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Otwarcie ofert nastąpi w dniu </w:t>
      </w:r>
      <w:r>
        <w:rPr>
          <w:rFonts w:ascii="Arial" w:hAnsi="Arial" w:cs="Arial"/>
          <w:b/>
          <w:bCs/>
        </w:rPr>
        <w:t>22.06.2023r. o godzinie 10:05</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Otwarcie ofert nastąpi przy użyciu systemu teleinformatycznego - Platformy. W przypadku awarii tego systemu, która spowoduje brak możliwości otwarcia ofert w terminie określonym przez Zamawiającego, otwarcie ofert nastąpi niezwłocznie po usunięciu awarii.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Zamawiający, najpóźniej przed otwarciem ofert, udostępni na stronie internetowej prowadzonego postępowania informację o kwocie, jaką zamierza przeznaczyć na sfinansowanie zamówienia. </w:t>
      </w:r>
    </w:p>
    <w:p>
      <w:pPr>
        <w:spacing w:after="0" w:line="360" w:lineRule="auto"/>
        <w:jc w:val="both"/>
        <w:rPr>
          <w:rFonts w:ascii="Arial" w:hAnsi="Arial" w:cs="Arial"/>
        </w:rPr>
      </w:pPr>
      <w:r>
        <w:rPr>
          <w:rFonts w:ascii="Arial" w:hAnsi="Arial" w:cs="Arial"/>
          <w:b/>
          <w:bCs/>
        </w:rPr>
        <w:t xml:space="preserve">6. </w:t>
      </w:r>
      <w:r>
        <w:rPr>
          <w:rFonts w:ascii="Arial" w:hAnsi="Arial" w:cs="Arial"/>
        </w:rPr>
        <w:t xml:space="preserve">Zamawiający, niezwłocznie po otwarciu ofert, udostępni na Platformie informacje o: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nazwach albo imionach i nazwiskach oraz siedzibach lub miejscach prowadzonej działalności gospodarczej albo miejscach zamieszkania Wykonawców, których oferty zostały otwarte; </w:t>
      </w:r>
    </w:p>
    <w:p>
      <w:pPr>
        <w:spacing w:after="0" w:line="360" w:lineRule="auto"/>
        <w:jc w:val="both"/>
        <w:rPr>
          <w:rFonts w:ascii="Arial" w:hAnsi="Arial" w:cs="Arial"/>
        </w:rPr>
      </w:pPr>
      <w:r>
        <w:rPr>
          <w:rFonts w:ascii="Arial" w:hAnsi="Arial" w:cs="Arial"/>
          <w:b/>
          <w:bCs/>
        </w:rPr>
        <w:t xml:space="preserve">2) cenach lub kosztach zawartych w ofertach.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XVIII. OPIS KRYTERIÓW, KTÓRYMI ZAMAWIAJĄCY BĘDZIE SIĘ KIEROWAŁ PRZY WYBORZE OFERTY, WRAZ Z PODANIEM WAG TYCH KRYTERIÓW I SPOSOBU OCENY OFERT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Przy wyborze najkorzystniejszej oferty Zamawiający będzie się kierował następującymi kryteriami oceny ofert </w:t>
      </w:r>
      <w:r>
        <w:rPr>
          <w:rFonts w:ascii="Arial" w:hAnsi="Arial" w:cs="Arial"/>
          <w:b/>
          <w:bCs/>
        </w:rPr>
        <w:t xml:space="preserve">: </w:t>
      </w:r>
    </w:p>
    <w:p>
      <w:pPr>
        <w:spacing w:after="0" w:line="360" w:lineRule="auto"/>
        <w:jc w:val="both"/>
        <w:rPr>
          <w:rFonts w:ascii="Arial" w:hAnsi="Arial" w:cs="Arial"/>
        </w:rPr>
      </w:pPr>
      <w:r>
        <w:rPr>
          <w:rFonts w:ascii="Arial" w:hAnsi="Arial" w:cs="Arial"/>
          <w:b/>
          <w:bCs/>
        </w:rPr>
        <w:t xml:space="preserve">a) </w:t>
      </w:r>
      <w:r>
        <w:rPr>
          <w:rFonts w:ascii="Arial" w:hAnsi="Arial" w:cs="Arial"/>
        </w:rPr>
        <w:t xml:space="preserve">Cena (C) - waga kryterium 60%; </w:t>
      </w:r>
    </w:p>
    <w:p>
      <w:pPr>
        <w:spacing w:after="0" w:line="360" w:lineRule="auto"/>
        <w:jc w:val="both"/>
        <w:rPr>
          <w:rFonts w:ascii="Arial" w:hAnsi="Arial" w:cs="Arial"/>
        </w:rPr>
      </w:pPr>
      <w:r>
        <w:rPr>
          <w:rFonts w:ascii="Arial" w:hAnsi="Arial" w:cs="Arial"/>
          <w:b/>
          <w:bCs/>
        </w:rPr>
        <w:t xml:space="preserve">b) </w:t>
      </w:r>
      <w:r>
        <w:rPr>
          <w:rFonts w:ascii="Arial" w:hAnsi="Arial" w:cs="Arial"/>
        </w:rPr>
        <w:t>parametry techniczne (T) – waga kryterium 40%</w:t>
      </w:r>
    </w:p>
    <w:p>
      <w:pPr>
        <w:spacing w:after="0" w:line="360" w:lineRule="auto"/>
        <w:jc w:val="both"/>
        <w:rPr>
          <w:rFonts w:ascii="Arial" w:hAnsi="Arial" w:cs="Arial"/>
          <w:b/>
          <w:bCs/>
        </w:rPr>
      </w:pPr>
      <w:r>
        <w:rPr>
          <w:rFonts w:ascii="Arial" w:hAnsi="Arial" w:cs="Arial"/>
          <w:b/>
          <w:bCs/>
        </w:rPr>
        <w:t xml:space="preserve">1.1. </w:t>
      </w:r>
      <w:r>
        <w:rPr>
          <w:rFonts w:ascii="Arial" w:hAnsi="Arial" w:cs="Arial"/>
        </w:rPr>
        <w:t xml:space="preserve">Zasady oceny ofert w kryterium </w:t>
      </w:r>
      <w:r>
        <w:rPr>
          <w:rFonts w:ascii="Arial" w:hAnsi="Arial" w:cs="Arial"/>
          <w:b/>
          <w:bCs/>
        </w:rPr>
        <w:t xml:space="preserve">Cena (C)- waga 60%: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                                   cena najniższa brutto* </w:t>
      </w:r>
    </w:p>
    <w:p>
      <w:pPr>
        <w:spacing w:after="0" w:line="360" w:lineRule="auto"/>
        <w:jc w:val="both"/>
        <w:rPr>
          <w:rFonts w:ascii="Arial" w:hAnsi="Arial" w:cs="Arial"/>
        </w:rPr>
      </w:pPr>
      <w:r>
        <w:rPr>
          <w:rFonts w:ascii="Arial" w:hAnsi="Arial" w:cs="Arial"/>
          <w:b/>
          <w:bCs/>
        </w:rPr>
        <w:t xml:space="preserve">                    C = </w:t>
      </w:r>
      <w:r>
        <w:rPr>
          <w:rFonts w:ascii="Arial" w:hAnsi="Arial" w:cs="Arial"/>
        </w:rPr>
        <w:t xml:space="preserve">------------------------------------------------ </w:t>
      </w:r>
      <w:r>
        <w:rPr>
          <w:rFonts w:ascii="Arial" w:hAnsi="Arial" w:cs="Arial"/>
          <w:b/>
          <w:bCs/>
        </w:rPr>
        <w:t xml:space="preserve">x 100 pkt x 60% </w:t>
      </w:r>
    </w:p>
    <w:p>
      <w:pPr>
        <w:spacing w:after="0" w:line="360" w:lineRule="auto"/>
        <w:jc w:val="both"/>
        <w:rPr>
          <w:rFonts w:ascii="Arial" w:hAnsi="Arial" w:cs="Arial"/>
          <w:b/>
        </w:rPr>
      </w:pPr>
      <w:r>
        <w:rPr>
          <w:rFonts w:ascii="Arial" w:hAnsi="Arial" w:cs="Arial"/>
          <w:b/>
        </w:rPr>
        <w:t xml:space="preserve">                               cena oferty ocenianej brutto </w:t>
      </w:r>
    </w:p>
    <w:p>
      <w:pPr>
        <w:spacing w:after="0" w:line="360" w:lineRule="auto"/>
        <w:jc w:val="both"/>
        <w:rPr>
          <w:rFonts w:ascii="Arial" w:hAnsi="Arial" w:cs="Arial"/>
        </w:rPr>
      </w:pPr>
      <w:r>
        <w:rPr>
          <w:rFonts w:ascii="Arial" w:hAnsi="Arial" w:cs="Arial"/>
          <w:b/>
          <w:bCs/>
        </w:rPr>
        <w:t xml:space="preserve">* spośród wszystkich złożonych ofert niepodlegających odrzuceniu </w:t>
      </w:r>
    </w:p>
    <w:p>
      <w:pPr>
        <w:spacing w:after="0" w:line="360" w:lineRule="auto"/>
        <w:jc w:val="both"/>
        <w:rPr>
          <w:rFonts w:ascii="Arial" w:hAnsi="Arial" w:cs="Arial"/>
        </w:rPr>
      </w:pPr>
      <w:r>
        <w:rPr>
          <w:rFonts w:ascii="Arial" w:hAnsi="Arial" w:cs="Arial"/>
        </w:rPr>
        <w:t xml:space="preserve">Podstawą przyznania punktów w kryterium "cena" będzie cena ofertowa brutto podana przez Wykonawcę w Formularzu Ofertowym, stanowiącym </w:t>
      </w:r>
      <w:r>
        <w:rPr>
          <w:rFonts w:ascii="Arial" w:hAnsi="Arial" w:cs="Arial"/>
          <w:b/>
          <w:bCs/>
        </w:rPr>
        <w:t>Załącznik nr 1 do SWZ</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1.2. </w:t>
      </w:r>
      <w:r>
        <w:rPr>
          <w:rFonts w:ascii="Arial" w:hAnsi="Arial" w:cs="Arial"/>
        </w:rPr>
        <w:t xml:space="preserve">Zasady oceny ofert w kryterium </w:t>
      </w:r>
      <w:r>
        <w:rPr>
          <w:rFonts w:ascii="Arial" w:hAnsi="Arial" w:cs="Arial"/>
          <w:b/>
        </w:rPr>
        <w:t>parametry techniczne</w:t>
      </w:r>
      <w:r>
        <w:rPr>
          <w:rFonts w:ascii="Arial" w:hAnsi="Arial" w:cs="Arial"/>
          <w:b/>
          <w:bCs/>
        </w:rPr>
        <w:t xml:space="preserve"> (T) - waga 40%: </w:t>
      </w:r>
    </w:p>
    <w:p>
      <w:pPr>
        <w:spacing w:after="0" w:line="360" w:lineRule="auto"/>
        <w:jc w:val="both"/>
        <w:rPr>
          <w:rFonts w:ascii="Arial" w:hAnsi="Arial" w:cs="Arial"/>
        </w:rPr>
      </w:pPr>
      <w:r>
        <w:rPr>
          <w:rFonts w:ascii="Arial" w:hAnsi="Arial" w:cs="Arial"/>
        </w:rPr>
        <w:lastRenderedPageBreak/>
        <w:t xml:space="preserve">Parametry techniczne, łączne punkty sumowane z każdej oferty. Punktacja będzie przyznana według poniższego wzoru: </w:t>
      </w:r>
    </w:p>
    <w:p>
      <w:pPr>
        <w:spacing w:after="0" w:line="360" w:lineRule="auto"/>
        <w:jc w:val="both"/>
        <w:rPr>
          <w:rFonts w:ascii="Arial" w:hAnsi="Arial" w:cs="Arial"/>
        </w:rPr>
      </w:pPr>
    </w:p>
    <w:p>
      <w:pPr>
        <w:spacing w:after="0" w:line="360" w:lineRule="auto"/>
        <w:ind w:left="1416" w:firstLine="708"/>
        <w:jc w:val="both"/>
        <w:rPr>
          <w:rFonts w:ascii="Arial" w:hAnsi="Arial" w:cs="Arial"/>
        </w:rPr>
      </w:pPr>
      <w:r>
        <w:rPr>
          <w:rFonts w:ascii="Arial" w:hAnsi="Arial" w:cs="Arial"/>
          <w:b/>
          <w:bCs/>
        </w:rPr>
        <w:t xml:space="preserve">Suma punktów z oferty ocenianej </w:t>
      </w:r>
    </w:p>
    <w:p>
      <w:pPr>
        <w:spacing w:after="0" w:line="360" w:lineRule="auto"/>
        <w:jc w:val="both"/>
        <w:rPr>
          <w:rFonts w:ascii="Arial" w:hAnsi="Arial" w:cs="Arial"/>
        </w:rPr>
      </w:pPr>
      <w:r>
        <w:rPr>
          <w:rFonts w:ascii="Arial" w:hAnsi="Arial" w:cs="Arial"/>
          <w:b/>
          <w:bCs/>
        </w:rPr>
        <w:t xml:space="preserve">           T = </w:t>
      </w:r>
      <w:r>
        <w:rPr>
          <w:rFonts w:ascii="Arial" w:hAnsi="Arial" w:cs="Arial"/>
        </w:rPr>
        <w:t xml:space="preserve">------------------------------------------------------------------------------ </w:t>
      </w:r>
      <w:r>
        <w:rPr>
          <w:rFonts w:ascii="Arial" w:hAnsi="Arial" w:cs="Arial"/>
          <w:b/>
          <w:bCs/>
        </w:rPr>
        <w:t xml:space="preserve">x 100 pkt x 40% </w:t>
      </w:r>
    </w:p>
    <w:p>
      <w:pPr>
        <w:spacing w:after="0" w:line="360" w:lineRule="auto"/>
        <w:ind w:left="708"/>
        <w:jc w:val="both"/>
        <w:rPr>
          <w:rFonts w:ascii="Arial" w:hAnsi="Arial" w:cs="Arial"/>
        </w:rPr>
      </w:pPr>
      <w:r>
        <w:rPr>
          <w:rFonts w:ascii="Arial" w:hAnsi="Arial" w:cs="Arial"/>
          <w:b/>
          <w:bCs/>
        </w:rPr>
        <w:t xml:space="preserve">             Najwyższa suma punktów ze złożonych ofert  </w:t>
      </w:r>
    </w:p>
    <w:p>
      <w:pPr>
        <w:spacing w:after="0" w:line="360" w:lineRule="auto"/>
        <w:jc w:val="both"/>
        <w:rPr>
          <w:rFonts w:ascii="Arial" w:hAnsi="Arial" w:cs="Arial"/>
        </w:rPr>
      </w:pPr>
    </w:p>
    <w:p>
      <w:pPr>
        <w:spacing w:after="0" w:line="360" w:lineRule="auto"/>
        <w:jc w:val="both"/>
        <w:rPr>
          <w:rFonts w:ascii="Arial" w:hAnsi="Arial" w:cs="Arial"/>
        </w:rPr>
      </w:pPr>
      <w:r>
        <w:rPr>
          <w:rFonts w:ascii="Arial" w:hAnsi="Arial" w:cs="Arial"/>
        </w:rPr>
        <w:t xml:space="preserve">Podstawą przyznania punktów w kryterium "parametry techniczne" będzie suma punktów obliczona zgodnie z podanymi i potwierdzonymi przez Wykonawcę parametrami w Formularzu parametrów technicznych, stanowiącym </w:t>
      </w:r>
      <w:r>
        <w:rPr>
          <w:rFonts w:ascii="Arial" w:hAnsi="Arial" w:cs="Arial"/>
          <w:b/>
          <w:bCs/>
        </w:rPr>
        <w:t>Załącznik nr 1A do SWZ</w:t>
      </w:r>
      <w:r>
        <w:rPr>
          <w:rFonts w:ascii="Arial" w:hAnsi="Arial" w:cs="Arial"/>
        </w:rPr>
        <w:t>.</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Punktacja przyznawana ofertom w poszczególnych kryteriach oceny ofert będzie liczona z dokładnością do dwóch miejsc po przecinku, zgodnie z zasadami arytmetyki.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Za ofertę najkorzystniejszą zostanie uznana oferta, która uzyska najwyższą sumaryczną liczbę punktów po zastosowaniu wszystkich kryteriów oceny ofert.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W toku badania i oceny ofert Zamawiający może żądać od Wykonawcy wyjaśnień dotyczących treści złożonej oferty, w tym zaoferowanej ceny. </w:t>
      </w:r>
    </w:p>
    <w:p>
      <w:pPr>
        <w:spacing w:after="0" w:line="360" w:lineRule="auto"/>
        <w:jc w:val="both"/>
        <w:rPr>
          <w:rFonts w:ascii="Arial" w:hAnsi="Arial" w:cs="Arial"/>
        </w:rPr>
      </w:pPr>
      <w:r>
        <w:rPr>
          <w:rFonts w:ascii="Arial" w:hAnsi="Arial" w:cs="Arial"/>
          <w:b/>
          <w:bCs/>
        </w:rPr>
        <w:t xml:space="preserve">6. </w:t>
      </w:r>
      <w:r>
        <w:rPr>
          <w:rFonts w:ascii="Arial" w:hAnsi="Arial" w:cs="Arial"/>
        </w:rPr>
        <w:t xml:space="preserve">Zamawiający udzieli zamówienia Wykonawcy, którego oferta zostanie uznana za najkorzystniejszą.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XIX. INFORMACJE O FORMALNOŚCIACH, JAKIE MUSZĄ ZOSTAĆ DOPEŁNIONE PO WYBORZE OFERTY W CELU ZAWARCIA UMOWY W SPRAWIE ZAMÓWIENIA PUBLICZNEGO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Zamawiający zawrze umowę w sprawie zamówienia publicznego z Wykonawcą, którego oferta zostanie uznana za najkorzystniejszą, w terminach określonych w art. 264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Wykonawca będzie zobowiązany do podpisania umowy w miejscu i terminie wskazanym przez Zamawiającego.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kopii umowy regulującej współpracę tych Wykonawców.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XX. WYMAGANIA DOTYCZĄCE ZABEZPIECZENIA NALEŻYTEGO WYKONANIA UMOWY </w:t>
      </w:r>
    </w:p>
    <w:p>
      <w:pPr>
        <w:spacing w:after="0" w:line="360" w:lineRule="auto"/>
        <w:jc w:val="both"/>
        <w:rPr>
          <w:rFonts w:ascii="Arial" w:hAnsi="Arial" w:cs="Arial"/>
        </w:rPr>
      </w:pPr>
      <w:r>
        <w:rPr>
          <w:rFonts w:ascii="Arial" w:hAnsi="Arial" w:cs="Arial"/>
          <w:bCs/>
        </w:rPr>
        <w:t xml:space="preserve">1. Zamawiający nie wymaga wniesienia zabezpieczenia należytego wykonania umowy.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XXI. INFORMACJE O TREŚCI ZAWIERANEJ UMOWY ORAZ MOŻLIWOŚCI JEJ ZMIANY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Wybrany Wykonawca jest zobowiązany do zawarcia umowy w sprawie zamówienia publicznego na warunkach określonych we Wzorze Umowy, stanowiącym </w:t>
      </w:r>
      <w:r>
        <w:rPr>
          <w:rFonts w:ascii="Arial" w:hAnsi="Arial" w:cs="Arial"/>
          <w:b/>
          <w:bCs/>
        </w:rPr>
        <w:t>Załącznik nr 7 do SWZ</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Zakres świadczenia Wykonawcy wynikający z umowy jest tożsamy z jego zobowiązaniem zawartym w ofercie.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Zmiana umowy podlega unieważnieniu, jeżeli została dokonana z naruszeniem art. 454 i art. 455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Zamawiający przewiduje możliwość zmiany zawartej umowy w stosunku do treści wybranej oferty w zakresie wskazanym we Wzorze Umowy. Zmiana umowy wymaga dla swej ważności, pod rygorem nieważności, zachowania formy pisemnej.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XXII. POUCZENIE O ŚRODKACH OCHRONY PRAWNEJ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hAnsi="Arial" w:cs="Arial"/>
        </w:rPr>
        <w:t>p.z.p</w:t>
      </w:r>
      <w:proofErr w:type="spellEnd"/>
      <w:r>
        <w:rPr>
          <w:rFonts w:ascii="Arial" w:hAnsi="Arial" w:cs="Arial"/>
        </w:rPr>
        <w:t xml:space="preserve">. oraz Rzecznikowi Małych i Średnich Przedsiębiorców. </w:t>
      </w:r>
    </w:p>
    <w:p>
      <w:pPr>
        <w:spacing w:after="0" w:line="360" w:lineRule="auto"/>
        <w:jc w:val="both"/>
        <w:rPr>
          <w:rFonts w:ascii="Arial" w:hAnsi="Arial" w:cs="Arial"/>
        </w:rPr>
      </w:pPr>
      <w:r>
        <w:rPr>
          <w:rFonts w:ascii="Arial" w:hAnsi="Arial" w:cs="Arial"/>
          <w:b/>
          <w:bCs/>
        </w:rPr>
        <w:t xml:space="preserve">3. Odwołanie przysługuje na: </w:t>
      </w:r>
    </w:p>
    <w:p>
      <w:pPr>
        <w:spacing w:after="0" w:line="360" w:lineRule="auto"/>
        <w:jc w:val="both"/>
        <w:rPr>
          <w:rFonts w:ascii="Arial" w:hAnsi="Arial" w:cs="Arial"/>
        </w:rPr>
      </w:pPr>
      <w:r>
        <w:rPr>
          <w:rFonts w:ascii="Arial" w:hAnsi="Arial" w:cs="Arial"/>
        </w:rPr>
        <w:t xml:space="preserve">1) niezgodną z przepisami ustawy czynność Zamawiającego, podjętą w postępowaniu o udzielenie zamówienia, w tym na projektowane postanowienie umowy; </w:t>
      </w:r>
    </w:p>
    <w:p>
      <w:pPr>
        <w:spacing w:after="0" w:line="360" w:lineRule="auto"/>
        <w:jc w:val="both"/>
        <w:rPr>
          <w:rFonts w:ascii="Arial" w:hAnsi="Arial" w:cs="Arial"/>
        </w:rPr>
      </w:pPr>
      <w:r>
        <w:rPr>
          <w:rFonts w:ascii="Arial" w:hAnsi="Arial" w:cs="Arial"/>
        </w:rPr>
        <w:t xml:space="preserve">2) zaniechanie czynności w postępowaniu o udzielenie zamówienia do której zamawiający był obowiązany na podstawie ustawy;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Odwołanie wnosi się do Prezesa Izby. Odwołujący przekazuje kopię odwołania zamawiającemu przed upływem terminu do wniesienia odwołania w taki sposób, aby mógł on zapoznać się z jego treścią przed upływem tego terminu.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Odwołanie wobec treści ogłoszenia lub treści SWZ wnosi się w terminie 10 dni od dnia publikacji ogłoszenia w Dzienniku Urzędowym Unii Europejskiej lub zamieszczenia dokumentów zamówienia na stronie internetowej. </w:t>
      </w:r>
    </w:p>
    <w:p>
      <w:pPr>
        <w:spacing w:after="0" w:line="360" w:lineRule="auto"/>
        <w:jc w:val="both"/>
        <w:rPr>
          <w:rFonts w:ascii="Arial" w:hAnsi="Arial" w:cs="Arial"/>
        </w:rPr>
      </w:pPr>
      <w:r>
        <w:rPr>
          <w:rFonts w:ascii="Arial" w:hAnsi="Arial" w:cs="Arial"/>
          <w:b/>
          <w:bCs/>
        </w:rPr>
        <w:t xml:space="preserve">6. Odwołanie wnosi się w terminie: </w:t>
      </w:r>
    </w:p>
    <w:p>
      <w:pPr>
        <w:spacing w:after="0" w:line="360" w:lineRule="auto"/>
        <w:jc w:val="both"/>
        <w:rPr>
          <w:rFonts w:ascii="Arial" w:hAnsi="Arial" w:cs="Arial"/>
        </w:rPr>
      </w:pPr>
      <w:r>
        <w:rPr>
          <w:rFonts w:ascii="Arial" w:hAnsi="Arial" w:cs="Arial"/>
        </w:rPr>
        <w:t xml:space="preserve">1) 10 dni od dnia przekazania informacji o czynności zamawiającego stanowiącej podstawę jego wniesienia, jeżeli informacja została przekazana przy użyciu środków komunikacji elektronicznej, </w:t>
      </w:r>
    </w:p>
    <w:p>
      <w:pPr>
        <w:spacing w:after="0" w:line="360" w:lineRule="auto"/>
        <w:jc w:val="both"/>
        <w:rPr>
          <w:rFonts w:ascii="Arial" w:hAnsi="Arial" w:cs="Arial"/>
        </w:rPr>
      </w:pPr>
      <w:r>
        <w:rPr>
          <w:rFonts w:ascii="Arial" w:hAnsi="Arial" w:cs="Arial"/>
        </w:rPr>
        <w:t xml:space="preserve">2) 15 dni od dnia przekazania informacji o czynności zamawiającego stanowiącej podstawę jego wniesienia, jeżeli informacja została przekazana w sposób inny niż określony w pkt 1). </w:t>
      </w:r>
    </w:p>
    <w:p>
      <w:pPr>
        <w:spacing w:after="0" w:line="360" w:lineRule="auto"/>
        <w:jc w:val="both"/>
        <w:rPr>
          <w:rFonts w:ascii="Arial" w:hAnsi="Arial" w:cs="Arial"/>
        </w:rPr>
      </w:pPr>
      <w:r>
        <w:rPr>
          <w:rFonts w:ascii="Arial" w:hAnsi="Arial" w:cs="Arial"/>
          <w:b/>
          <w:bCs/>
        </w:rPr>
        <w:lastRenderedPageBreak/>
        <w:t xml:space="preserve">7. </w:t>
      </w:r>
      <w:r>
        <w:rPr>
          <w:rFonts w:ascii="Arial" w:hAnsi="Arial" w:cs="Arial"/>
        </w:rPr>
        <w:t xml:space="preserve">Odwołanie w przypadkach innych niż określone w pkt 5 i 6 wnosi się w terminie 10 dni od dnia, w którym powzięto lub przy zachowaniu należytej staranności można było powziąć wiadomość o okolicznościach stanowiących podstawę jego wniesienia </w:t>
      </w:r>
    </w:p>
    <w:p>
      <w:pPr>
        <w:spacing w:after="0" w:line="360" w:lineRule="auto"/>
        <w:jc w:val="both"/>
        <w:rPr>
          <w:rFonts w:ascii="Arial" w:hAnsi="Arial" w:cs="Arial"/>
        </w:rPr>
      </w:pPr>
      <w:r>
        <w:rPr>
          <w:rFonts w:ascii="Arial" w:hAnsi="Arial" w:cs="Arial"/>
          <w:b/>
          <w:bCs/>
        </w:rPr>
        <w:t xml:space="preserve">9. </w:t>
      </w:r>
      <w:r>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 xml:space="preserve">., stronom oraz uczestnikom postępowania odwoławczego przysługuje skarga do sądu. </w:t>
      </w:r>
    </w:p>
    <w:p>
      <w:pPr>
        <w:spacing w:after="0" w:line="360" w:lineRule="auto"/>
        <w:jc w:val="both"/>
        <w:rPr>
          <w:rFonts w:ascii="Arial" w:hAnsi="Arial" w:cs="Arial"/>
        </w:rPr>
      </w:pPr>
      <w:r>
        <w:rPr>
          <w:rFonts w:ascii="Arial" w:hAnsi="Arial" w:cs="Arial"/>
          <w:b/>
          <w:bCs/>
        </w:rPr>
        <w:t xml:space="preserve">10. </w:t>
      </w:r>
      <w:r>
        <w:rPr>
          <w:rFonts w:ascii="Arial" w:hAnsi="Arial" w:cs="Arial"/>
        </w:rPr>
        <w:t xml:space="preserve">W postępowaniu toczącym się wskutek wniesienia skargi stosuje się odpowiednio przepisy ustawy z dnia 17.11.1964 r. - Kodeks postępowania cywilnego o apelacji, jeżeli przepisy niniejszego rozdziału nie stanowią inaczej. </w:t>
      </w:r>
    </w:p>
    <w:p>
      <w:pPr>
        <w:spacing w:after="0" w:line="360" w:lineRule="auto"/>
        <w:jc w:val="both"/>
        <w:rPr>
          <w:rFonts w:ascii="Arial" w:hAnsi="Arial" w:cs="Arial"/>
        </w:rPr>
      </w:pPr>
      <w:r>
        <w:rPr>
          <w:rFonts w:ascii="Arial" w:hAnsi="Arial" w:cs="Arial"/>
          <w:b/>
          <w:bCs/>
        </w:rPr>
        <w:t xml:space="preserve">11. </w:t>
      </w:r>
      <w:r>
        <w:rPr>
          <w:rFonts w:ascii="Arial" w:hAnsi="Arial" w:cs="Arial"/>
        </w:rPr>
        <w:t xml:space="preserve">Skargę wnosi się do Sądu Okręgowego w Warszawie - sądu zamówień publicznych, zwanego dalej "sądem zamówień publicznych". </w:t>
      </w:r>
    </w:p>
    <w:p>
      <w:pPr>
        <w:spacing w:after="0" w:line="360" w:lineRule="auto"/>
        <w:jc w:val="both"/>
        <w:rPr>
          <w:rFonts w:ascii="Arial" w:hAnsi="Arial" w:cs="Arial"/>
        </w:rPr>
      </w:pPr>
      <w:r>
        <w:rPr>
          <w:rFonts w:ascii="Arial" w:hAnsi="Arial" w:cs="Arial"/>
          <w:b/>
          <w:bCs/>
        </w:rPr>
        <w:t xml:space="preserve">12. </w:t>
      </w:r>
      <w:r>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xml:space="preserve">., przesyłając jednocześnie jej odpis przeciwnikowi skargi. Złożenie skargi w placówce pocztowej operatora wyznaczonego w rozumieniu ustawy z dnia 23.11.2012 r. - Prawo pocztowe jest równoznaczne z jej wniesieniem. </w:t>
      </w:r>
    </w:p>
    <w:p>
      <w:pPr>
        <w:spacing w:after="0" w:line="360" w:lineRule="auto"/>
        <w:jc w:val="both"/>
        <w:rPr>
          <w:rFonts w:ascii="Arial" w:hAnsi="Arial" w:cs="Arial"/>
        </w:rPr>
      </w:pPr>
      <w:r>
        <w:rPr>
          <w:rFonts w:ascii="Arial" w:hAnsi="Arial" w:cs="Arial"/>
          <w:b/>
          <w:bCs/>
        </w:rPr>
        <w:t xml:space="preserve">13. </w:t>
      </w:r>
      <w:r>
        <w:rPr>
          <w:rFonts w:ascii="Arial" w:hAnsi="Arial" w:cs="Arial"/>
        </w:rPr>
        <w:t xml:space="preserve">Prezes Izby przekazuje skargę wraz z aktami postępowania odwoławczego do sądu zamówień publicznych w terminie 7 dni od dnia jej otrzymania.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XXIII. WYKAZ ZAŁĄCZNIKÓW DO SWZ </w:t>
      </w:r>
    </w:p>
    <w:p>
      <w:pPr>
        <w:spacing w:after="0" w:line="360" w:lineRule="auto"/>
        <w:jc w:val="both"/>
        <w:rPr>
          <w:rFonts w:ascii="Arial" w:hAnsi="Arial" w:cs="Arial"/>
          <w:sz w:val="20"/>
          <w:szCs w:val="20"/>
        </w:rPr>
      </w:pPr>
      <w:r>
        <w:rPr>
          <w:rFonts w:ascii="Arial" w:hAnsi="Arial" w:cs="Arial"/>
          <w:sz w:val="20"/>
          <w:szCs w:val="20"/>
        </w:rPr>
        <w:t>Załącznik nr 1 - Formularz ofertowy</w:t>
      </w:r>
    </w:p>
    <w:p>
      <w:pPr>
        <w:spacing w:after="0" w:line="360" w:lineRule="auto"/>
        <w:jc w:val="both"/>
        <w:rPr>
          <w:rFonts w:ascii="Arial" w:hAnsi="Arial" w:cs="Arial"/>
          <w:sz w:val="20"/>
          <w:szCs w:val="20"/>
        </w:rPr>
      </w:pPr>
      <w:r>
        <w:rPr>
          <w:rFonts w:ascii="Arial" w:hAnsi="Arial" w:cs="Arial"/>
          <w:sz w:val="20"/>
          <w:szCs w:val="20"/>
        </w:rPr>
        <w:t>Załącznik nr 1A - Formularz parametrów technicznych aparatu</w:t>
      </w:r>
    </w:p>
    <w:p>
      <w:pPr>
        <w:spacing w:after="0" w:line="360" w:lineRule="auto"/>
        <w:jc w:val="both"/>
        <w:rPr>
          <w:rFonts w:ascii="Arial" w:hAnsi="Arial" w:cs="Arial"/>
          <w:sz w:val="20"/>
          <w:szCs w:val="20"/>
        </w:rPr>
      </w:pPr>
      <w:r>
        <w:rPr>
          <w:rFonts w:ascii="Arial" w:hAnsi="Arial" w:cs="Arial"/>
          <w:sz w:val="20"/>
          <w:szCs w:val="20"/>
        </w:rPr>
        <w:t xml:space="preserve">Załącznik nr 2 - Jednolity Europejski Dokument Zamówienia w formacie*.xml oraz PDF </w:t>
      </w:r>
    </w:p>
    <w:p>
      <w:pPr>
        <w:spacing w:after="0" w:line="360" w:lineRule="auto"/>
        <w:jc w:val="both"/>
        <w:rPr>
          <w:rFonts w:ascii="Arial" w:hAnsi="Arial" w:cs="Arial"/>
          <w:sz w:val="20"/>
          <w:szCs w:val="20"/>
        </w:rPr>
      </w:pPr>
      <w:r>
        <w:rPr>
          <w:rFonts w:ascii="Arial" w:hAnsi="Arial" w:cs="Arial"/>
          <w:sz w:val="20"/>
          <w:szCs w:val="20"/>
        </w:rPr>
        <w:t xml:space="preserve">Załącznik nr 3 - Zobowiązanie innego podmiotu do udostępnienia niezbędnych zasobów Wykonawcy </w:t>
      </w:r>
    </w:p>
    <w:p>
      <w:pPr>
        <w:spacing w:after="0" w:line="360" w:lineRule="auto"/>
        <w:jc w:val="both"/>
        <w:rPr>
          <w:rFonts w:ascii="Arial" w:hAnsi="Arial" w:cs="Arial"/>
          <w:sz w:val="20"/>
          <w:szCs w:val="20"/>
        </w:rPr>
      </w:pPr>
      <w:r>
        <w:rPr>
          <w:rFonts w:ascii="Arial" w:hAnsi="Arial" w:cs="Arial"/>
          <w:sz w:val="20"/>
          <w:szCs w:val="20"/>
        </w:rPr>
        <w:t xml:space="preserve">Załącznik nr 4 - Oświadczenie dotyczące przynależności lub braku przynależności do tej samej grupy kapitałowej </w:t>
      </w:r>
    </w:p>
    <w:p>
      <w:pPr>
        <w:spacing w:after="0" w:line="360" w:lineRule="auto"/>
        <w:jc w:val="both"/>
        <w:rPr>
          <w:rFonts w:ascii="Arial" w:hAnsi="Arial" w:cs="Arial"/>
          <w:sz w:val="20"/>
          <w:szCs w:val="20"/>
        </w:rPr>
      </w:pPr>
      <w:r>
        <w:rPr>
          <w:rFonts w:ascii="Arial" w:hAnsi="Arial" w:cs="Arial"/>
          <w:sz w:val="20"/>
          <w:szCs w:val="20"/>
        </w:rPr>
        <w:t xml:space="preserve">Załącznik nr 5 - Wykaz dostaw </w:t>
      </w:r>
    </w:p>
    <w:p>
      <w:pPr>
        <w:spacing w:after="0" w:line="360" w:lineRule="auto"/>
        <w:jc w:val="both"/>
        <w:rPr>
          <w:rFonts w:ascii="Arial" w:hAnsi="Arial" w:cs="Arial"/>
          <w:sz w:val="20"/>
          <w:szCs w:val="20"/>
        </w:rPr>
      </w:pPr>
      <w:r>
        <w:rPr>
          <w:rFonts w:ascii="Arial" w:hAnsi="Arial" w:cs="Arial"/>
          <w:sz w:val="20"/>
          <w:szCs w:val="20"/>
        </w:rPr>
        <w:t xml:space="preserve">Załącznik nr 6 - Oświadczenie wykonawcy o aktualności informacji zawartych w oświadczeniu, o którym mowa w art. 125 ust. 1 </w:t>
      </w:r>
      <w:proofErr w:type="spellStart"/>
      <w:r>
        <w:rPr>
          <w:rFonts w:ascii="Arial" w:hAnsi="Arial" w:cs="Arial"/>
          <w:sz w:val="20"/>
          <w:szCs w:val="20"/>
        </w:rPr>
        <w:t>p.z.p</w:t>
      </w:r>
      <w:proofErr w:type="spellEnd"/>
      <w:r>
        <w:rPr>
          <w:rFonts w:ascii="Arial" w:hAnsi="Arial" w:cs="Arial"/>
          <w:sz w:val="20"/>
          <w:szCs w:val="20"/>
        </w:rPr>
        <w:t xml:space="preserve">. </w:t>
      </w:r>
    </w:p>
    <w:p>
      <w:pPr>
        <w:spacing w:after="0" w:line="360" w:lineRule="auto"/>
        <w:jc w:val="both"/>
        <w:rPr>
          <w:rFonts w:ascii="Arial" w:hAnsi="Arial" w:cs="Arial"/>
          <w:sz w:val="20"/>
          <w:szCs w:val="20"/>
        </w:rPr>
      </w:pPr>
      <w:r>
        <w:rPr>
          <w:rFonts w:ascii="Arial" w:hAnsi="Arial" w:cs="Arial"/>
          <w:sz w:val="20"/>
          <w:szCs w:val="20"/>
        </w:rPr>
        <w:t>Załącznik nr 7 - Wzór Umowy</w:t>
      </w:r>
    </w:p>
    <w:p>
      <w:pPr>
        <w:spacing w:after="0" w:line="360" w:lineRule="auto"/>
        <w:jc w:val="both"/>
        <w:rPr>
          <w:rFonts w:ascii="Arial" w:hAnsi="Arial" w:cs="Arial"/>
          <w:sz w:val="20"/>
          <w:szCs w:val="20"/>
        </w:rPr>
      </w:pPr>
      <w:r>
        <w:rPr>
          <w:rFonts w:ascii="Arial" w:hAnsi="Arial" w:cs="Arial"/>
          <w:sz w:val="20"/>
          <w:szCs w:val="20"/>
        </w:rPr>
        <w:t>Załącznik nr 8 – Oświadczenie Wykonawcy</w:t>
      </w:r>
    </w:p>
    <w:p>
      <w:pPr>
        <w:spacing w:after="0" w:line="360" w:lineRule="auto"/>
        <w:jc w:val="both"/>
        <w:rPr>
          <w:rFonts w:ascii="Arial" w:hAnsi="Arial" w:cs="Arial"/>
          <w:b/>
        </w:rPr>
      </w:pPr>
    </w:p>
    <w:p>
      <w:pPr>
        <w:spacing w:after="0" w:line="360" w:lineRule="auto"/>
        <w:jc w:val="both"/>
        <w:rPr>
          <w:rFonts w:ascii="Arial" w:hAnsi="Arial" w:cs="Arial"/>
          <w:b/>
        </w:rPr>
      </w:pPr>
    </w:p>
    <w:p>
      <w:pPr>
        <w:spacing w:after="0" w:line="360" w:lineRule="auto"/>
        <w:jc w:val="both"/>
        <w:rPr>
          <w:rFonts w:ascii="Arial" w:hAnsi="Arial" w:cs="Arial"/>
          <w:b/>
        </w:rPr>
      </w:pPr>
      <w:r>
        <w:rPr>
          <w:rFonts w:ascii="Arial" w:hAnsi="Arial" w:cs="Arial"/>
          <w:b/>
        </w:rPr>
        <w:t xml:space="preserve">Niniejszą SWZ przedkłada do akceptacji Komisja Przetargowa w następującym składzie: </w:t>
      </w:r>
    </w:p>
    <w:p>
      <w:pPr>
        <w:spacing w:after="0" w:line="360" w:lineRule="auto"/>
        <w:jc w:val="both"/>
        <w:rPr>
          <w:rFonts w:ascii="Arial" w:hAnsi="Arial" w:cs="Arial"/>
        </w:rPr>
      </w:pPr>
    </w:p>
    <w:p>
      <w:pPr>
        <w:spacing w:after="0" w:line="360" w:lineRule="auto"/>
        <w:jc w:val="both"/>
        <w:rPr>
          <w:rFonts w:ascii="Arial" w:hAnsi="Arial" w:cs="Arial"/>
        </w:rPr>
      </w:pPr>
      <w:r>
        <w:rPr>
          <w:rFonts w:ascii="Arial" w:hAnsi="Arial" w:cs="Arial"/>
        </w:rPr>
        <w:t>Przewodniczący Komisji Lucyna Gruszkowska              …………………………………………</w:t>
      </w:r>
    </w:p>
    <w:p>
      <w:pPr>
        <w:spacing w:after="0" w:line="360" w:lineRule="auto"/>
        <w:jc w:val="both"/>
        <w:rPr>
          <w:rFonts w:ascii="Arial" w:hAnsi="Arial" w:cs="Arial"/>
        </w:rPr>
      </w:pPr>
    </w:p>
    <w:p>
      <w:pPr>
        <w:spacing w:after="0" w:line="360" w:lineRule="auto"/>
        <w:jc w:val="both"/>
        <w:rPr>
          <w:rFonts w:ascii="Arial" w:hAnsi="Arial" w:cs="Arial"/>
        </w:rPr>
      </w:pPr>
      <w:r>
        <w:rPr>
          <w:rFonts w:ascii="Arial" w:hAnsi="Arial" w:cs="Arial"/>
        </w:rPr>
        <w:t>Sekretarz Komisji Joanna Błażej</w:t>
      </w:r>
      <w:r>
        <w:rPr>
          <w:rFonts w:ascii="Arial" w:hAnsi="Arial" w:cs="Arial"/>
        </w:rPr>
        <w:tab/>
      </w:r>
      <w:r>
        <w:rPr>
          <w:rFonts w:ascii="Arial" w:hAnsi="Arial" w:cs="Arial"/>
        </w:rPr>
        <w:tab/>
        <w:t xml:space="preserve">                  …………………………………………</w:t>
      </w:r>
    </w:p>
    <w:p>
      <w:pPr>
        <w:spacing w:after="0" w:line="360" w:lineRule="auto"/>
        <w:jc w:val="both"/>
        <w:rPr>
          <w:rFonts w:ascii="Arial" w:hAnsi="Arial" w:cs="Arial"/>
        </w:rPr>
      </w:pPr>
    </w:p>
    <w:p>
      <w:pPr>
        <w:spacing w:after="0" w:line="360" w:lineRule="auto"/>
        <w:jc w:val="both"/>
        <w:rPr>
          <w:rFonts w:ascii="Arial" w:hAnsi="Arial" w:cs="Arial"/>
        </w:rPr>
      </w:pPr>
      <w:r>
        <w:rPr>
          <w:rFonts w:ascii="Arial" w:hAnsi="Arial" w:cs="Arial"/>
        </w:rPr>
        <w:t>Członek Komisji Maciej Linda</w:t>
      </w:r>
      <w:r>
        <w:rPr>
          <w:rFonts w:ascii="Arial" w:hAnsi="Arial" w:cs="Arial"/>
        </w:rPr>
        <w:tab/>
        <w:t xml:space="preserve">                             …………………………………………</w:t>
      </w:r>
    </w:p>
    <w:p>
      <w:pPr>
        <w:spacing w:after="0" w:line="360" w:lineRule="auto"/>
        <w:jc w:val="both"/>
        <w:rPr>
          <w:rFonts w:ascii="Arial" w:hAnsi="Arial" w:cs="Arial"/>
        </w:rPr>
      </w:pPr>
    </w:p>
    <w:sectPr>
      <w:headerReference w:type="default" r:id="rId15"/>
      <w:pgSz w:w="11906" w:h="16838"/>
      <w:pgMar w:top="232" w:right="1080" w:bottom="567"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Nagwek"/>
    </w:pPr>
    <w:r>
      <w:rPr>
        <w:rFonts w:ascii="Arial" w:hAnsi="Arial" w:cs="Arial"/>
        <w:noProof/>
        <w:lang w:eastAsia="pl-PL"/>
      </w:rPr>
      <w:drawing>
        <wp:inline distT="0" distB="0" distL="0" distR="0">
          <wp:extent cx="6127845" cy="552734"/>
          <wp:effectExtent l="0" t="0" r="6350" b="0"/>
          <wp:docPr id="3" name="Obraz 3" descr="C:\Users\start\AppData\Local\Temp\pid-5784\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rt\AppData\Local\Temp\pid-5784\poziom_k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1009" cy="556627"/>
                  </a:xfrm>
                  <a:prstGeom prst="rect">
                    <a:avLst/>
                  </a:prstGeom>
                  <a:noFill/>
                  <a:ln>
                    <a:noFill/>
                  </a:ln>
                </pic:spPr>
              </pic:pic>
            </a:graphicData>
          </a:graphic>
        </wp:inline>
      </w:drawing>
    </w:r>
  </w:p>
  <w:p>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FD2B62E"/>
    <w:name w:val="WW8Num2"/>
    <w:lvl w:ilvl="0">
      <w:start w:val="1"/>
      <w:numFmt w:val="upperRoman"/>
      <w:lvlText w:val="%1."/>
      <w:lvlJc w:val="left"/>
      <w:pPr>
        <w:tabs>
          <w:tab w:val="num" w:pos="360"/>
        </w:tabs>
        <w:ind w:left="360" w:hanging="360"/>
      </w:pPr>
      <w:rPr>
        <w:rFonts w:ascii="Arial" w:hAnsi="Arial" w:cs="OpenSymbol"/>
        <w:b/>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A8752D"/>
    <w:multiLevelType w:val="hybridMultilevel"/>
    <w:tmpl w:val="3F6A35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9A2FB4"/>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C5B1D"/>
    <w:multiLevelType w:val="multilevel"/>
    <w:tmpl w:val="5122E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543BFE"/>
    <w:multiLevelType w:val="multilevel"/>
    <w:tmpl w:val="95AEB7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4A2AFA"/>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D91B0F"/>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8241F7"/>
    <w:multiLevelType w:val="hybridMultilevel"/>
    <w:tmpl w:val="888E1120"/>
    <w:lvl w:ilvl="0" w:tplc="5120AB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E96C8E"/>
    <w:multiLevelType w:val="multilevel"/>
    <w:tmpl w:val="E1BC95DE"/>
    <w:lvl w:ilvl="0">
      <w:start w:val="1"/>
      <w:numFmt w:val="decimal"/>
      <w:lvlText w:val="%1)"/>
      <w:lvlJc w:val="left"/>
      <w:pPr>
        <w:tabs>
          <w:tab w:val="num" w:pos="0"/>
        </w:tabs>
        <w:ind w:left="1065" w:hanging="360"/>
      </w:pPr>
      <w:rPr>
        <w:b w:val="0"/>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9" w15:restartNumberingAfterBreak="0">
    <w:nsid w:val="3320122B"/>
    <w:multiLevelType w:val="hybridMultilevel"/>
    <w:tmpl w:val="098A71E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0838E0"/>
    <w:multiLevelType w:val="multilevel"/>
    <w:tmpl w:val="6B307584"/>
    <w:lvl w:ilvl="0">
      <w:start w:val="1"/>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A9B1477"/>
    <w:multiLevelType w:val="multilevel"/>
    <w:tmpl w:val="86304F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02D45E2"/>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726302"/>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365BB1"/>
    <w:multiLevelType w:val="multilevel"/>
    <w:tmpl w:val="74F8D54E"/>
    <w:lvl w:ilvl="0">
      <w:start w:val="2"/>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sz w:val="20"/>
        <w:szCs w:val="20"/>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15" w15:restartNumberingAfterBreak="0">
    <w:nsid w:val="45934BE5"/>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F93029"/>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5D22D9"/>
    <w:multiLevelType w:val="multilevel"/>
    <w:tmpl w:val="FA66B754"/>
    <w:lvl w:ilvl="0">
      <w:start w:val="4"/>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15:restartNumberingAfterBreak="0">
    <w:nsid w:val="4ABC5EFC"/>
    <w:multiLevelType w:val="hybridMultilevel"/>
    <w:tmpl w:val="E206BA0A"/>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F71F22"/>
    <w:multiLevelType w:val="hybridMultilevel"/>
    <w:tmpl w:val="B5225B3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AD615A"/>
    <w:multiLevelType w:val="hybridMultilevel"/>
    <w:tmpl w:val="0C9C1F3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50C786A"/>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931461"/>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C11D7F"/>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7259DA"/>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3225CB"/>
    <w:multiLevelType w:val="multilevel"/>
    <w:tmpl w:val="6B7E3AB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90F0B9B"/>
    <w:multiLevelType w:val="hybridMultilevel"/>
    <w:tmpl w:val="44E455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170A28"/>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
  </w:num>
  <w:num w:numId="3">
    <w:abstractNumId w:val="10"/>
  </w:num>
  <w:num w:numId="4">
    <w:abstractNumId w:val="25"/>
  </w:num>
  <w:num w:numId="5">
    <w:abstractNumId w:val="14"/>
  </w:num>
  <w:num w:numId="6">
    <w:abstractNumId w:val="11"/>
  </w:num>
  <w:num w:numId="7">
    <w:abstractNumId w:val="19"/>
  </w:num>
  <w:num w:numId="8">
    <w:abstractNumId w:val="4"/>
  </w:num>
  <w:num w:numId="9">
    <w:abstractNumId w:val="3"/>
  </w:num>
  <w:num w:numId="10">
    <w:abstractNumId w:val="26"/>
  </w:num>
  <w:num w:numId="11">
    <w:abstractNumId w:val="7"/>
  </w:num>
  <w:num w:numId="12">
    <w:abstractNumId w:val="1"/>
  </w:num>
  <w:num w:numId="13">
    <w:abstractNumId w:val="24"/>
  </w:num>
  <w:num w:numId="1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5"/>
  </w:num>
  <w:num w:numId="19">
    <w:abstractNumId w:val="21"/>
  </w:num>
  <w:num w:numId="20">
    <w:abstractNumId w:val="6"/>
  </w:num>
  <w:num w:numId="21">
    <w:abstractNumId w:val="27"/>
  </w:num>
  <w:num w:numId="22">
    <w:abstractNumId w:val="20"/>
  </w:num>
  <w:num w:numId="23">
    <w:abstractNumId w:val="2"/>
  </w:num>
  <w:num w:numId="24">
    <w:abstractNumId w:val="12"/>
  </w:num>
  <w:num w:numId="25">
    <w:abstractNumId w:val="22"/>
  </w:num>
  <w:num w:numId="26">
    <w:abstractNumId w:val="16"/>
  </w:num>
  <w:num w:numId="27">
    <w:abstractNumId w:val="2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53014BD-8D38-4A03-9127-C495F913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000FF" w:themeColor="hyperlink"/>
      <w:u w:val="single"/>
    </w:rPr>
  </w:style>
  <w:style w:type="paragraph" w:styleId="Akapitzlist">
    <w:name w:val="List Paragraph"/>
    <w:basedOn w:val="Normalny"/>
    <w:uiPriority w:val="34"/>
    <w:qFormat/>
    <w:pPr>
      <w:ind w:left="720"/>
      <w:contextualSpacing/>
    </w:pPr>
  </w:style>
  <w:style w:type="character" w:styleId="Pogrubienie">
    <w:name w:val="Strong"/>
    <w:basedOn w:val="Domylnaczcionkaakapitu"/>
    <w:uiPriority w:val="22"/>
    <w:qFormat/>
    <w:rPr>
      <w:b/>
      <w:bCs/>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48297">
      <w:bodyDiv w:val="1"/>
      <w:marLeft w:val="0"/>
      <w:marRight w:val="0"/>
      <w:marTop w:val="0"/>
      <w:marBottom w:val="0"/>
      <w:divBdr>
        <w:top w:val="none" w:sz="0" w:space="0" w:color="auto"/>
        <w:left w:val="none" w:sz="0" w:space="0" w:color="auto"/>
        <w:bottom w:val="none" w:sz="0" w:space="0" w:color="auto"/>
        <w:right w:val="none" w:sz="0" w:space="0" w:color="auto"/>
      </w:divBdr>
    </w:div>
    <w:div w:id="565647007">
      <w:bodyDiv w:val="1"/>
      <w:marLeft w:val="0"/>
      <w:marRight w:val="0"/>
      <w:marTop w:val="0"/>
      <w:marBottom w:val="0"/>
      <w:divBdr>
        <w:top w:val="none" w:sz="0" w:space="0" w:color="auto"/>
        <w:left w:val="none" w:sz="0" w:space="0" w:color="auto"/>
        <w:bottom w:val="none" w:sz="0" w:space="0" w:color="auto"/>
        <w:right w:val="none" w:sz="0" w:space="0" w:color="auto"/>
      </w:divBdr>
    </w:div>
    <w:div w:id="580717322">
      <w:bodyDiv w:val="1"/>
      <w:marLeft w:val="0"/>
      <w:marRight w:val="0"/>
      <w:marTop w:val="0"/>
      <w:marBottom w:val="0"/>
      <w:divBdr>
        <w:top w:val="none" w:sz="0" w:space="0" w:color="auto"/>
        <w:left w:val="none" w:sz="0" w:space="0" w:color="auto"/>
        <w:bottom w:val="none" w:sz="0" w:space="0" w:color="auto"/>
        <w:right w:val="none" w:sz="0" w:space="0" w:color="auto"/>
      </w:divBdr>
    </w:div>
    <w:div w:id="724639447">
      <w:bodyDiv w:val="1"/>
      <w:marLeft w:val="0"/>
      <w:marRight w:val="0"/>
      <w:marTop w:val="0"/>
      <w:marBottom w:val="0"/>
      <w:divBdr>
        <w:top w:val="none" w:sz="0" w:space="0" w:color="auto"/>
        <w:left w:val="none" w:sz="0" w:space="0" w:color="auto"/>
        <w:bottom w:val="none" w:sz="0" w:space="0" w:color="auto"/>
        <w:right w:val="none" w:sz="0" w:space="0" w:color="auto"/>
      </w:divBdr>
    </w:div>
    <w:div w:id="1119883867">
      <w:bodyDiv w:val="1"/>
      <w:marLeft w:val="0"/>
      <w:marRight w:val="0"/>
      <w:marTop w:val="0"/>
      <w:marBottom w:val="0"/>
      <w:divBdr>
        <w:top w:val="none" w:sz="0" w:space="0" w:color="auto"/>
        <w:left w:val="none" w:sz="0" w:space="0" w:color="auto"/>
        <w:bottom w:val="none" w:sz="0" w:space="0" w:color="auto"/>
        <w:right w:val="none" w:sz="0" w:space="0" w:color="auto"/>
      </w:divBdr>
    </w:div>
    <w:div w:id="1168596873">
      <w:bodyDiv w:val="1"/>
      <w:marLeft w:val="0"/>
      <w:marRight w:val="0"/>
      <w:marTop w:val="0"/>
      <w:marBottom w:val="0"/>
      <w:divBdr>
        <w:top w:val="none" w:sz="0" w:space="0" w:color="auto"/>
        <w:left w:val="none" w:sz="0" w:space="0" w:color="auto"/>
        <w:bottom w:val="none" w:sz="0" w:space="0" w:color="auto"/>
        <w:right w:val="none" w:sz="0" w:space="0" w:color="auto"/>
      </w:divBdr>
    </w:div>
    <w:div w:id="1246571571">
      <w:bodyDiv w:val="1"/>
      <w:marLeft w:val="0"/>
      <w:marRight w:val="0"/>
      <w:marTop w:val="0"/>
      <w:marBottom w:val="0"/>
      <w:divBdr>
        <w:top w:val="none" w:sz="0" w:space="0" w:color="auto"/>
        <w:left w:val="none" w:sz="0" w:space="0" w:color="auto"/>
        <w:bottom w:val="none" w:sz="0" w:space="0" w:color="auto"/>
        <w:right w:val="none" w:sz="0" w:space="0" w:color="auto"/>
      </w:divBdr>
    </w:div>
    <w:div w:id="1300649251">
      <w:bodyDiv w:val="1"/>
      <w:marLeft w:val="0"/>
      <w:marRight w:val="0"/>
      <w:marTop w:val="0"/>
      <w:marBottom w:val="0"/>
      <w:divBdr>
        <w:top w:val="none" w:sz="0" w:space="0" w:color="auto"/>
        <w:left w:val="none" w:sz="0" w:space="0" w:color="auto"/>
        <w:bottom w:val="none" w:sz="0" w:space="0" w:color="auto"/>
        <w:right w:val="none" w:sz="0" w:space="0" w:color="auto"/>
      </w:divBdr>
    </w:div>
    <w:div w:id="1343973890">
      <w:bodyDiv w:val="1"/>
      <w:marLeft w:val="0"/>
      <w:marRight w:val="0"/>
      <w:marTop w:val="0"/>
      <w:marBottom w:val="0"/>
      <w:divBdr>
        <w:top w:val="none" w:sz="0" w:space="0" w:color="auto"/>
        <w:left w:val="none" w:sz="0" w:space="0" w:color="auto"/>
        <w:bottom w:val="none" w:sz="0" w:space="0" w:color="auto"/>
        <w:right w:val="none" w:sz="0" w:space="0" w:color="auto"/>
      </w:divBdr>
    </w:div>
    <w:div w:id="1598443186">
      <w:bodyDiv w:val="1"/>
      <w:marLeft w:val="0"/>
      <w:marRight w:val="0"/>
      <w:marTop w:val="0"/>
      <w:marBottom w:val="0"/>
      <w:divBdr>
        <w:top w:val="none" w:sz="0" w:space="0" w:color="auto"/>
        <w:left w:val="none" w:sz="0" w:space="0" w:color="auto"/>
        <w:bottom w:val="none" w:sz="0" w:space="0" w:color="auto"/>
        <w:right w:val="none" w:sz="0" w:space="0" w:color="auto"/>
      </w:divBdr>
    </w:div>
    <w:div w:id="1620528867">
      <w:bodyDiv w:val="1"/>
      <w:marLeft w:val="0"/>
      <w:marRight w:val="0"/>
      <w:marTop w:val="0"/>
      <w:marBottom w:val="0"/>
      <w:divBdr>
        <w:top w:val="none" w:sz="0" w:space="0" w:color="auto"/>
        <w:left w:val="none" w:sz="0" w:space="0" w:color="auto"/>
        <w:bottom w:val="none" w:sz="0" w:space="0" w:color="auto"/>
        <w:right w:val="none" w:sz="0" w:space="0" w:color="auto"/>
      </w:divBdr>
    </w:div>
    <w:div w:id="180441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brodnica.webc.pl/" TargetMode="External"/><Relationship Id="rId13" Type="http://schemas.openxmlformats.org/officeDocument/2006/relationships/hyperlink" Target="https://www.uzp.gov.pl/baza-wiedzy/prawo-zamowien-publicznych-regulacje/prawo-krajowe/jednolity-europejski-dokument-zamowienia" TargetMode="External"/><Relationship Id="rId3" Type="http://schemas.openxmlformats.org/officeDocument/2006/relationships/settings" Target="settings.xml"/><Relationship Id="rId7" Type="http://schemas.openxmlformats.org/officeDocument/2006/relationships/hyperlink" Target="https://platformazakupowa.pl/pn/szpitalbrodnica" TargetMode="External"/><Relationship Id="rId12" Type="http://schemas.openxmlformats.org/officeDocument/2006/relationships/hyperlink" Target="mailto:iod@zozbrodnic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zozbrodnica.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pn/szpitalbrodnica" TargetMode="External"/><Relationship Id="rId4" Type="http://schemas.openxmlformats.org/officeDocument/2006/relationships/webSettings" Target="web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szpitalbrodn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925</TotalTime>
  <Pages>24</Pages>
  <Words>9198</Words>
  <Characters>55194</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Joanna Błażej </cp:lastModifiedBy>
  <cp:revision>76</cp:revision>
  <dcterms:created xsi:type="dcterms:W3CDTF">2021-01-19T11:41:00Z</dcterms:created>
  <dcterms:modified xsi:type="dcterms:W3CDTF">2023-05-10T10:20:00Z</dcterms:modified>
</cp:coreProperties>
</file>