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9" w:type="dxa"/>
        <w:tblInd w:w="-18" w:type="dxa"/>
        <w:tblLayout w:type="fixed"/>
        <w:tblCellMar>
          <w:top w:w="55" w:type="dxa"/>
          <w:left w:w="71" w:type="dxa"/>
          <w:bottom w:w="55" w:type="dxa"/>
          <w:right w:w="71" w:type="dxa"/>
        </w:tblCellMar>
        <w:tblLook w:val="0000" w:firstRow="0" w:lastRow="0" w:firstColumn="0" w:lastColumn="0" w:noHBand="0" w:noVBand="0"/>
      </w:tblPr>
      <w:tblGrid>
        <w:gridCol w:w="450"/>
        <w:gridCol w:w="1538"/>
        <w:gridCol w:w="10537"/>
        <w:gridCol w:w="2044"/>
      </w:tblGrid>
      <w:tr w:rsidR="00B10FEB" w:rsidRPr="00B10FEB" w:rsidTr="007F2ED6">
        <w:trPr>
          <w:trHeight w:val="284"/>
        </w:trPr>
        <w:tc>
          <w:tcPr>
            <w:tcW w:w="14569" w:type="dxa"/>
            <w:gridSpan w:val="4"/>
            <w:shd w:val="clear" w:color="auto" w:fill="auto"/>
            <w:vAlign w:val="center"/>
          </w:tcPr>
          <w:p w:rsidR="00B10FEB" w:rsidRPr="00B10FEB" w:rsidRDefault="00B10FEB" w:rsidP="00B10FEB">
            <w:pPr>
              <w:tabs>
                <w:tab w:val="left" w:pos="10083"/>
                <w:tab w:val="left" w:pos="12492"/>
              </w:tabs>
              <w:suppressAutoHyphens/>
              <w:spacing w:after="57" w:line="259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9759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Nr sprawy ZP.271.9</w:t>
            </w: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.2022                                                                                                                                                                                     Załącznik nr 1 do SWZ </w:t>
            </w:r>
          </w:p>
          <w:p w:rsidR="00B10FEB" w:rsidRPr="00597595" w:rsidRDefault="00B10FEB" w:rsidP="00627430">
            <w:pPr>
              <w:widowControl w:val="0"/>
              <w:suppressAutoHyphens/>
              <w:spacing w:after="21" w:line="259" w:lineRule="auto"/>
              <w:ind w:left="130" w:hanging="112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B10FE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Szczegółowy Opis Przedmiotu Zamówienia </w:t>
            </w:r>
          </w:p>
          <w:p w:rsidR="00627430" w:rsidRPr="00B10FEB" w:rsidRDefault="00627430" w:rsidP="00627430">
            <w:pPr>
              <w:widowControl w:val="0"/>
              <w:suppressAutoHyphens/>
              <w:spacing w:after="21" w:line="259" w:lineRule="auto"/>
              <w:ind w:left="130" w:hanging="11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9759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Przedmiotem zamówienia jest dostawa</w:t>
            </w:r>
            <w:r w:rsidRPr="0059759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Komputer</w:t>
            </w:r>
            <w:r w:rsidRPr="0059759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ów </w:t>
            </w: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przenośny</w:t>
            </w:r>
            <w:r w:rsidRPr="0059759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ch </w:t>
            </w: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- laptop</w:t>
            </w:r>
            <w:r w:rsidRPr="0059759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ów w ilości 40 szt. o następujących parametrach :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Nazwa komponentu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ind w:left="-7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Wymagane minimalne</w:t>
            </w:r>
            <w:r w:rsidR="00627430" w:rsidRPr="0059759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parametry techniczne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ind w:left="-7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Oferowane parametry techniczne sprzętu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Typ komputera i jego zastosowanie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W ofercie należy podać nazwę producenta, typ, model oraz numer katalogowy oferowanego sprzętu umożliwiający jednoznaczną identyfikację oferowanej konfiguracji u producenta komputera. Komputer przenośny - laptop - będzie wykorzystywany dla potrzeb aplikacji biurowych, dostępu do internetu oraz poczty elektronicznej, jako lokalna baza danych, stacja programistyczna.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Producent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Model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Typ, nr katalogowy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Ekran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Matryca min. 15,6” z podświetleniem w technologii LED, powłoka antyrefleksyjna Anti-Glare, rozdzielczość: Full HD 1920x1080, 250nits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Spełnia: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 / NIE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Wielkość matrycy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Obudowa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Obudowa wyposażona w zawiasy metalowe. Kąt otwarcia matrycy min.178 stopni.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 obudowę wbudowane co najmniej 2 diody sygnalizujące: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 min. 3 stany ładowania komputera (min. odłączone zasilanie, ładowanie, naładowany)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 kamera video 720p z mechaniczną zasłoną obiektywu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 min. trzy stany pracy komputera (min. wyłączony/zahibernowany, uśpiony, włączony)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Spełnia: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TAK / NIE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Chipset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Dostosowany do zaoferowanego procesora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627430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 / NIE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Płyta główna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Zaprojektowana i wyprodukowana przez producenta komputera wyposażona w interfejs SATA III (6 </w:t>
            </w:r>
            <w:proofErr w:type="spellStart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Gb</w:t>
            </w:r>
            <w:proofErr w:type="spellEnd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/s) do obsługi dysków twardych. Płyta główna i konstrukcja laptopa wspierająca konfiguracje dwu dyskową SSD M.2 + HDD/SSD 2,5”.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Spełnia: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 / NIE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627430">
            <w:pPr>
              <w:widowControl w:val="0"/>
              <w:suppressAutoHyphens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Procesor wielordzeniowy ze zintegrowaną grafiką, zaprojektowany do pracy w komputerach przenośnych klasy x86. Punktacja procesora na poziomie wydajności liczonej w punktach równa lub wyższa procesorowi Intel </w:t>
            </w:r>
            <w:proofErr w:type="spellStart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Core</w:t>
            </w:r>
            <w:proofErr w:type="spellEnd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i3-1115G4 na podstawie </w:t>
            </w:r>
            <w:proofErr w:type="spellStart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PerformanceTest</w:t>
            </w:r>
            <w:proofErr w:type="spellEnd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w teście CPU Mark według wyników </w:t>
            </w:r>
            <w:proofErr w:type="spellStart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Avarage</w:t>
            </w:r>
            <w:proofErr w:type="spellEnd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CPU Mark opublikowanych na http://www.cpubenchmark.net/. Wykonawca w składanej ofercie winien podać dokładny model oferowanego procesora </w:t>
            </w:r>
            <w:r w:rsidR="00627430" w:rsidRPr="0059759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Spełnia: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 / NIE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Procesor, model, wynik testu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Pamięć operacyjna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Pamięć operacyjna min. 8 GB z możliwością rozbudowy do 12 GB.  Pamięć RAM działająca w trybie dual channel.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Spełnia: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 / NIE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Ilość:                 GB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105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Zintegrowana karta graficzna wykorzystująca pamięć RAM systemu dynamicznie przydzielaną na potrzeby grafiki w trybie UMA (</w:t>
            </w:r>
            <w:proofErr w:type="spellStart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Unified</w:t>
            </w:r>
            <w:proofErr w:type="spellEnd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Memory Access) – z możliwością dynamicznego przydzielenia pamięci.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 xml:space="preserve">Spełnia: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 / NIE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Dysk twardy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DD3397" w:rsidP="00DD3397">
            <w:pPr>
              <w:widowControl w:val="0"/>
              <w:tabs>
                <w:tab w:val="left" w:pos="284"/>
              </w:tabs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D339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Min. jeden dysk 240 GB M.2 </w:t>
            </w:r>
            <w:proofErr w:type="spellStart"/>
            <w:r w:rsidRPr="00DD339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PCIe</w:t>
            </w:r>
            <w:proofErr w:type="spellEnd"/>
            <w:r w:rsidRPr="00DD339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339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NVMe</w:t>
            </w:r>
            <w:proofErr w:type="spellEnd"/>
            <w:r w:rsidRPr="00DD339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, zawierający partycję RECOVERY umożliwiającą odtworzenie systemu operacyjnego fabrycznie zainstalowanego na komputerze po awarii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24310D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lub inny sposób na odtworzenie systemu operacyjnego do ustawień fabrycznych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. </w:t>
            </w:r>
            <w:r w:rsidRPr="00DD339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Możliwość rozbudowy do konfiguracji dwu dyskowej w oparciu o dysk M.2 SSD oraz SSD 2,5”. Zatoka 2,5” gotowa do dołożenia dysku twardego. Nie dopuszcza się dysków z pamięciami QLC.</w:t>
            </w:r>
            <w:bookmarkStart w:id="0" w:name="_GoBack"/>
            <w:bookmarkEnd w:id="0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Spełnia: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TAK / NIE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Ilość:                 GB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Audio/Video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Wbudowana zgodna z HD Audio karta dźwiękowa, wbudowane głośniki stereo Dolby Audio, wbudowane mikrofony, sterowanie głośnością głośników za pośrednictwem wydzielonych klawiszy funkcyjnych na klawiaturze, wydzielony przycisk funkcyjny do natychmiastowego wyciszania głośników oraz mikrofonu (</w:t>
            </w:r>
            <w:proofErr w:type="spellStart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mute</w:t>
            </w:r>
            <w:proofErr w:type="spellEnd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), wbudowana kamera internetowa 720p z wbudowaną mechaniczną zasłoną obiektywu (nie dopuszcza się elementów instalowanych po produkcyjnie, naklejanych itp.)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Spełnia: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 / NIE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Porty/złącza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3xUSB w tym min. 2xUSB 3.1, złącze słuchawek i złącze mikrofonu typu COMBO, HDMI, port LAN RJ-45. Dedykowany przycisk umożliwiający odtworzenie systemu z partycji </w:t>
            </w:r>
            <w:proofErr w:type="spellStart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Recovery</w:t>
            </w:r>
            <w:proofErr w:type="spellEnd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. Port zasilania – zasilanie nie może wykorzystywać wymaganych portów USB.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Spełnia: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TAK / NIE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Klawiatura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Klawiatura, układ QWERTY.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Spełnia: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TAK / NIE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WiFi</w:t>
            </w:r>
            <w:proofErr w:type="spellEnd"/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Wbudowana karta sieciowa, pracująca w standardzie AC wyposażona w anteny 2x2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Spełnia: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 / NIE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Bluetooth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Wbudowany moduł Bluetooth min. 5.0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Spełnia: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TAK / NIE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Bateria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62743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Bateria – min. 2 ogniwa, pozwalająca na nieprzerwaną pracę urządzenia do 5h. Czas pracy na baterii potwierdzony w teście </w:t>
            </w:r>
            <w:proofErr w:type="spellStart"/>
            <w:r w:rsidRPr="00597595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MobileMark</w:t>
            </w:r>
            <w:proofErr w:type="spellEnd"/>
            <w:r w:rsidRPr="00597595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® 25 . Nie należy załączać do oferty wydruków czy dokumentów</w:t>
            </w:r>
            <w:r w:rsidR="00627430" w:rsidRPr="00597595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świadczących  o spełnieniu powyższych kryteriów</w:t>
            </w: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Spełnia: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 / NIE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Zasilacz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Zasilacz zewnętrzny max 65W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Spełnia: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 / NIE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BIOS  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BIOS zgodny ze specyfikacją UEFI.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Możliwość odczytania z BIOS bez uruchamiania systemu operacyjnego z dysku twardego komputera lub innych podłączonych do niego urządzeń zewnętrznych następujących informacji: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- wersja BIOS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- S/N (P/N) laptopa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- wielkość pamięci RAM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- typ procesora</w:t>
            </w:r>
          </w:p>
          <w:p w:rsidR="00597595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- zainstalowane dyski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lastRenderedPageBreak/>
              <w:t>- o zintegrowanej w BIOS licencji na system operacyjny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- odczytania z BIOS nazwy producenta komputera oraz modelu lub konfiguracji zaoferowanej jednostki.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Nie dopuszcza się wykorzystania pól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Asset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TAG w BIOS do propagacji w/w informacji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Administrator z poziomu BIOS musi mieć możliwość ustawienia: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   - hasła dla twardego dysku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   - hasła Administratora oraz Użytkownika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   - zmiana kolejności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bootowania</w:t>
            </w:r>
            <w:proofErr w:type="spellEnd"/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   - włączania/wyłączania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WiFi</w:t>
            </w:r>
            <w:proofErr w:type="spellEnd"/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   - włączania/wyłączania wirtualizacji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   - włączania/wyłączania wgrania starszej wersji BIOS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   - sposobu działania klawiszy F1-F12 (normalna praca/skróty)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   - trybu wydajności lub chłodzenia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W przypadku występowania na klawiaturze przycisku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Fn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wymaga się funkcjonalności w BIOS umożliwiającej zamianę funkcji pomiędzy klawiszami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Ctrl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Fn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, tak aby użytkownik nie musiał zmieniać swoich przyzwyczajeń umiejscowienia przycisków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Ctrl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Fn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, co wpływa na komfort obsługi.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Przy ustawionym haśle Administratora, zalogowany Użytkownik do BIOS musi mieć możliwość zmiany własnego hasła. Nie dopuszcza się możliwości edycji ustawień wpływających na bezpieczeństwo urządzenia.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bootujących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typu USB, natomiast po uruchomieniu systemu operacyjnego porty USB są aktywne.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lastRenderedPageBreak/>
              <w:t xml:space="preserve">Spełnia: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TAK / NIE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Certyfikaty i standardy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Certyfikat ISO9001 dla producenta sprzętu </w:t>
            </w:r>
          </w:p>
          <w:p w:rsidR="00B10FEB" w:rsidRPr="00B10FEB" w:rsidRDefault="00B10FEB" w:rsidP="00B10FE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ENERGY STAR 8.0</w:t>
            </w:r>
          </w:p>
          <w:p w:rsidR="00B10FEB" w:rsidRPr="00B10FEB" w:rsidRDefault="00B10FEB" w:rsidP="00B10FE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Deklaracja zgodności CE</w:t>
            </w:r>
          </w:p>
          <w:p w:rsidR="00B10FEB" w:rsidRPr="00B10FEB" w:rsidRDefault="00B10FEB" w:rsidP="00B10FE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Potwierdzenie spełnienia kryteriów środowiskowych, w tym zgodności z dyrektywą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RoHS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Unii Europejskiej o eliminacji substancji niebezpiecznych w postaci oświadczenia producenta jednostki.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Spełnia: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TAK / NIE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Bezpiec</w:t>
            </w:r>
            <w:r w:rsidRPr="00597595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zeń-st</w:t>
            </w: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wo</w:t>
            </w:r>
            <w:proofErr w:type="spellEnd"/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- Komputer wyposażony w moduł TPM 2.0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- Slot typu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Kensington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(Komputery wyposażone w złącze Noble Lock  lub podobne - muszą zostać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 zaoferowane z certyfikowanym przez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Kensington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i kompatybilnym adapterem ze złącza Noble Lock do złącza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Kensington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);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- Mechaniczna zasłona kamery wbudowana trwale w ekran komputera na etapie produkcji (nie dopuszcza się elementów instalowanych po produkcyjnie, naklejanych itp.);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- Dysk systemowy zawierający partycję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Recovery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umożliwiające odtworzenie systemu operacyjnego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 fabrycznie zainstalowanego na komputerze po awarii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Spełnia: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TAK / NIE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Waga 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Waga urządzenia z baterią podstawową max 1,85 kg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Spełnia: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lastRenderedPageBreak/>
              <w:t>TAK / NIE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System operacyjny </w:t>
            </w:r>
          </w:p>
        </w:tc>
        <w:tc>
          <w:tcPr>
            <w:tcW w:w="105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Zainstalowany system operacyjny Windows 10 lub 11 PL x64 w polskiej wersji językowej lub równoważny spełniający co najmniej następujące wymagania poprzez wbudowane mechanizmy, bez użycia dodatkowych aplikacji: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1. Rodzaj graficznego interfejsu użytkownika: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- Klasyczny, umożliwiający obsługę przy pomocy klawiatury i myszy,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2. Interfejs użytkownika dostępny w wielu językach do wyboru – w tym polskim i angielskim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3. Możliwość tworzenia pulpitów wirtualnych, przenoszenia aplikacji pomiędzy pulpitami i przełączanie się pomiędzy pulpitami za pomocą skrótów klawiaturowych lub GUI.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4. Wbudowane w system operacyjny minimum dwie przeglądarki Internetowe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5.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6. Zlokalizowane w języku polskim, co najmniej następujące elementy: menu, pomoc, komunikaty systemowe, menedżer plików.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7. Graficzne środowisko instalacji i konfiguracji dostępne w języku polskim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8. Wbudowany system pomocy w języku polskim.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9. Możliwość przystosowania stanowiska dla osób niepełnosprawnych (np. słabo widzących).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10. Możliwość dokonywania aktualizacji i poprawek systemu poprzez mechanizm zarządzany przez administratora systemu Zamawiającego.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11. Możliwość dostarczania poprawek do systemu operacyjnego w modelu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peer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-to-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peer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12. Możliwość sterowania czasem dostarczania nowych wersji systemu operacyjnego, możliwość centralnego opóźniania dostarczania nowej wersji o minimum 4 miesiące.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13. Zabezpieczony hasłem hierarchiczny dostęp do systemu, konta i profile użytkowników zarządzane zdalnie; praca systemu w trybie ochrony kont użytkowników.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14. Możliwość dołączenia systemu do usługi katalogowej on-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premise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lub w chmurze.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15. Umożliwienie zablokowania urządzenia w ramach danego konta tylko do uruchamiania wybranej aplikacji - tryb "kiosk".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16. Możliwość automatycznej synchronizacji plików i folderów roboczych znajdujących się na firmowym serwerze plików w centrum danych z prywatnym urządzeniem, bez konieczności łączenia się z siecią VPN z </w:t>
            </w: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lastRenderedPageBreak/>
              <w:t>poziomu folderu użytkownika zlokalizowanego w centrum danych firmy.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17. Zdalna pomoc i współdzielenie aplikacji – możliwość zdalnego przejęcia sesji zalogowanego użytkownika celem rozwiązania problemu z komputerem.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18. Transakcyjny system plików pozwalający na stosowanie przydziałów (ang.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quota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) na dysku dla użytkowników oraz zapewniający większą niezawodność i pozwalający tworzyć kopie zapasowe.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19. Oprogramowanie dla tworzenia kopii zapasowych (Backup); automatyczne wykonywanie kopii plików z możliwością automatycznego przywrócenia wersji wcześniejszej.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20. Możliwość przywracania obrazu plików systemowych do uprzednio zapisanej postaci.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21. Możliwość przywracania systemu operacyjnego do stanu początkowego z pozostawieniem plików użytkownika.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22. Możliwość blokowania lub dopuszczania dowolnych urządzeń peryferyjnych za pomocą polityk grupowych (np. przy użyciu numerów identyfikacyjnych sprzętu)."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23. Wbudowany mechanizm wirtualizacji typu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hypervisor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."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24. Wbudowana możliwość zdalnego dostępu do systemu i pracy zdalnej z wykorzystaniem pełnego interfejsu graficznego.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25. Dostępność bezpłatnych biuletynów bezpieczeństwa związanych z działaniem systemu operacyjnego.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26. Wbudowana zapora internetowa (firewall) dla ochrony połączeń internetowych, zintegrowana z systemem konsola do zarządzania ustawieniami zapory i regułami IP v4 i IP v6.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27.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28.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29. Wbudowany system uwierzytelnienia dwuskładnikowego oparty o certyfikat lub klucz prywatny oraz PIN lub uwierzytelnienie biometryczne.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30. Wbudowane mechanizmy ochrony antywirusowej i przeciw złośliwemu oprogramowaniu z zapewnionymi bezpłatnymi aktualizacjami.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31. Wbudowany system szyfrowania dysku twardego ze wsparciem modułu TPM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32. Możliwość tworzenia i przechowywania kopii zapasowych kluczy odzyskiwania do szyfrowania dysku w </w:t>
            </w: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lastRenderedPageBreak/>
              <w:t>usługach katalogowych.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33. Możliwość tworzenia wirtualnych kart inteligentnych.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34. Wsparcie dla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firmware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UEFI i funkcji bezpiecznego rozruchu (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Secure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Boot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)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35. Wbudowany w system, wykorzystywany automatycznie przez wbudowane przeglądarki filtr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reputacyjny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URL.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36. Wsparcie dla IPSEC oparte na politykach – wdrażanie IPSEC oparte na zestawach reguł definiujących ustawienia zarządzanych w sposób centralny.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37. Mechanizmy logowania w oparciu o: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a. Login i hasło,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b. Karty inteligentne i certyfikaty (Smart Card),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c. Wirtualne karty inteligentne i certyfikaty (logowanie w oparciu o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    certyfikat chroniony poprzez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    moduł TPM),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d. Certyfikat/Klucz i PIN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e. Certyfikat/Klucz i uwierzytelnienie biometryczne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38. Wsparcie dla uwierzytelniania na bazie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Kerberos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v.5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39. Wbudowany agent do zbierania danych na temat zagrożeń na stacji roboczej.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40. Wsparcie .NET Framework 2.x, 3.x i 4.x – możliwość uruchomienia aplikacji działających we wskazanych środowiskach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41. Wsparcie dla </w:t>
            </w:r>
            <w:proofErr w:type="spellStart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VBScript</w:t>
            </w:r>
            <w:proofErr w:type="spellEnd"/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– możliwość uruchamiania interpretera poleceń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42. Wsparcie dla Power Shell 5.x – możliwość uruchamiania interpretera poleceń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43. Klucz licencyjny musi być zapisany trwale w BIOS, tak aby umożliwiać instalacje systemu operacyjnego bez potrzeby ręcznego wpisywania klucza licencyjnego i aktywacje automatyczną systemu po podłączeniu do internetu.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 xml:space="preserve">Spełnia: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 / NIE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Nazwa systemu operacyjnego, wersja.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 przypadku systemu równoważnego załączyć wydruk ze strony producenta oprogramowania lub zaświadczenie potwierdzające spełnienie wymagań.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Gwarancja producenta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Min. 24 miesiące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Spełnia:</w:t>
            </w:r>
            <w:r w:rsidR="00627430" w:rsidRPr="0059759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 / NIE</w:t>
            </w:r>
          </w:p>
          <w:p w:rsidR="00B10FEB" w:rsidRPr="00B10FEB" w:rsidRDefault="00627430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59759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Ilość  </w:t>
            </w:r>
            <w:r w:rsidR="00B10FEB"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m-</w:t>
            </w:r>
            <w:proofErr w:type="spellStart"/>
            <w:r w:rsidR="00B10FEB"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cy</w:t>
            </w:r>
            <w:proofErr w:type="spellEnd"/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tabs>
                <w:tab w:val="left" w:pos="213"/>
              </w:tabs>
              <w:suppressAutoHyphens/>
              <w:spacing w:after="0" w:line="300" w:lineRule="exac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Wsparcie techniczne producenta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</w:rPr>
              <w:t xml:space="preserve">- możliwość weryfikacji u producenta konfiguracji fabrycznej zakupionego sprzętu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</w:rPr>
              <w:t>- możliwość weryfikacji na stronie producenta posiadanej/wykupionej gwarancji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</w:rPr>
              <w:t>- możliwość weryfikacji statusu naprawy urządzenia po podaniu unikalnego S/N (P/N)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</w:rPr>
              <w:t xml:space="preserve">- naprawy gwarancyjne urządzeń muszą być realizowany przez Producenta lub Autoryzowanego Partnera </w:t>
            </w:r>
            <w:r w:rsidRPr="00B10FEB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Serwisowego Producenta.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 xml:space="preserve">Spełnia: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 / NIE</w:t>
            </w:r>
          </w:p>
        </w:tc>
      </w:tr>
      <w:tr w:rsidR="00B10FEB" w:rsidRPr="00B10FEB" w:rsidTr="007F2ED6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tabs>
                <w:tab w:val="left" w:pos="213"/>
              </w:tabs>
              <w:suppressAutoHyphens/>
              <w:spacing w:after="0" w:line="300" w:lineRule="exact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10FE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Wymagania dodatkowe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suppressAutoHyphens/>
              <w:ind w:left="1200"/>
              <w:contextualSpacing/>
              <w:rPr>
                <w:rFonts w:ascii="Calibri" w:eastAsia="Calibri" w:hAnsi="Calibri" w:cs="Tahoma"/>
                <w:sz w:val="24"/>
                <w:szCs w:val="24"/>
              </w:rPr>
            </w:pPr>
            <w:r w:rsidRPr="00B10FEB">
              <w:rPr>
                <w:rFonts w:ascii="Calibri" w:eastAsia="Calibri" w:hAnsi="Calibri" w:cs="Tahoma"/>
                <w:sz w:val="24"/>
                <w:szCs w:val="24"/>
              </w:rPr>
              <w:t xml:space="preserve">Dostarczony sprzęt musi być : </w:t>
            </w:r>
          </w:p>
          <w:p w:rsidR="00B10FEB" w:rsidRPr="00B10FEB" w:rsidRDefault="00B10FEB" w:rsidP="00B10FEB">
            <w:pPr>
              <w:suppressAutoHyphens/>
              <w:ind w:left="1200"/>
              <w:contextualSpacing/>
              <w:rPr>
                <w:rFonts w:ascii="Calibri" w:eastAsia="Calibri" w:hAnsi="Calibri" w:cs="Tahoma"/>
                <w:sz w:val="24"/>
                <w:szCs w:val="24"/>
              </w:rPr>
            </w:pPr>
          </w:p>
          <w:p w:rsidR="00B10FEB" w:rsidRPr="00B10FEB" w:rsidRDefault="00B10FEB" w:rsidP="00B10FEB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Tahoma"/>
                <w:sz w:val="24"/>
                <w:szCs w:val="24"/>
              </w:rPr>
            </w:pPr>
            <w:r w:rsidRPr="00B10FEB">
              <w:rPr>
                <w:rFonts w:ascii="Calibri" w:eastAsia="Calibri" w:hAnsi="Calibri" w:cs="Tahoma"/>
                <w:sz w:val="24"/>
                <w:szCs w:val="24"/>
              </w:rPr>
              <w:t xml:space="preserve">fabrycznie nowy, </w:t>
            </w:r>
          </w:p>
          <w:p w:rsidR="00B10FEB" w:rsidRPr="00B10FEB" w:rsidRDefault="00B10FEB" w:rsidP="00B10FEB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Tahoma"/>
                <w:sz w:val="24"/>
                <w:szCs w:val="24"/>
              </w:rPr>
            </w:pPr>
            <w:r w:rsidRPr="00B10FEB">
              <w:rPr>
                <w:rFonts w:ascii="Calibri" w:eastAsia="Calibri" w:hAnsi="Calibri" w:cs="Tahoma"/>
                <w:sz w:val="24"/>
                <w:szCs w:val="24"/>
              </w:rPr>
              <w:t xml:space="preserve">nieużywany ( bez śladów  użytkowania), </w:t>
            </w:r>
          </w:p>
          <w:p w:rsidR="00B10FEB" w:rsidRPr="00B10FEB" w:rsidRDefault="00B10FEB" w:rsidP="00B10FEB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Tahoma"/>
                <w:sz w:val="24"/>
                <w:szCs w:val="24"/>
              </w:rPr>
            </w:pPr>
            <w:r w:rsidRPr="00B10FEB">
              <w:rPr>
                <w:rFonts w:ascii="Calibri" w:eastAsia="Calibri" w:hAnsi="Calibri" w:cs="Tahoma"/>
                <w:sz w:val="24"/>
                <w:szCs w:val="24"/>
              </w:rPr>
              <w:t xml:space="preserve"> wolny od wad technicznych i prawnych,</w:t>
            </w:r>
          </w:p>
          <w:p w:rsidR="00B10FEB" w:rsidRPr="00B10FEB" w:rsidRDefault="00B10FEB" w:rsidP="00B10FEB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alibri" w:eastAsia="Calibri" w:hAnsi="Calibri" w:cs="Tahoma"/>
                <w:sz w:val="24"/>
                <w:szCs w:val="24"/>
              </w:rPr>
            </w:pPr>
            <w:r w:rsidRPr="00B10FEB">
              <w:rPr>
                <w:rFonts w:ascii="Calibri" w:eastAsia="Calibri" w:hAnsi="Calibri" w:cs="Tahoma"/>
                <w:sz w:val="24"/>
                <w:szCs w:val="24"/>
              </w:rPr>
              <w:t>pochodzić z legalnych źródeł oraz zostać dostarczony ze wszystkimi elementami pozwalającymi na potwierdzenie legalności ich pochodzenia.</w:t>
            </w:r>
          </w:p>
          <w:p w:rsidR="00B10FEB" w:rsidRPr="00B10FEB" w:rsidRDefault="00B10FEB" w:rsidP="00B10FEB">
            <w:pPr>
              <w:suppressAutoHyphens/>
              <w:ind w:left="1200"/>
              <w:contextualSpacing/>
              <w:rPr>
                <w:rFonts w:ascii="Calibri" w:eastAsia="Calibri" w:hAnsi="Calibri" w:cs="Tahoma"/>
                <w:sz w:val="24"/>
                <w:szCs w:val="24"/>
              </w:rPr>
            </w:pPr>
          </w:p>
          <w:p w:rsidR="00B10FEB" w:rsidRPr="00B10FEB" w:rsidRDefault="00B10FEB" w:rsidP="00B10FEB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Spełnia: </w:t>
            </w:r>
          </w:p>
          <w:p w:rsidR="00B10FEB" w:rsidRPr="00B10FEB" w:rsidRDefault="00B10FEB" w:rsidP="00B10FE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10FE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 / NIE</w:t>
            </w:r>
          </w:p>
        </w:tc>
      </w:tr>
    </w:tbl>
    <w:p w:rsidR="00B10FEB" w:rsidRPr="00B10FEB" w:rsidRDefault="00B10FEB" w:rsidP="00B10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10FEB" w:rsidRPr="00B10FEB" w:rsidRDefault="00B10FEB" w:rsidP="00B10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10FEB" w:rsidRPr="00B10FEB" w:rsidRDefault="00B10FEB" w:rsidP="00B10FEB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szCs w:val="20"/>
          <w:lang w:eastAsia="pl-PL"/>
        </w:rPr>
      </w:pPr>
      <w:r w:rsidRPr="00B10FEB">
        <w:rPr>
          <w:rFonts w:ascii="Calibri" w:eastAsia="Times New Roman" w:hAnsi="Calibri" w:cs="Calibri"/>
          <w:iCs/>
          <w:color w:val="FF0000"/>
          <w:szCs w:val="20"/>
          <w:lang w:eastAsia="pl-PL"/>
        </w:rPr>
        <w:t>Niniejszy dokument należy opatrzyć kwalifikowanym podpisem elektronicznym lub podpisem zaufanym lub podpisem osobistym właściwej, umocowanej osoby /właściwych, umocowanych osób</w:t>
      </w:r>
    </w:p>
    <w:p w:rsidR="00B10FEB" w:rsidRPr="00B10FEB" w:rsidRDefault="00B10FEB" w:rsidP="00B10FEB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szCs w:val="20"/>
          <w:lang w:eastAsia="pl-PL"/>
        </w:rPr>
      </w:pPr>
    </w:p>
    <w:p w:rsidR="00B10FEB" w:rsidRPr="00B10FEB" w:rsidRDefault="00B10FEB" w:rsidP="00B10FEB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B6A0A" w:rsidRDefault="00EB6A0A"/>
    <w:sectPr w:rsidR="00EB6A0A" w:rsidSect="00597595">
      <w:pgSz w:w="16838" w:h="11906" w:orient="landscape"/>
      <w:pgMar w:top="851" w:right="1134" w:bottom="851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5C" w:rsidRDefault="005D275C" w:rsidP="00597595">
      <w:pPr>
        <w:spacing w:after="0" w:line="240" w:lineRule="auto"/>
      </w:pPr>
      <w:r>
        <w:separator/>
      </w:r>
    </w:p>
  </w:endnote>
  <w:endnote w:type="continuationSeparator" w:id="0">
    <w:p w:rsidR="005D275C" w:rsidRDefault="005D275C" w:rsidP="0059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5C" w:rsidRDefault="005D275C" w:rsidP="00597595">
      <w:pPr>
        <w:spacing w:after="0" w:line="240" w:lineRule="auto"/>
      </w:pPr>
      <w:r>
        <w:separator/>
      </w:r>
    </w:p>
  </w:footnote>
  <w:footnote w:type="continuationSeparator" w:id="0">
    <w:p w:rsidR="005D275C" w:rsidRDefault="005D275C" w:rsidP="00597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6EA6"/>
    <w:multiLevelType w:val="hybridMultilevel"/>
    <w:tmpl w:val="30FEFDC4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A550733"/>
    <w:multiLevelType w:val="multilevel"/>
    <w:tmpl w:val="B372BFB8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80D4FC1"/>
    <w:multiLevelType w:val="multilevel"/>
    <w:tmpl w:val="D36A42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34"/>
    <w:rsid w:val="000D5B6E"/>
    <w:rsid w:val="0024310D"/>
    <w:rsid w:val="00597595"/>
    <w:rsid w:val="005D275C"/>
    <w:rsid w:val="00627430"/>
    <w:rsid w:val="00687234"/>
    <w:rsid w:val="00B10FEB"/>
    <w:rsid w:val="00BC41D0"/>
    <w:rsid w:val="00DD3397"/>
    <w:rsid w:val="00EB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595"/>
  </w:style>
  <w:style w:type="paragraph" w:styleId="Stopka">
    <w:name w:val="footer"/>
    <w:basedOn w:val="Normalny"/>
    <w:link w:val="StopkaZnak"/>
    <w:uiPriority w:val="99"/>
    <w:unhideWhenUsed/>
    <w:rsid w:val="0059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595"/>
  </w:style>
  <w:style w:type="paragraph" w:styleId="Stopka">
    <w:name w:val="footer"/>
    <w:basedOn w:val="Normalny"/>
    <w:link w:val="StopkaZnak"/>
    <w:uiPriority w:val="99"/>
    <w:unhideWhenUsed/>
    <w:rsid w:val="0059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C23C-D754-4A78-B611-52AAA4AA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2031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cp:lastPrinted>2022-11-10T10:46:00Z</cp:lastPrinted>
  <dcterms:created xsi:type="dcterms:W3CDTF">2022-11-15T12:36:00Z</dcterms:created>
  <dcterms:modified xsi:type="dcterms:W3CDTF">2022-11-15T12:45:00Z</dcterms:modified>
</cp:coreProperties>
</file>