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55" w:rsidRPr="004871B6" w:rsidRDefault="00FB4F55" w:rsidP="00FB4F55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</w:t>
      </w:r>
      <w:r w:rsidR="00B0713E">
        <w:rPr>
          <w:bCs/>
          <w:i/>
          <w:iCs/>
        </w:rPr>
        <w:t>ałącznik nr C</w:t>
      </w:r>
      <w:r w:rsidR="00DB3DFD">
        <w:rPr>
          <w:bCs/>
          <w:i/>
          <w:iCs/>
        </w:rPr>
        <w:t>2</w:t>
      </w:r>
    </w:p>
    <w:p w:rsidR="00FB4F55" w:rsidRDefault="00FB4F55" w:rsidP="00FB4F55">
      <w:pPr>
        <w:pStyle w:val="Tekstpodstawowy22"/>
        <w:jc w:val="center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D58A1" w:rsidRDefault="00FB4F55" w:rsidP="00FB4F55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903C73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Podlimit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E47FDF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podlimit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9071DC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r w:rsidR="00202126">
              <w:rPr>
                <w:rFonts w:ascii="Times New Roman" w:hAnsi="Times New Roman"/>
                <w:b/>
                <w:sz w:val="22"/>
                <w:szCs w:val="22"/>
              </w:rPr>
              <w:t>Podlimit 7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. Celsjusza. Podlimit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F79BA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2E2ECB">
              <w:rPr>
                <w:rFonts w:ascii="Times New Roman" w:hAnsi="Times New Roman"/>
                <w:sz w:val="22"/>
                <w:szCs w:val="22"/>
              </w:rPr>
              <w:t xml:space="preserve"> w ryzyku kradzieży zwykłej do 5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FB4F55" w:rsidRPr="00BD58A1" w:rsidRDefault="00FB4F55" w:rsidP="00FB4F55">
      <w:pPr>
        <w:rPr>
          <w:b/>
          <w:bCs/>
          <w:sz w:val="22"/>
          <w:szCs w:val="22"/>
        </w:rPr>
      </w:pPr>
    </w:p>
    <w:p w:rsidR="00FB4F55" w:rsidRPr="00BD58A1" w:rsidRDefault="00FF79BA" w:rsidP="00FB4F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B4F55" w:rsidRPr="00BD58A1">
        <w:rPr>
          <w:b/>
          <w:bCs/>
          <w:sz w:val="22"/>
          <w:szCs w:val="22"/>
        </w:rPr>
        <w:t xml:space="preserve">I. </w:t>
      </w:r>
      <w:r w:rsidR="00FB4F55"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F79BA" w:rsidRPr="00BD58A1" w:rsidTr="00C7061F">
        <w:trPr>
          <w:trHeight w:val="31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F" w:rsidRDefault="001A758F" w:rsidP="001A758F">
            <w:pPr>
              <w:widowControl w:val="0"/>
              <w:suppressAutoHyphens w:val="0"/>
            </w:pPr>
            <w:r>
              <w:t xml:space="preserve">Rozszerzenie zakresu ochrony o szkody spowodowane atakiem hakerskim lub w wyniku innych cyber przestępstw, w tym m.in. pokrycie kosztów porady prawnej, odszkodowania/zadośćuczynienia, kary lub grzywny, koszty poinformowania o wycieku danych – do limitu w wysokości </w:t>
            </w:r>
          </w:p>
          <w:p w:rsidR="001A758F" w:rsidRDefault="001A758F" w:rsidP="001A758F">
            <w:pPr>
              <w:widowControl w:val="0"/>
              <w:suppressAutoHyphens w:val="0"/>
            </w:pPr>
            <w:r>
              <w:t>100 000,00 zł na jedno i wszystkie zdarzenia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Przez atak hakerski rozumieć należy ukierunkowane włamanie osób trzecich do systemu komputero</w:t>
            </w:r>
            <w:r w:rsidRPr="00C7061F">
              <w:rPr>
                <w:spacing w:val="-4"/>
                <w:sz w:val="22"/>
                <w:szCs w:val="22"/>
              </w:rPr>
              <w:softHyphen/>
              <w:t>wego ubezpieczonego, które skutkuje nielegalnym i nieuprawnionym usunięciem (utratą) lub zmianą (modyfikacją) danych i oprogramowania zawartego w tym systemie komputerowym.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 xml:space="preserve">Cyberatak to ukierunkowane wtargnięcie do systemu komputerowego ubezpieczonego, które prowadzi do transmisji nieautoryzowanych danych do tego systemu lub z tego systemu komputerowego </w:t>
            </w:r>
            <w:r w:rsidRPr="00C7061F">
              <w:rPr>
                <w:spacing w:val="-4"/>
                <w:sz w:val="22"/>
                <w:szCs w:val="22"/>
              </w:rPr>
              <w:br/>
              <w:t>do systemu komputerowego osoby trzeciej. Cyberatak to także wtargnięcie do systemu komputerowego ubezpieczonego w celu uzyskania nieuprawnionego dostępu lub wykorzystania tego systemu kompute</w:t>
            </w:r>
            <w:r w:rsidRPr="00C7061F">
              <w:rPr>
                <w:spacing w:val="-4"/>
                <w:sz w:val="22"/>
                <w:szCs w:val="22"/>
              </w:rPr>
              <w:softHyphen/>
              <w:t>ro</w:t>
            </w:r>
            <w:r w:rsidRPr="00C7061F">
              <w:rPr>
                <w:spacing w:val="-4"/>
                <w:sz w:val="22"/>
                <w:szCs w:val="22"/>
              </w:rPr>
              <w:softHyphen/>
              <w:t>wego.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Zakres ochrony obejmuje także w każdym z powyższych przypadków szkody w danych lub oprogramowaniu będące następstwem ograniczenia zakresu funkcjonalności, użytkowania lub dostępności do nich.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Franszyza integralna i redukcyjna – brak. Udział własny – 15% wartości szkody.</w:t>
            </w:r>
          </w:p>
          <w:p w:rsidR="00C7061F" w:rsidRDefault="00C7061F" w:rsidP="001A758F">
            <w:pPr>
              <w:widowControl w:val="0"/>
              <w:suppressAutoHyphens w:val="0"/>
              <w:rPr>
                <w:sz w:val="22"/>
                <w:szCs w:val="22"/>
              </w:rPr>
            </w:pPr>
          </w:p>
          <w:p w:rsidR="00FF79BA" w:rsidRPr="00BD58A1" w:rsidRDefault="00FF79BA" w:rsidP="00563F4B">
            <w:pPr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Pr="00BD58A1" w:rsidRDefault="00FF79B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B4F55" w:rsidRPr="00BD58A1" w:rsidRDefault="00FB4F55" w:rsidP="00FB4F55">
      <w:pPr>
        <w:pStyle w:val="Nagwek3"/>
        <w:tabs>
          <w:tab w:val="clear" w:pos="1967"/>
          <w:tab w:val="num" w:pos="709"/>
        </w:tabs>
        <w:ind w:left="709" w:hanging="851"/>
        <w:rPr>
          <w:rFonts w:ascii="Times New Roman" w:hAnsi="Times New Roman"/>
          <w:bCs w:val="0"/>
          <w:sz w:val="22"/>
          <w:szCs w:val="22"/>
        </w:rPr>
      </w:pPr>
    </w:p>
    <w:p w:rsidR="00FB4F55" w:rsidRDefault="00FB4F55" w:rsidP="00FB4F55">
      <w:pPr>
        <w:jc w:val="both"/>
        <w:rPr>
          <w:b/>
          <w:sz w:val="22"/>
          <w:szCs w:val="22"/>
        </w:rPr>
      </w:pPr>
    </w:p>
    <w:p w:rsidR="00FB4F55" w:rsidRPr="00BD58A1" w:rsidRDefault="00FF79BA" w:rsidP="00FB4F5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="00FB4F55">
        <w:rPr>
          <w:b/>
          <w:sz w:val="22"/>
          <w:szCs w:val="22"/>
        </w:rPr>
        <w:t xml:space="preserve">. </w:t>
      </w:r>
      <w:r w:rsidR="00FB4F55" w:rsidRPr="00BD58A1">
        <w:rPr>
          <w:b/>
          <w:sz w:val="22"/>
          <w:szCs w:val="22"/>
        </w:rPr>
        <w:t>Klauzule polisowe do powyższych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F79BA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C7018">
            <w:pPr>
              <w:jc w:val="both"/>
              <w:rPr>
                <w:u w:val="single"/>
              </w:rPr>
            </w:pPr>
            <w:r w:rsidRPr="00BD58A1">
              <w:rPr>
                <w:b/>
                <w:bCs/>
                <w:sz w:val="22"/>
                <w:szCs w:val="22"/>
              </w:rPr>
              <w:t>Klauzula Reprezentantów</w:t>
            </w:r>
            <w:r w:rsidR="00FF79BA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 xml:space="preserve"> – zakład ubezpieczeń nie odpowiada za szkody wyrządzone umyślnie lub wskutek rażącego niedbalstwa, </w:t>
            </w:r>
            <w:r>
              <w:rPr>
                <w:sz w:val="22"/>
                <w:szCs w:val="22"/>
              </w:rPr>
              <w:t xml:space="preserve">jedynie </w:t>
            </w:r>
            <w:r w:rsidRPr="00BD58A1">
              <w:rPr>
                <w:sz w:val="22"/>
                <w:szCs w:val="22"/>
              </w:rPr>
              <w:t xml:space="preserve">przez osoby reprezentujące ubezpieczającego. Dla celów niniejszej umowy, wyłącznymi osobami reprezentującymi ubezpieczającego </w:t>
            </w:r>
            <w:r w:rsidR="00D94FE5">
              <w:rPr>
                <w:sz w:val="22"/>
                <w:szCs w:val="22"/>
              </w:rPr>
              <w:t xml:space="preserve">jest </w:t>
            </w:r>
            <w:r w:rsidR="005C7018">
              <w:rPr>
                <w:sz w:val="22"/>
                <w:szCs w:val="22"/>
              </w:rPr>
              <w:t xml:space="preserve">Zarząd Spółki. </w:t>
            </w:r>
            <w:bookmarkStart w:id="0" w:name="_GoBack"/>
            <w:bookmarkEnd w:id="0"/>
            <w:r w:rsidR="00D94F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F79B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Leeway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zakład ubezpieczeń oświadcza, że postanowienia dotyczące niedoubezpieczenia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F79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dotyczących ryzyka  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FB4F55" w:rsidRDefault="00FB4F55" w:rsidP="00FB4F55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C27352" w:rsidRDefault="00FB4F55" w:rsidP="00FB4F55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p w:rsidR="00FB4F55" w:rsidRDefault="00FB4F55" w:rsidP="00FB4F55">
      <w:pPr>
        <w:jc w:val="right"/>
        <w:rPr>
          <w:i/>
        </w:rPr>
      </w:pPr>
    </w:p>
    <w:p w:rsidR="00FB4F55" w:rsidRDefault="00FB4F55" w:rsidP="00FB4F55">
      <w:pPr>
        <w:jc w:val="right"/>
        <w:rPr>
          <w:i/>
        </w:rPr>
      </w:pPr>
    </w:p>
    <w:p w:rsidR="00B146B0" w:rsidRDefault="00B146B0" w:rsidP="00F355B9">
      <w:pPr>
        <w:jc w:val="center"/>
      </w:pPr>
    </w:p>
    <w:sectPr w:rsidR="00B146B0" w:rsidSect="0073718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45F" w:rsidRDefault="00C6245F" w:rsidP="003072EC">
      <w:r>
        <w:separator/>
      </w:r>
    </w:p>
  </w:endnote>
  <w:endnote w:type="continuationSeparator" w:id="0">
    <w:p w:rsidR="00C6245F" w:rsidRDefault="00C6245F" w:rsidP="0030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4F5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701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C47E4" w:rsidRDefault="005C7018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5C7018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5C7018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>
    <w:pPr>
      <w:pStyle w:val="Stopka"/>
      <w:jc w:val="right"/>
    </w:pPr>
    <w:r>
      <w:fldChar w:fldCharType="begin"/>
    </w:r>
    <w:r w:rsidR="00FB4F55">
      <w:instrText xml:space="preserve"> PAGE   \* MERGEFORMAT </w:instrText>
    </w:r>
    <w:r>
      <w:fldChar w:fldCharType="separate"/>
    </w:r>
    <w:r w:rsidR="00F355B9">
      <w:rPr>
        <w:noProof/>
      </w:rPr>
      <w:t>1</w:t>
    </w:r>
    <w:r>
      <w:fldChar w:fldCharType="end"/>
    </w:r>
  </w:p>
  <w:p w:rsidR="00FC47E4" w:rsidRDefault="005C70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45F" w:rsidRDefault="00C6245F" w:rsidP="003072EC">
      <w:r>
        <w:separator/>
      </w:r>
    </w:p>
  </w:footnote>
  <w:footnote w:type="continuationSeparator" w:id="0">
    <w:p w:rsidR="00C6245F" w:rsidRDefault="00C6245F" w:rsidP="0030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Pr="007217B6" w:rsidRDefault="00D94FE5">
    <w:pPr>
      <w:pStyle w:val="Nagwek"/>
      <w:pBdr>
        <w:bottom w:val="single" w:sz="4" w:space="1" w:color="000000"/>
      </w:pBdr>
      <w:tabs>
        <w:tab w:val="clear" w:pos="1134"/>
      </w:tabs>
      <w:rPr>
        <w:i/>
        <w:iCs/>
        <w:sz w:val="18"/>
      </w:rPr>
    </w:pPr>
    <w:r>
      <w:rPr>
        <w:i/>
        <w:iCs/>
        <w:sz w:val="18"/>
      </w:rPr>
      <w:t>ZUK</w:t>
    </w:r>
  </w:p>
  <w:p w:rsidR="00FC47E4" w:rsidRDefault="00FB4F55" w:rsidP="00F26CE9">
    <w:pPr>
      <w:pStyle w:val="Nagwek"/>
      <w:pBdr>
        <w:bottom w:val="single" w:sz="4" w:space="1" w:color="000000"/>
      </w:pBdr>
      <w:tabs>
        <w:tab w:val="clear" w:pos="1134"/>
        <w:tab w:val="left" w:pos="0"/>
      </w:tabs>
      <w:jc w:val="right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62FE0"/>
    <w:multiLevelType w:val="hybridMultilevel"/>
    <w:tmpl w:val="D4FA1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F55"/>
    <w:rsid w:val="00002424"/>
    <w:rsid w:val="00164ED2"/>
    <w:rsid w:val="001A758F"/>
    <w:rsid w:val="001D0365"/>
    <w:rsid w:val="00202126"/>
    <w:rsid w:val="0029047C"/>
    <w:rsid w:val="002D6D81"/>
    <w:rsid w:val="002E2ECB"/>
    <w:rsid w:val="003072EC"/>
    <w:rsid w:val="005C7018"/>
    <w:rsid w:val="00737187"/>
    <w:rsid w:val="007439FB"/>
    <w:rsid w:val="008A6F60"/>
    <w:rsid w:val="008E0878"/>
    <w:rsid w:val="00903C73"/>
    <w:rsid w:val="00942F30"/>
    <w:rsid w:val="00A132E6"/>
    <w:rsid w:val="00A14702"/>
    <w:rsid w:val="00B0713E"/>
    <w:rsid w:val="00B146B0"/>
    <w:rsid w:val="00C6245F"/>
    <w:rsid w:val="00C7061F"/>
    <w:rsid w:val="00D94FE5"/>
    <w:rsid w:val="00DB3DFD"/>
    <w:rsid w:val="00F26B8C"/>
    <w:rsid w:val="00F355B9"/>
    <w:rsid w:val="00F46583"/>
    <w:rsid w:val="00FB4F5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2DF529A"/>
  <w15:docId w15:val="{63A457F3-2509-410E-B291-4B3F3789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F5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B4F5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4F55"/>
    <w:rPr>
      <w:rFonts w:ascii="Comic Sans MS" w:hAnsi="Comic Sans MS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FB4F55"/>
  </w:style>
  <w:style w:type="paragraph" w:styleId="Tekstpodstawowy">
    <w:name w:val="Body Text"/>
    <w:basedOn w:val="Normalny"/>
    <w:link w:val="TekstpodstawowyZnak"/>
    <w:rsid w:val="00FB4F5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B4F55"/>
    <w:rPr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B4F55"/>
    <w:pPr>
      <w:jc w:val="both"/>
    </w:pPr>
    <w:rPr>
      <w:rFonts w:ascii="Comic Sans MS" w:hAnsi="Comic Sans MS"/>
    </w:rPr>
  </w:style>
  <w:style w:type="paragraph" w:styleId="Stopka">
    <w:name w:val="footer"/>
    <w:basedOn w:val="Normalny"/>
    <w:link w:val="StopkaZnak"/>
    <w:uiPriority w:val="99"/>
    <w:rsid w:val="00FB4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F5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FB4F55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FB4F55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F55"/>
    <w:rPr>
      <w:sz w:val="24"/>
      <w:szCs w:val="24"/>
      <w:lang w:eastAsia="ar-SA"/>
    </w:rPr>
  </w:style>
  <w:style w:type="paragraph" w:customStyle="1" w:styleId="Standardowy0">
    <w:name w:val="Standardowy.+"/>
    <w:rsid w:val="00FB4F55"/>
    <w:rPr>
      <w:rFonts w:ascii="Arial" w:hAnsi="Arial"/>
      <w:sz w:val="24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C7061F"/>
    <w:pPr>
      <w:ind w:left="708"/>
    </w:p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C706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681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12</cp:revision>
  <dcterms:created xsi:type="dcterms:W3CDTF">2021-02-04T12:43:00Z</dcterms:created>
  <dcterms:modified xsi:type="dcterms:W3CDTF">2023-11-30T09:22:00Z</dcterms:modified>
</cp:coreProperties>
</file>