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1BA163F9" w:rsidR="00C25CB7" w:rsidRPr="00CE7501" w:rsidRDefault="00CC4773"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t>Znak sprawy: S</w:t>
      </w:r>
      <w:r w:rsidR="00C25CB7" w:rsidRPr="00CE7501">
        <w:rPr>
          <w:rFonts w:ascii="Century Gothic" w:eastAsia="Times New Roman" w:hAnsi="Century Gothic" w:cs="Arial"/>
          <w:sz w:val="18"/>
          <w:szCs w:val="18"/>
          <w:lang w:eastAsia="ar-SA"/>
        </w:rPr>
        <w:t>Z</w:t>
      </w:r>
      <w:r>
        <w:rPr>
          <w:rFonts w:ascii="Century Gothic" w:eastAsia="Times New Roman" w:hAnsi="Century Gothic" w:cs="Arial"/>
          <w:sz w:val="18"/>
          <w:szCs w:val="18"/>
          <w:lang w:eastAsia="ar-SA"/>
        </w:rPr>
        <w:t>P</w:t>
      </w:r>
      <w:r w:rsidR="00C25CB7" w:rsidRPr="00CE7501">
        <w:rPr>
          <w:rFonts w:ascii="Century Gothic" w:eastAsia="Times New Roman" w:hAnsi="Century Gothic" w:cs="Arial"/>
          <w:sz w:val="18"/>
          <w:szCs w:val="18"/>
          <w:lang w:eastAsia="ar-SA"/>
        </w:rPr>
        <w:t>.</w:t>
      </w:r>
      <w:r w:rsidR="005B77C2">
        <w:rPr>
          <w:rFonts w:ascii="Century Gothic" w:eastAsia="Times New Roman" w:hAnsi="Century Gothic" w:cs="Arial"/>
          <w:sz w:val="18"/>
          <w:szCs w:val="18"/>
          <w:lang w:eastAsia="ar-SA"/>
        </w:rPr>
        <w:t>242</w:t>
      </w:r>
      <w:r w:rsidR="00844346">
        <w:rPr>
          <w:rFonts w:ascii="Century Gothic" w:eastAsia="Times New Roman" w:hAnsi="Century Gothic" w:cs="Arial"/>
          <w:sz w:val="18"/>
          <w:szCs w:val="18"/>
          <w:lang w:eastAsia="ar-SA"/>
        </w:rPr>
        <w:t>.</w:t>
      </w:r>
      <w:r w:rsidR="00CE1A9F">
        <w:rPr>
          <w:rFonts w:ascii="Century Gothic" w:eastAsia="Times New Roman" w:hAnsi="Century Gothic" w:cs="Arial"/>
          <w:sz w:val="18"/>
          <w:szCs w:val="18"/>
          <w:lang w:eastAsia="ar-SA"/>
        </w:rPr>
        <w:t>45</w:t>
      </w:r>
      <w:r w:rsidR="0013437B">
        <w:rPr>
          <w:rFonts w:ascii="Century Gothic" w:eastAsia="Times New Roman" w:hAnsi="Century Gothic" w:cs="Arial"/>
          <w:sz w:val="18"/>
          <w:szCs w:val="18"/>
          <w:lang w:eastAsia="ar-SA"/>
        </w:rPr>
        <w:t>.</w:t>
      </w:r>
      <w:r w:rsidR="00C25CB7" w:rsidRPr="00CE7501">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2F147A2" w14:textId="67378C73"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2B356EE1"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z fakultatywnymi negocjacjami o wartości zamówienia nie przekraczającej progów unijnych, na podstawie Działu III Rozdziału 4, Oddział 1 ustawy z dnia 11 września 2019 roku Prawo zamówień publicznych (Dz. U. z 202</w:t>
      </w:r>
      <w:r w:rsidR="001455AA">
        <w:rPr>
          <w:rFonts w:ascii="Century Gothic" w:eastAsia="Times New Roman" w:hAnsi="Century Gothic" w:cs="Arial"/>
          <w:b/>
          <w:sz w:val="18"/>
          <w:szCs w:val="18"/>
          <w:lang w:eastAsia="ar-SA"/>
        </w:rPr>
        <w:t>3</w:t>
      </w:r>
      <w:r w:rsidRPr="0013437B">
        <w:rPr>
          <w:rFonts w:ascii="Century Gothic" w:eastAsia="Times New Roman" w:hAnsi="Century Gothic" w:cs="Arial"/>
          <w:b/>
          <w:sz w:val="18"/>
          <w:szCs w:val="18"/>
          <w:lang w:eastAsia="ar-SA"/>
        </w:rPr>
        <w:t xml:space="preserve">, poz. </w:t>
      </w:r>
      <w:r w:rsidR="001455AA">
        <w:rPr>
          <w:rFonts w:ascii="Century Gothic" w:eastAsia="Times New Roman" w:hAnsi="Century Gothic" w:cs="Arial"/>
          <w:b/>
          <w:sz w:val="18"/>
          <w:szCs w:val="18"/>
          <w:lang w:eastAsia="ar-SA"/>
        </w:rPr>
        <w:t xml:space="preserve">1605 </w:t>
      </w:r>
      <w:proofErr w:type="spellStart"/>
      <w:r w:rsidR="001455AA">
        <w:rPr>
          <w:rFonts w:ascii="Century Gothic" w:eastAsia="Times New Roman" w:hAnsi="Century Gothic" w:cs="Arial"/>
          <w:b/>
          <w:sz w:val="18"/>
          <w:szCs w:val="18"/>
          <w:lang w:eastAsia="ar-SA"/>
        </w:rPr>
        <w:t>t.j</w:t>
      </w:r>
      <w:proofErr w:type="spellEnd"/>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4D0FC567" w:rsidR="005C39ED" w:rsidRPr="00CE7501" w:rsidRDefault="00CC4773"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 xml:space="preserve">DOSTAWY </w:t>
      </w:r>
      <w:r w:rsidR="005B77C2">
        <w:rPr>
          <w:rFonts w:ascii="Century Gothic" w:eastAsia="Times New Roman" w:hAnsi="Century Gothic" w:cs="Times New Roman"/>
          <w:b/>
          <w:bCs/>
          <w:sz w:val="24"/>
          <w:szCs w:val="24"/>
          <w:lang w:eastAsia="ar-SA"/>
        </w:rPr>
        <w:t xml:space="preserve">ŚRODKÓW </w:t>
      </w:r>
      <w:r w:rsidR="0087594B">
        <w:rPr>
          <w:rFonts w:ascii="Century Gothic" w:eastAsia="Times New Roman" w:hAnsi="Century Gothic" w:cs="Times New Roman"/>
          <w:b/>
          <w:bCs/>
          <w:sz w:val="24"/>
          <w:szCs w:val="24"/>
          <w:lang w:eastAsia="ar-SA"/>
        </w:rPr>
        <w:t>DEZYNFEKCYJNYCH</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08338A41"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5B2176" w:rsidRPr="0098345F">
          <w:rPr>
            <w:rStyle w:val="Hipercze"/>
            <w:rFonts w:ascii="Century Gothic" w:eastAsia="Times New Roman" w:hAnsi="Century Gothic" w:cs="Times New Roman"/>
            <w:sz w:val="18"/>
            <w:szCs w:val="18"/>
            <w:lang w:val="en-US" w:eastAsia="ar-SA"/>
          </w:rPr>
          <w:t>apancechowska@pulmonologia.olsztyn.pl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496772"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6A42446C"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CE1A9F">
        <w:rPr>
          <w:rFonts w:ascii="Century Gothic" w:eastAsia="Times New Roman" w:hAnsi="Century Gothic" w:cs="Arial"/>
          <w:sz w:val="18"/>
          <w:szCs w:val="18"/>
          <w:lang w:eastAsia="ar-SA"/>
        </w:rPr>
        <w:t>3</w:t>
      </w:r>
      <w:r w:rsidRPr="004975FC">
        <w:rPr>
          <w:rFonts w:ascii="Century Gothic" w:eastAsia="Times New Roman" w:hAnsi="Century Gothic" w:cs="Arial"/>
          <w:sz w:val="18"/>
          <w:szCs w:val="18"/>
          <w:lang w:eastAsia="ar-SA"/>
        </w:rPr>
        <w:t xml:space="preserve"> roku, poz. </w:t>
      </w:r>
      <w:r w:rsidR="00CE1A9F">
        <w:rPr>
          <w:rFonts w:ascii="Century Gothic" w:eastAsia="Times New Roman" w:hAnsi="Century Gothic" w:cs="Arial"/>
          <w:sz w:val="18"/>
          <w:szCs w:val="18"/>
          <w:lang w:eastAsia="ar-SA"/>
        </w:rPr>
        <w:t>1605</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42A84EE7" w:rsidR="00212ED9" w:rsidRPr="00132F25" w:rsidRDefault="005B3918" w:rsidP="00355578">
      <w:pPr>
        <w:pStyle w:val="Bezodstpw"/>
        <w:numPr>
          <w:ilvl w:val="0"/>
          <w:numId w:val="22"/>
        </w:numPr>
        <w:ind w:left="284" w:hanging="284"/>
        <w:jc w:val="both"/>
        <w:rPr>
          <w:rFonts w:ascii="Century Gothic" w:hAnsi="Century Gothic"/>
          <w:sz w:val="18"/>
          <w:szCs w:val="18"/>
        </w:rPr>
      </w:pPr>
      <w:r w:rsidRPr="00132F25">
        <w:rPr>
          <w:rFonts w:ascii="Century Gothic" w:hAnsi="Century Gothic"/>
          <w:sz w:val="18"/>
          <w:szCs w:val="18"/>
        </w:rPr>
        <w:t xml:space="preserve">Przedmiotem niniejszego postępowania przetargowego </w:t>
      </w:r>
      <w:r w:rsidR="00CC4773">
        <w:rPr>
          <w:rFonts w:ascii="Century Gothic" w:hAnsi="Century Gothic"/>
          <w:sz w:val="18"/>
          <w:szCs w:val="18"/>
        </w:rPr>
        <w:t>s</w:t>
      </w:r>
      <w:r w:rsidR="0062001B">
        <w:rPr>
          <w:rFonts w:ascii="Century Gothic" w:hAnsi="Century Gothic"/>
          <w:sz w:val="18"/>
          <w:szCs w:val="18"/>
        </w:rPr>
        <w:t>ą</w:t>
      </w:r>
      <w:r w:rsidR="00CC4773">
        <w:rPr>
          <w:rFonts w:ascii="Century Gothic" w:hAnsi="Century Gothic"/>
          <w:sz w:val="18"/>
          <w:szCs w:val="18"/>
        </w:rPr>
        <w:t xml:space="preserve"> sukcesywne dostawy</w:t>
      </w:r>
      <w:r w:rsidR="004A0FB8" w:rsidRPr="00132F25">
        <w:rPr>
          <w:rFonts w:ascii="Century Gothic" w:hAnsi="Century Gothic"/>
          <w:b/>
          <w:sz w:val="18"/>
          <w:szCs w:val="18"/>
        </w:rPr>
        <w:t xml:space="preserve"> </w:t>
      </w:r>
      <w:r w:rsidR="00966D55">
        <w:rPr>
          <w:rFonts w:ascii="Century Gothic" w:hAnsi="Century Gothic"/>
          <w:sz w:val="18"/>
          <w:szCs w:val="18"/>
        </w:rPr>
        <w:t>środków dezynfekcyjnych</w:t>
      </w:r>
      <w:r w:rsidR="00CC4773" w:rsidRPr="00CC4773">
        <w:rPr>
          <w:rFonts w:ascii="Century Gothic" w:hAnsi="Century Gothic"/>
          <w:sz w:val="18"/>
          <w:szCs w:val="18"/>
        </w:rPr>
        <w:t xml:space="preserve"> do</w:t>
      </w:r>
      <w:r w:rsidR="00CC4773">
        <w:rPr>
          <w:rFonts w:ascii="Century Gothic" w:hAnsi="Century Gothic"/>
          <w:sz w:val="18"/>
          <w:szCs w:val="18"/>
        </w:rPr>
        <w:t xml:space="preserve"> siedziby Zamawiającego</w:t>
      </w:r>
      <w:r w:rsidR="008A250B" w:rsidRPr="00132F25">
        <w:rPr>
          <w:rFonts w:ascii="Century Gothic" w:hAnsi="Century Gothic"/>
          <w:sz w:val="18"/>
          <w:szCs w:val="18"/>
        </w:rPr>
        <w:t>.</w:t>
      </w:r>
    </w:p>
    <w:p w14:paraId="6609C286" w14:textId="55B67D2A"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w:t>
      </w:r>
      <w:r w:rsidRPr="0062001B">
        <w:rPr>
          <w:rFonts w:ascii="Century Gothic" w:eastAsia="Times New Roman" w:hAnsi="Century Gothic" w:cs="Times New Roman"/>
          <w:sz w:val="18"/>
          <w:szCs w:val="18"/>
          <w:lang w:eastAsia="ar-SA"/>
        </w:rPr>
        <w:t xml:space="preserve">Formularz </w:t>
      </w:r>
      <w:r w:rsidR="0074555F">
        <w:rPr>
          <w:rFonts w:ascii="Century Gothic" w:eastAsia="Times New Roman" w:hAnsi="Century Gothic" w:cs="Times New Roman"/>
          <w:sz w:val="18"/>
          <w:szCs w:val="18"/>
          <w:lang w:eastAsia="ar-SA"/>
        </w:rPr>
        <w:t>parametrów technicznych</w:t>
      </w:r>
      <w:r w:rsidRPr="00C4508A">
        <w:rPr>
          <w:rFonts w:ascii="Century Gothic" w:eastAsia="Times New Roman" w:hAnsi="Century Gothic" w:cs="Times New Roman"/>
          <w:sz w:val="18"/>
          <w:szCs w:val="18"/>
          <w:lang w:eastAsia="ar-SA"/>
        </w:rPr>
        <w:t xml:space="preserve">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0B1350D6" w:rsidR="001617B2" w:rsidRDefault="00F35E45" w:rsidP="001617B2">
      <w:pPr>
        <w:pStyle w:val="Bezodstpw"/>
        <w:numPr>
          <w:ilvl w:val="0"/>
          <w:numId w:val="32"/>
        </w:numPr>
        <w:ind w:left="284" w:hanging="284"/>
        <w:jc w:val="both"/>
        <w:rPr>
          <w:rFonts w:ascii="Century Gothic" w:hAnsi="Century Gothic"/>
          <w:sz w:val="18"/>
          <w:szCs w:val="18"/>
        </w:rPr>
      </w:pPr>
      <w:r>
        <w:rPr>
          <w:rFonts w:ascii="Century Gothic" w:hAnsi="Century Gothic"/>
          <w:sz w:val="18"/>
          <w:szCs w:val="18"/>
        </w:rPr>
        <w:t>Oferowane przedmioty zamówienia</w:t>
      </w:r>
      <w:r w:rsidR="000C40AE" w:rsidRPr="002206C1">
        <w:rPr>
          <w:rFonts w:ascii="Century Gothic" w:hAnsi="Century Gothic"/>
          <w:sz w:val="18"/>
          <w:szCs w:val="18"/>
        </w:rPr>
        <w:t xml:space="preserve"> winny</w:t>
      </w:r>
      <w:r w:rsidR="001617B2" w:rsidRPr="002206C1">
        <w:rPr>
          <w:rFonts w:ascii="Century Gothic" w:hAnsi="Century Gothic"/>
          <w:sz w:val="18"/>
          <w:szCs w:val="18"/>
        </w:rPr>
        <w:t>:</w:t>
      </w:r>
    </w:p>
    <w:p w14:paraId="403CB575" w14:textId="77777777"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spełniać wymagania określone przepisami prawa,</w:t>
      </w:r>
    </w:p>
    <w:p w14:paraId="549ADBE9" w14:textId="77777777"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posiadać wysoką jakość i spełniać funkcję do jakiej zostały przeznaczone,</w:t>
      </w:r>
    </w:p>
    <w:p w14:paraId="1D9991A3" w14:textId="7114EFFC"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posiadać okres przydatności do użycia nie krótszy niż 12 miesięcy, licząc od daty dostawy.</w:t>
      </w:r>
    </w:p>
    <w:p w14:paraId="38CE73CC" w14:textId="7CA646F8" w:rsidR="005B77C2" w:rsidRDefault="005B77C2" w:rsidP="005B77C2">
      <w:pPr>
        <w:pStyle w:val="Akapitzlist"/>
        <w:numPr>
          <w:ilvl w:val="1"/>
          <w:numId w:val="49"/>
        </w:numPr>
        <w:spacing w:after="0" w:line="240" w:lineRule="auto"/>
        <w:ind w:left="567" w:hanging="283"/>
        <w:jc w:val="both"/>
        <w:rPr>
          <w:rFonts w:ascii="Century Gothic" w:hAnsi="Century Gothic"/>
          <w:sz w:val="18"/>
          <w:szCs w:val="18"/>
        </w:rPr>
      </w:pPr>
      <w:r w:rsidRPr="005B77C2">
        <w:rPr>
          <w:rFonts w:ascii="Century Gothic" w:hAnsi="Century Gothic"/>
          <w:sz w:val="18"/>
          <w:szCs w:val="18"/>
        </w:rPr>
        <w:t>posiadać dokumenty z wykonanych badań, potwierdzające skuteczność oferowanych produktów, wykonanych metodami uznanymi międzynarodowo lub opisanymi w Polskich Normach lub innymi metodami zaakceptowanymi przez Prezesa Urzędu Rejestracji Produktów Leczniczych, Wyrobów Medycznych i Produktów Biobójczych lub badaniami PZH</w:t>
      </w:r>
      <w:r w:rsidR="00FC7096">
        <w:rPr>
          <w:rFonts w:ascii="Century Gothic" w:hAnsi="Century Gothic"/>
          <w:sz w:val="18"/>
          <w:szCs w:val="18"/>
        </w:rPr>
        <w:t>.</w:t>
      </w:r>
    </w:p>
    <w:p w14:paraId="53F6DA8E" w14:textId="11FDA57D" w:rsidR="005B77C2" w:rsidRPr="005B77C2" w:rsidRDefault="005B77C2" w:rsidP="005B77C2">
      <w:pPr>
        <w:pStyle w:val="Akapitzlist"/>
        <w:numPr>
          <w:ilvl w:val="1"/>
          <w:numId w:val="49"/>
        </w:numPr>
        <w:spacing w:after="0" w:line="240" w:lineRule="auto"/>
        <w:ind w:left="567" w:hanging="283"/>
        <w:jc w:val="both"/>
        <w:rPr>
          <w:rFonts w:ascii="Century Gothic" w:hAnsi="Century Gothic"/>
          <w:sz w:val="18"/>
          <w:szCs w:val="18"/>
        </w:rPr>
      </w:pPr>
      <w:r w:rsidRPr="005B77C2">
        <w:rPr>
          <w:rFonts w:ascii="Century Gothic" w:hAnsi="Century Gothic"/>
          <w:sz w:val="18"/>
          <w:szCs w:val="18"/>
        </w:rPr>
        <w:t xml:space="preserve">mieć potwierdzoną skuteczność </w:t>
      </w:r>
      <w:proofErr w:type="spellStart"/>
      <w:r w:rsidRPr="005B77C2">
        <w:rPr>
          <w:rFonts w:ascii="Century Gothic" w:hAnsi="Century Gothic"/>
          <w:sz w:val="18"/>
          <w:szCs w:val="18"/>
        </w:rPr>
        <w:t>mikrobójczą</w:t>
      </w:r>
      <w:proofErr w:type="spellEnd"/>
      <w:r w:rsidRPr="005B77C2">
        <w:rPr>
          <w:rFonts w:ascii="Century Gothic" w:hAnsi="Century Gothic"/>
          <w:sz w:val="18"/>
          <w:szCs w:val="18"/>
        </w:rPr>
        <w:t xml:space="preserve"> metodami przewidzianymi do określania skuteczności środków właściwych dla danej grupy użytkowników (obszar </w:t>
      </w:r>
      <w:r>
        <w:rPr>
          <w:rFonts w:ascii="Century Gothic" w:hAnsi="Century Gothic"/>
          <w:sz w:val="18"/>
          <w:szCs w:val="18"/>
        </w:rPr>
        <w:t>medyczny) i danego zastosowania.</w:t>
      </w:r>
    </w:p>
    <w:p w14:paraId="17EA7DF4" w14:textId="1BE8F7AE" w:rsidR="00844346" w:rsidRPr="00B96694" w:rsidRDefault="005B77C2" w:rsidP="00252AEB">
      <w:pPr>
        <w:pStyle w:val="Bezodstpw"/>
        <w:numPr>
          <w:ilvl w:val="0"/>
          <w:numId w:val="32"/>
        </w:numPr>
        <w:ind w:left="284" w:hanging="284"/>
        <w:jc w:val="both"/>
        <w:rPr>
          <w:rFonts w:ascii="Century Gothic" w:hAnsi="Century Gothic"/>
          <w:b/>
          <w:bCs/>
          <w:sz w:val="18"/>
          <w:szCs w:val="18"/>
        </w:rPr>
      </w:pPr>
      <w:r w:rsidRPr="004C7C89">
        <w:rPr>
          <w:rFonts w:ascii="Century Gothic" w:eastAsia="Times New Roman" w:hAnsi="Century Gothic" w:cs="Arial"/>
          <w:sz w:val="18"/>
          <w:szCs w:val="18"/>
          <w:lang w:eastAsia="pl-PL"/>
        </w:rPr>
        <w:t xml:space="preserve">Wspólny Słownik Zamówień </w:t>
      </w:r>
      <w:r w:rsidRPr="00223EBE">
        <w:rPr>
          <w:rFonts w:ascii="Century Gothic" w:eastAsia="Times New Roman" w:hAnsi="Century Gothic" w:cs="Arial"/>
          <w:sz w:val="18"/>
          <w:szCs w:val="18"/>
          <w:lang w:eastAsia="pl-PL"/>
        </w:rPr>
        <w:t xml:space="preserve">CPV: </w:t>
      </w:r>
      <w:r w:rsidRPr="00223EBE">
        <w:rPr>
          <w:rFonts w:ascii="Century Gothic" w:eastAsia="Times New Roman" w:hAnsi="Century Gothic" w:cs="Arial"/>
          <w:bCs/>
          <w:sz w:val="18"/>
          <w:szCs w:val="18"/>
          <w:lang w:eastAsia="pl-PL"/>
        </w:rPr>
        <w:t>39831240-0, 39831250-3, 33631600-8, 33140000-3.</w:t>
      </w:r>
    </w:p>
    <w:p w14:paraId="2B7D0F69" w14:textId="57DE935A" w:rsidR="005B3918" w:rsidRDefault="004445EB" w:rsidP="001617B2">
      <w:pPr>
        <w:pStyle w:val="Bezodstpw"/>
        <w:numPr>
          <w:ilvl w:val="0"/>
          <w:numId w:val="32"/>
        </w:numPr>
        <w:ind w:left="284" w:hanging="284"/>
        <w:jc w:val="both"/>
        <w:rPr>
          <w:rFonts w:ascii="Century Gothic" w:hAnsi="Century Gothic"/>
          <w:sz w:val="18"/>
          <w:szCs w:val="18"/>
        </w:rPr>
      </w:pPr>
      <w:r w:rsidRPr="00966D55">
        <w:rPr>
          <w:rFonts w:ascii="Century Gothic" w:hAnsi="Century Gothic"/>
          <w:sz w:val="18"/>
          <w:szCs w:val="18"/>
        </w:rPr>
        <w:t xml:space="preserve">Zamawiający </w:t>
      </w:r>
      <w:r w:rsidR="000974C3">
        <w:rPr>
          <w:rFonts w:ascii="Century Gothic" w:hAnsi="Century Gothic"/>
          <w:sz w:val="18"/>
          <w:szCs w:val="18"/>
        </w:rPr>
        <w:t xml:space="preserve">nie </w:t>
      </w:r>
      <w:r w:rsidRPr="00966D55">
        <w:rPr>
          <w:rFonts w:ascii="Century Gothic" w:hAnsi="Century Gothic"/>
          <w:sz w:val="18"/>
          <w:szCs w:val="18"/>
        </w:rPr>
        <w:t>przewiduje składani</w:t>
      </w:r>
      <w:r w:rsidR="000974C3">
        <w:rPr>
          <w:rFonts w:ascii="Century Gothic" w:hAnsi="Century Gothic"/>
          <w:sz w:val="18"/>
          <w:szCs w:val="18"/>
        </w:rPr>
        <w:t>a ofert częściowych.</w:t>
      </w:r>
    </w:p>
    <w:p w14:paraId="03C4AFAC" w14:textId="7C846176" w:rsidR="00C81152" w:rsidRDefault="0062001B" w:rsidP="00CC4773">
      <w:pPr>
        <w:pStyle w:val="Bezodstpw"/>
        <w:numPr>
          <w:ilvl w:val="0"/>
          <w:numId w:val="32"/>
        </w:numPr>
        <w:ind w:left="284" w:hanging="284"/>
        <w:jc w:val="both"/>
        <w:rPr>
          <w:rFonts w:ascii="Century Gothic" w:hAnsi="Century Gothic"/>
          <w:sz w:val="18"/>
          <w:szCs w:val="18"/>
        </w:rPr>
      </w:pPr>
      <w:r w:rsidRPr="00A45889">
        <w:rPr>
          <w:rFonts w:ascii="Century Gothic" w:hAnsi="Century Gothic"/>
          <w:sz w:val="18"/>
          <w:szCs w:val="18"/>
        </w:rPr>
        <w:t>Ilości określone w formul</w:t>
      </w:r>
      <w:r>
        <w:rPr>
          <w:rFonts w:ascii="Century Gothic" w:hAnsi="Century Gothic"/>
          <w:sz w:val="18"/>
          <w:szCs w:val="18"/>
        </w:rPr>
        <w:t>arzu cenowym – Załącznik Nr 2</w:t>
      </w:r>
      <w:r w:rsidRPr="00A45889">
        <w:rPr>
          <w:rFonts w:ascii="Century Gothic" w:hAnsi="Century Gothic"/>
          <w:sz w:val="18"/>
          <w:szCs w:val="18"/>
        </w:rPr>
        <w:t xml:space="preserve"> ma</w:t>
      </w:r>
      <w:r>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Pr>
          <w:rFonts w:ascii="Century Gothic" w:hAnsi="Century Gothic"/>
          <w:sz w:val="18"/>
          <w:szCs w:val="18"/>
        </w:rPr>
        <w:t xml:space="preserve">iej </w:t>
      </w:r>
      <w:r w:rsidR="00ED29B4">
        <w:rPr>
          <w:rFonts w:ascii="Century Gothic" w:hAnsi="Century Gothic"/>
          <w:sz w:val="18"/>
          <w:szCs w:val="18"/>
        </w:rPr>
        <w:t>7</w:t>
      </w:r>
      <w:r w:rsidRPr="00A45889">
        <w:rPr>
          <w:rFonts w:ascii="Century Gothic" w:hAnsi="Century Gothic"/>
          <w:sz w:val="18"/>
          <w:szCs w:val="18"/>
        </w:rPr>
        <w:t>0% wartości przedmiotu  zamówienia, którego  dotyczyć będzie zawarta umowa</w:t>
      </w:r>
      <w:r>
        <w:rPr>
          <w:rFonts w:ascii="Century Gothic" w:hAnsi="Century Gothic"/>
          <w:sz w:val="18"/>
          <w:szCs w:val="18"/>
        </w:rPr>
        <w:t>.</w:t>
      </w:r>
      <w:r w:rsidR="00295450" w:rsidRPr="00295450">
        <w:rPr>
          <w:rFonts w:ascii="Century Gothic" w:eastAsia="Times New Roman" w:hAnsi="Century Gothic"/>
          <w:lang w:eastAsia="ar-SA"/>
        </w:rPr>
        <w:t xml:space="preserve"> </w:t>
      </w:r>
      <w:r w:rsidR="00295450" w:rsidRPr="00295450">
        <w:rPr>
          <w:rFonts w:ascii="Century Gothic" w:hAnsi="Century Gothic"/>
          <w:sz w:val="18"/>
          <w:szCs w:val="18"/>
        </w:rPr>
        <w:t xml:space="preserve">Wykonawcy nie przysługuje jakiekolwiek roszczenie z tytułu niezrealizowania pozostałych 30% maksymalnej wielkości przedmiotu </w:t>
      </w:r>
      <w:r w:rsidR="00295450">
        <w:rPr>
          <w:rFonts w:ascii="Century Gothic" w:hAnsi="Century Gothic"/>
          <w:sz w:val="18"/>
          <w:szCs w:val="18"/>
        </w:rPr>
        <w:t>zamówienia</w:t>
      </w:r>
      <w:r w:rsidR="00295450" w:rsidRPr="00295450">
        <w:rPr>
          <w:rFonts w:ascii="Century Gothic" w:hAnsi="Century Gothic"/>
          <w:sz w:val="18"/>
          <w:szCs w:val="18"/>
        </w:rPr>
        <w:t>.</w:t>
      </w:r>
    </w:p>
    <w:p w14:paraId="6C88C05E" w14:textId="0E8E267C" w:rsidR="0062001B" w:rsidRPr="00AE6D0D" w:rsidRDefault="00AE6D0D" w:rsidP="00935A7E">
      <w:pPr>
        <w:pStyle w:val="Bezodstpw"/>
        <w:numPr>
          <w:ilvl w:val="0"/>
          <w:numId w:val="32"/>
        </w:numPr>
        <w:ind w:left="284" w:hanging="284"/>
        <w:jc w:val="both"/>
        <w:rPr>
          <w:rFonts w:ascii="Century Gothic" w:hAnsi="Century Gothic"/>
          <w:sz w:val="18"/>
          <w:szCs w:val="18"/>
        </w:rPr>
      </w:pPr>
      <w:r w:rsidRPr="00AE6D0D">
        <w:rPr>
          <w:rFonts w:ascii="Century Gothic" w:hAnsi="Century Gothic"/>
          <w:iCs/>
          <w:sz w:val="18"/>
          <w:szCs w:val="18"/>
        </w:rPr>
        <w:t xml:space="preserve">Zamawiający dopuszcza możliwość udzielenia zamówienia, o którym mowa w art. 214 ust. 1 pkt  8  do </w:t>
      </w:r>
      <w:r w:rsidR="00295450">
        <w:rPr>
          <w:rFonts w:ascii="Century Gothic" w:hAnsi="Century Gothic"/>
          <w:iCs/>
          <w:sz w:val="18"/>
          <w:szCs w:val="18"/>
        </w:rPr>
        <w:t>40</w:t>
      </w:r>
      <w:r w:rsidRPr="00AE6D0D">
        <w:rPr>
          <w:rFonts w:ascii="Century Gothic" w:hAnsi="Century Gothic"/>
          <w:iCs/>
          <w:sz w:val="18"/>
          <w:szCs w:val="18"/>
        </w:rPr>
        <w:t xml:space="preserve"> % wartości zamówienia podstawowego. W przypadku zwiększenia się, w trakcie trwania umowy, potrzeb </w:t>
      </w:r>
      <w:r w:rsidRPr="00AE6D0D">
        <w:rPr>
          <w:rFonts w:ascii="Century Gothic" w:hAnsi="Century Gothic"/>
          <w:iCs/>
          <w:sz w:val="18"/>
          <w:szCs w:val="18"/>
        </w:rPr>
        <w:lastRenderedPageBreak/>
        <w:t xml:space="preserve">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w:t>
      </w:r>
      <w:r w:rsidR="00295450" w:rsidRPr="00295450">
        <w:rPr>
          <w:rFonts w:ascii="Century Gothic" w:hAnsi="Century Gothic"/>
          <w:iCs/>
          <w:sz w:val="18"/>
          <w:szCs w:val="18"/>
        </w:rPr>
        <w:t>40</w:t>
      </w:r>
      <w:r w:rsidRPr="00295450">
        <w:rPr>
          <w:rFonts w:ascii="Century Gothic" w:hAnsi="Century Gothic"/>
          <w:iCs/>
          <w:sz w:val="18"/>
          <w:szCs w:val="18"/>
        </w:rPr>
        <w:t>%</w:t>
      </w:r>
      <w:r w:rsidRPr="00AE6D0D">
        <w:rPr>
          <w:rFonts w:ascii="Century Gothic" w:hAnsi="Century Gothic"/>
          <w:iCs/>
          <w:sz w:val="18"/>
          <w:szCs w:val="18"/>
        </w:rPr>
        <w:t xml:space="preserve">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usługi za wynagrodzeniem określonym w niniejszej umowie.</w:t>
      </w:r>
    </w:p>
    <w:p w14:paraId="61CC65B9" w14:textId="2DFDCE3E" w:rsidR="00ED29B4" w:rsidRPr="00ED29B4" w:rsidRDefault="00ED29B4" w:rsidP="00AE6D0D">
      <w:pPr>
        <w:pStyle w:val="Bezodstpw"/>
        <w:ind w:left="284"/>
        <w:jc w:val="both"/>
        <w:rPr>
          <w:rFonts w:ascii="Century Gothic" w:hAnsi="Century Gothic"/>
          <w:sz w:val="18"/>
          <w:szCs w:val="18"/>
        </w:rPr>
      </w:pPr>
    </w:p>
    <w:p w14:paraId="180E7DD4" w14:textId="77777777" w:rsidR="005046F7" w:rsidRDefault="005046F7" w:rsidP="00420D49">
      <w:pPr>
        <w:suppressAutoHyphens/>
        <w:spacing w:after="0" w:line="240" w:lineRule="auto"/>
        <w:ind w:left="426" w:hanging="426"/>
        <w:jc w:val="center"/>
        <w:rPr>
          <w:rStyle w:val="Pogrubienie"/>
          <w:rFonts w:ascii="Century Gothic" w:hAnsi="Century Gothic"/>
          <w:sz w:val="18"/>
          <w:szCs w:val="18"/>
        </w:rPr>
      </w:pPr>
      <w:bookmarkStart w:id="1" w:name="_Hlk68690808"/>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97CE56A"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0974C3">
        <w:rPr>
          <w:rFonts w:ascii="Century Gothic" w:eastAsia="Times New Roman" w:hAnsi="Century Gothic" w:cs="Arial"/>
          <w:bCs/>
          <w:sz w:val="18"/>
          <w:szCs w:val="18"/>
          <w:lang w:eastAsia="ar-SA"/>
        </w:rPr>
        <w:t>12</w:t>
      </w:r>
      <w:r w:rsidR="0005515E" w:rsidRPr="00810F3F">
        <w:rPr>
          <w:rFonts w:ascii="Century Gothic" w:eastAsia="Times New Roman" w:hAnsi="Century Gothic" w:cs="Arial"/>
          <w:bCs/>
          <w:sz w:val="18"/>
          <w:szCs w:val="18"/>
          <w:lang w:eastAsia="ar-SA"/>
        </w:rPr>
        <w:t xml:space="preserve"> miesięcy</w:t>
      </w:r>
      <w:r w:rsidR="009A5EDD" w:rsidRPr="00810F3F">
        <w:rPr>
          <w:rFonts w:ascii="Century Gothic" w:eastAsia="Times New Roman" w:hAnsi="Century Gothic" w:cs="Arial"/>
          <w:bCs/>
          <w:sz w:val="18"/>
          <w:szCs w:val="18"/>
          <w:lang w:eastAsia="ar-SA"/>
        </w:rPr>
        <w:t xml:space="preserve"> od daty zawarcia umowy</w:t>
      </w:r>
      <w:r w:rsidRPr="00810F3F">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071BC128"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09C9D1C6" w:rsidR="003D164F" w:rsidRPr="00013798" w:rsidRDefault="003D164F" w:rsidP="00B96694">
      <w:pPr>
        <w:tabs>
          <w:tab w:val="left" w:pos="284"/>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67F9E819" w:rsidR="003D164F" w:rsidRPr="00EC57C7" w:rsidRDefault="003D164F" w:rsidP="00B96694">
      <w:pPr>
        <w:spacing w:after="0" w:line="240" w:lineRule="auto"/>
        <w:ind w:left="284"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str. 1) dodanego Rozporządzeniem Rady (UE) nr 2022/576 z dnia 8 kwietnia 2022 r. (Dz. Urz. UE nr L 111z 8.4.2022, str.1) zmieniającego Rozporządzenie Rady (UE) nr 833/2014 z dniem 9 kwietnia 2022 r.</w:t>
      </w:r>
    </w:p>
    <w:p w14:paraId="65D8E471" w14:textId="597E0800" w:rsidR="003D164F" w:rsidRDefault="003D164F" w:rsidP="00B96694">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63388C37" w14:textId="77777777" w:rsidR="00882FD0" w:rsidRDefault="00882FD0"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p>
    <w:p w14:paraId="0B680881" w14:textId="77777777" w:rsidR="00882FD0" w:rsidRDefault="00882FD0"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w:t>
      </w:r>
      <w:r w:rsidRPr="00F23A4F">
        <w:rPr>
          <w:rFonts w:ascii="Century Gothic" w:eastAsia="Times New Roman" w:hAnsi="Century Gothic" w:cs="TimesNewRoman"/>
          <w:b/>
          <w:sz w:val="18"/>
          <w:szCs w:val="18"/>
          <w:lang w:eastAsia="pl-PL"/>
        </w:rPr>
        <w:t xml:space="preserve">nr </w:t>
      </w:r>
      <w:r w:rsidR="003E40AD" w:rsidRPr="00F23A4F">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F23A4F">
        <w:rPr>
          <w:rFonts w:ascii="Century Gothic" w:eastAsia="Times New Roman" w:hAnsi="Century Gothic" w:cs="TimesNewRoman"/>
          <w:b/>
          <w:sz w:val="18"/>
          <w:szCs w:val="18"/>
          <w:lang w:eastAsia="pl-PL"/>
        </w:rPr>
        <w:t xml:space="preserve">załącznik nr </w:t>
      </w:r>
      <w:r w:rsidR="00E6733F" w:rsidRPr="00F23A4F">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4B18F7FE" w:rsidR="00F368E8"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6FDFE61B"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078CCC19" w14:textId="10621943" w:rsidR="00ED6A15" w:rsidRPr="00ED6A15" w:rsidRDefault="00AE6D0D" w:rsidP="00636F10">
      <w:pPr>
        <w:pStyle w:val="Akapitzlist"/>
        <w:numPr>
          <w:ilvl w:val="1"/>
          <w:numId w:val="18"/>
        </w:numPr>
        <w:tabs>
          <w:tab w:val="left" w:pos="851"/>
        </w:tabs>
        <w:spacing w:after="0" w:line="240" w:lineRule="auto"/>
        <w:ind w:left="851"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Ulotkę informacyjną (prospekt) zawierający  opis produktu z wyszczególnieniem parametrów technicznych</w:t>
      </w:r>
      <w:r>
        <w:rPr>
          <w:rFonts w:ascii="Century Gothic" w:hAnsi="Century Gothic" w:cs="Tahoma"/>
          <w:sz w:val="18"/>
          <w:szCs w:val="18"/>
          <w:lang w:eastAsia="pl-PL"/>
        </w:rPr>
        <w:t xml:space="preserve"> wymaganych przez Zamawiającego</w:t>
      </w:r>
      <w:r w:rsidR="00D579A6" w:rsidRPr="00D579A6">
        <w:rPr>
          <w:rFonts w:ascii="Century Gothic" w:hAnsi="Century Gothic" w:cs="Tahoma"/>
          <w:sz w:val="18"/>
          <w:szCs w:val="18"/>
          <w:lang w:eastAsia="pl-PL"/>
        </w:rPr>
        <w:t>,</w:t>
      </w:r>
    </w:p>
    <w:p w14:paraId="2ED7CC2B" w14:textId="767B7E6B" w:rsidR="00281E90" w:rsidRPr="005046F7" w:rsidRDefault="00AE6D0D" w:rsidP="00F65EA1">
      <w:pPr>
        <w:pStyle w:val="Akapitzlist"/>
        <w:numPr>
          <w:ilvl w:val="1"/>
          <w:numId w:val="18"/>
        </w:numPr>
        <w:tabs>
          <w:tab w:val="left" w:pos="851"/>
        </w:tabs>
        <w:spacing w:after="0" w:line="240" w:lineRule="auto"/>
        <w:ind w:left="851"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Oświadczenie o posiadaniu dla oferowanych środków dezynfekcyjnych/kosmetycznych kart charakterystyki z instrukcjami użytkowania, z potwierdzeniem dostarczenia ich w terminie 3 dni od daty zawarcia umowy o udzielenie zamówienia publicznego.</w:t>
      </w:r>
    </w:p>
    <w:p w14:paraId="3FC91112" w14:textId="1DEDF0A7" w:rsidR="005046F7" w:rsidRPr="00AE6D0D" w:rsidRDefault="00AE6D0D" w:rsidP="00AE6D0D">
      <w:pPr>
        <w:pStyle w:val="Akapitzlist"/>
        <w:numPr>
          <w:ilvl w:val="1"/>
          <w:numId w:val="18"/>
        </w:numPr>
        <w:tabs>
          <w:tab w:val="left" w:pos="851"/>
        </w:tabs>
        <w:spacing w:after="0" w:line="240" w:lineRule="auto"/>
        <w:ind w:left="851"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Dokumenty potwierdzające, że oferowane środki dezynfekcyjne, produkty kosmetyczne są przeznaczone do stosowania w obszarze medycznym, </w:t>
      </w:r>
      <w:proofErr w:type="spellStart"/>
      <w:r w:rsidRPr="00AE6D0D">
        <w:rPr>
          <w:rFonts w:ascii="Century Gothic" w:hAnsi="Century Gothic" w:cs="Tahoma"/>
          <w:sz w:val="18"/>
          <w:szCs w:val="18"/>
          <w:lang w:eastAsia="pl-PL"/>
        </w:rPr>
        <w:t>t.j</w:t>
      </w:r>
      <w:proofErr w:type="spellEnd"/>
      <w:r w:rsidRPr="00AE6D0D">
        <w:rPr>
          <w:rFonts w:ascii="Century Gothic" w:hAnsi="Century Gothic" w:cs="Tahoma"/>
          <w:sz w:val="18"/>
          <w:szCs w:val="18"/>
          <w:lang w:eastAsia="pl-PL"/>
        </w:rPr>
        <w:t>.</w:t>
      </w:r>
      <w:r w:rsidR="005046F7" w:rsidRPr="00AE6D0D">
        <w:rPr>
          <w:rFonts w:ascii="Century Gothic" w:hAnsi="Century Gothic" w:cs="Tahoma"/>
          <w:sz w:val="18"/>
          <w:szCs w:val="18"/>
          <w:lang w:eastAsia="pl-PL"/>
        </w:rPr>
        <w:t>:</w:t>
      </w:r>
    </w:p>
    <w:p w14:paraId="419DB655" w14:textId="5625E085" w:rsidR="005046F7" w:rsidRDefault="00AE6D0D" w:rsidP="005046F7">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dla produktów zakwalifikowanych jako produkty lecznicze w rozumieniu ustawy z dnia 06.09.2001 r. Prawo farmaceutyczne (</w:t>
      </w:r>
      <w:r w:rsidRPr="00AE6D0D">
        <w:rPr>
          <w:rFonts w:ascii="Century Gothic" w:hAnsi="Century Gothic" w:cs="Tahoma"/>
          <w:b/>
          <w:sz w:val="18"/>
          <w:szCs w:val="18"/>
          <w:lang w:eastAsia="pl-PL"/>
        </w:rPr>
        <w:t>Dz.U.202</w:t>
      </w:r>
      <w:r w:rsidR="0064192E">
        <w:rPr>
          <w:rFonts w:ascii="Century Gothic" w:hAnsi="Century Gothic" w:cs="Tahoma"/>
          <w:b/>
          <w:sz w:val="18"/>
          <w:szCs w:val="18"/>
          <w:lang w:eastAsia="pl-PL"/>
        </w:rPr>
        <w:t>2</w:t>
      </w:r>
      <w:r w:rsidRPr="00AE6D0D">
        <w:rPr>
          <w:rFonts w:ascii="Century Gothic" w:hAnsi="Century Gothic" w:cs="Tahoma"/>
          <w:b/>
          <w:sz w:val="18"/>
          <w:szCs w:val="18"/>
          <w:lang w:eastAsia="pl-PL"/>
        </w:rPr>
        <w:t xml:space="preserve"> poz.</w:t>
      </w:r>
      <w:r w:rsidR="0064192E">
        <w:rPr>
          <w:rFonts w:ascii="Century Gothic" w:hAnsi="Century Gothic" w:cs="Tahoma"/>
          <w:b/>
          <w:sz w:val="18"/>
          <w:szCs w:val="18"/>
          <w:lang w:eastAsia="pl-PL"/>
        </w:rPr>
        <w:t>2301</w:t>
      </w:r>
      <w:r w:rsidRPr="00AE6D0D">
        <w:rPr>
          <w:rFonts w:ascii="Century Gothic" w:hAnsi="Century Gothic" w:cs="Tahoma"/>
          <w:b/>
          <w:sz w:val="18"/>
          <w:szCs w:val="18"/>
          <w:lang w:eastAsia="pl-PL"/>
        </w:rPr>
        <w:t xml:space="preserve"> </w:t>
      </w:r>
      <w:proofErr w:type="spellStart"/>
      <w:r w:rsidRPr="00AE6D0D">
        <w:rPr>
          <w:rFonts w:ascii="Century Gothic" w:hAnsi="Century Gothic" w:cs="Tahoma"/>
          <w:b/>
          <w:sz w:val="18"/>
          <w:szCs w:val="18"/>
          <w:lang w:eastAsia="pl-PL"/>
        </w:rPr>
        <w:t>t.j</w:t>
      </w:r>
      <w:proofErr w:type="spellEnd"/>
      <w:r w:rsidRPr="00AE6D0D">
        <w:rPr>
          <w:rFonts w:ascii="Century Gothic" w:hAnsi="Century Gothic" w:cs="Tahoma"/>
          <w:b/>
          <w:sz w:val="18"/>
          <w:szCs w:val="18"/>
          <w:lang w:eastAsia="pl-PL"/>
        </w:rPr>
        <w:t>.</w:t>
      </w:r>
      <w:r w:rsidRPr="00AE6D0D">
        <w:rPr>
          <w:rFonts w:ascii="Century Gothic" w:hAnsi="Century Gothic" w:cs="Tahoma"/>
          <w:sz w:val="18"/>
          <w:szCs w:val="18"/>
          <w:lang w:eastAsia="pl-PL"/>
        </w:rPr>
        <w:t>) - Pozwolenie Ministra Zdrowia lub Prezesa Urzędu Rejestracji Produktów Leczniczych, Wyrobów Medycznych i Produktów Biobójczych na dopuszczenie do obrotu produktu leczniczego</w:t>
      </w:r>
      <w:r w:rsidR="005046F7">
        <w:rPr>
          <w:rFonts w:ascii="Century Gothic" w:hAnsi="Century Gothic" w:cs="Tahoma"/>
          <w:sz w:val="18"/>
          <w:szCs w:val="18"/>
          <w:lang w:eastAsia="pl-PL"/>
        </w:rPr>
        <w:t>;</w:t>
      </w:r>
    </w:p>
    <w:p w14:paraId="66AC7170" w14:textId="05BB9DEF" w:rsidR="00AE6D0D"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wyroby medyczne w rozumieniu ustawy z dnia </w:t>
      </w:r>
      <w:r w:rsidR="00A209C0">
        <w:rPr>
          <w:rFonts w:ascii="Century Gothic" w:hAnsi="Century Gothic" w:cs="Tahoma"/>
          <w:sz w:val="18"/>
          <w:szCs w:val="18"/>
          <w:lang w:eastAsia="pl-PL"/>
        </w:rPr>
        <w:t>07.04.2022</w:t>
      </w:r>
      <w:r w:rsidRPr="00AE6D0D">
        <w:rPr>
          <w:rFonts w:ascii="Century Gothic" w:hAnsi="Century Gothic" w:cs="Tahoma"/>
          <w:sz w:val="18"/>
          <w:szCs w:val="18"/>
          <w:lang w:eastAsia="pl-PL"/>
        </w:rPr>
        <w:t xml:space="preserve"> r. o wyrobach medycznych (</w:t>
      </w:r>
      <w:r w:rsidRPr="00AE6D0D">
        <w:rPr>
          <w:rFonts w:ascii="Century Gothic" w:hAnsi="Century Gothic" w:cs="Tahoma"/>
          <w:b/>
          <w:bCs/>
          <w:sz w:val="18"/>
          <w:szCs w:val="18"/>
          <w:lang w:eastAsia="pl-PL"/>
        </w:rPr>
        <w:t>Dz.U.202</w:t>
      </w:r>
      <w:r w:rsidR="00BE673F">
        <w:rPr>
          <w:rFonts w:ascii="Century Gothic" w:hAnsi="Century Gothic" w:cs="Tahoma"/>
          <w:b/>
          <w:bCs/>
          <w:sz w:val="18"/>
          <w:szCs w:val="18"/>
          <w:lang w:eastAsia="pl-PL"/>
        </w:rPr>
        <w:t>2 poz.974</w:t>
      </w:r>
      <w:r w:rsidRPr="00AE6D0D">
        <w:rPr>
          <w:rFonts w:ascii="Century Gothic" w:hAnsi="Century Gothic" w:cs="Tahoma"/>
          <w:sz w:val="18"/>
          <w:szCs w:val="18"/>
          <w:lang w:eastAsia="pl-PL"/>
        </w:rPr>
        <w:t xml:space="preserve">) – odpowiednia deklaracja zgodności WE i certyfikat WE (jeśli dotyczy) oraz powiadomienie Prezesa Urzędu </w:t>
      </w:r>
      <w:proofErr w:type="spellStart"/>
      <w:r w:rsidRPr="00AE6D0D">
        <w:rPr>
          <w:rFonts w:ascii="Century Gothic" w:hAnsi="Century Gothic" w:cs="Tahoma"/>
          <w:sz w:val="18"/>
          <w:szCs w:val="18"/>
          <w:lang w:eastAsia="pl-PL"/>
        </w:rPr>
        <w:t>RPLWMiPB</w:t>
      </w:r>
      <w:proofErr w:type="spellEnd"/>
      <w:r>
        <w:rPr>
          <w:rFonts w:ascii="Century Gothic" w:hAnsi="Century Gothic" w:cs="Tahoma"/>
          <w:sz w:val="18"/>
          <w:szCs w:val="18"/>
          <w:lang w:eastAsia="pl-PL"/>
        </w:rPr>
        <w:t>,</w:t>
      </w:r>
    </w:p>
    <w:p w14:paraId="1BB55A1E" w14:textId="7EEBA3D7" w:rsidR="005046F7" w:rsidRPr="00AE6D0D"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DF49ED">
        <w:rPr>
          <w:rFonts w:ascii="Century Gothic" w:hAnsi="Century Gothic"/>
          <w:sz w:val="18"/>
          <w:szCs w:val="18"/>
        </w:rPr>
        <w:t>dla produktów zakwalifikowanych jako środki biobójcze w rozumieniu ustawy z dnia 13.09.2002 r. o produktach biobójczych (</w:t>
      </w:r>
      <w:r w:rsidRPr="00DF49ED">
        <w:rPr>
          <w:rFonts w:ascii="Century Gothic" w:hAnsi="Century Gothic"/>
          <w:b/>
          <w:bCs/>
          <w:sz w:val="18"/>
          <w:szCs w:val="18"/>
        </w:rPr>
        <w:t>Dz.U.2021</w:t>
      </w:r>
      <w:r>
        <w:rPr>
          <w:rFonts w:ascii="Century Gothic" w:hAnsi="Century Gothic"/>
          <w:b/>
          <w:bCs/>
          <w:sz w:val="18"/>
          <w:szCs w:val="18"/>
        </w:rPr>
        <w:t xml:space="preserve"> poz</w:t>
      </w:r>
      <w:r w:rsidRPr="00DF49ED">
        <w:rPr>
          <w:rFonts w:ascii="Century Gothic" w:hAnsi="Century Gothic"/>
          <w:b/>
          <w:bCs/>
          <w:sz w:val="18"/>
          <w:szCs w:val="18"/>
        </w:rPr>
        <w:t>.</w:t>
      </w:r>
      <w:r>
        <w:rPr>
          <w:rFonts w:ascii="Century Gothic" w:hAnsi="Century Gothic"/>
          <w:b/>
          <w:bCs/>
          <w:sz w:val="18"/>
          <w:szCs w:val="18"/>
        </w:rPr>
        <w:t xml:space="preserve"> </w:t>
      </w:r>
      <w:r w:rsidRPr="00DF49ED">
        <w:rPr>
          <w:rFonts w:ascii="Century Gothic" w:hAnsi="Century Gothic"/>
          <w:b/>
          <w:bCs/>
          <w:sz w:val="18"/>
          <w:szCs w:val="18"/>
        </w:rPr>
        <w:t xml:space="preserve">24 </w:t>
      </w:r>
      <w:proofErr w:type="spellStart"/>
      <w:r w:rsidRPr="00DF49ED">
        <w:rPr>
          <w:rFonts w:ascii="Century Gothic" w:hAnsi="Century Gothic"/>
          <w:b/>
          <w:bCs/>
          <w:sz w:val="18"/>
          <w:szCs w:val="18"/>
        </w:rPr>
        <w:t>t.j</w:t>
      </w:r>
      <w:proofErr w:type="spellEnd"/>
      <w:r w:rsidRPr="00DF49ED">
        <w:rPr>
          <w:rFonts w:ascii="Century Gothic" w:hAnsi="Century Gothic"/>
          <w:b/>
          <w:bCs/>
          <w:sz w:val="18"/>
          <w:szCs w:val="18"/>
        </w:rPr>
        <w:t>.</w:t>
      </w:r>
      <w:r w:rsidRPr="00DF49ED">
        <w:rPr>
          <w:rFonts w:ascii="Century Gothic" w:hAnsi="Century Gothic"/>
          <w:sz w:val="18"/>
          <w:szCs w:val="18"/>
        </w:rPr>
        <w:t>) - Pozwolenie Ministra Zdrowia na obrót produktem biobójczym</w:t>
      </w:r>
      <w:r>
        <w:rPr>
          <w:rFonts w:ascii="Century Gothic" w:hAnsi="Century Gothic"/>
          <w:sz w:val="18"/>
          <w:szCs w:val="18"/>
        </w:rPr>
        <w:t>,</w:t>
      </w:r>
    </w:p>
    <w:p w14:paraId="6C89D635" w14:textId="164F1E07" w:rsidR="00AE6D0D" w:rsidRPr="0075197E"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DF49ED">
        <w:rPr>
          <w:rFonts w:ascii="Century Gothic" w:hAnsi="Century Gothic" w:cs="Arial"/>
          <w:sz w:val="18"/>
          <w:szCs w:val="18"/>
          <w:lang w:eastAsia="pl-PL"/>
        </w:rPr>
        <w:lastRenderedPageBreak/>
        <w:t>dla produktów zakwalifikowanych jako kosmetyki - oświadczenia o wprowadzeniu do obrotu preparatu zgodnie z rozporządzeniem Parlamentu Europejskiego i Rady (WE) nr 1223/2009 z dnia 30 listopada 2009 r.</w:t>
      </w:r>
      <w:r w:rsidRPr="00DF49ED">
        <w:rPr>
          <w:rFonts w:ascii="Century Gothic" w:hAnsi="Century Gothic" w:cs="Arial"/>
          <w:b/>
          <w:bCs/>
          <w:sz w:val="18"/>
          <w:szCs w:val="18"/>
          <w:lang w:eastAsia="pl-PL"/>
        </w:rPr>
        <w:t xml:space="preserve"> dotyczące produktów kosmetycznych (Dz.U.UE.L.2009.342.59).</w:t>
      </w:r>
    </w:p>
    <w:p w14:paraId="145E6E64" w14:textId="27BAF115"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Century Gothic"/>
          <w:sz w:val="18"/>
          <w:szCs w:val="18"/>
        </w:rPr>
      </w:pPr>
      <w:r w:rsidRPr="00FC30D6">
        <w:rPr>
          <w:rFonts w:ascii="Century Gothic" w:hAnsi="Century Gothic" w:cs="Arial"/>
          <w:bCs/>
          <w:sz w:val="18"/>
          <w:szCs w:val="18"/>
          <w:lang w:eastAsia="pl-PL"/>
        </w:rPr>
        <w:t>Wykonawca w terminie 3 dni od zawarcia umowy dostarczy Zamawiającemu k</w:t>
      </w:r>
      <w:r w:rsidRPr="00FC30D6">
        <w:rPr>
          <w:rFonts w:ascii="Century Gothic" w:hAnsi="Century Gothic" w:cs="Century Gothic"/>
          <w:sz w:val="18"/>
          <w:szCs w:val="18"/>
        </w:rPr>
        <w:t>arty charakterystyki oferowanych produktów wraz z instrukcją ich użytkowania.</w:t>
      </w:r>
    </w:p>
    <w:p w14:paraId="363EF147" w14:textId="7C7FF823"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Arial"/>
          <w:bCs/>
          <w:sz w:val="18"/>
          <w:szCs w:val="18"/>
          <w:lang w:eastAsia="pl-PL"/>
        </w:rPr>
      </w:pPr>
      <w:r w:rsidRPr="00CE7501">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CE7501">
        <w:rPr>
          <w:rFonts w:ascii="Century Gothic" w:hAnsi="Century Gothic" w:cs="Arial"/>
          <w:sz w:val="18"/>
          <w:szCs w:val="18"/>
        </w:rPr>
        <w:t>Pzp</w:t>
      </w:r>
      <w:proofErr w:type="spellEnd"/>
      <w:r w:rsidRPr="00CE7501">
        <w:rPr>
          <w:rFonts w:ascii="Century Gothic" w:hAnsi="Century Gothic" w:cs="Arial"/>
          <w:sz w:val="18"/>
          <w:szCs w:val="18"/>
        </w:rPr>
        <w:t>.</w:t>
      </w:r>
    </w:p>
    <w:p w14:paraId="65A808F2" w14:textId="3C8F5757"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Arial"/>
          <w:bCs/>
          <w:sz w:val="18"/>
          <w:szCs w:val="18"/>
          <w:lang w:eastAsia="pl-PL"/>
        </w:rPr>
      </w:pP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r>
        <w:rPr>
          <w:rFonts w:ascii="Century Gothic" w:eastAsia="Times New Roman" w:hAnsi="Century Gothic" w:cs="Arial"/>
          <w:sz w:val="18"/>
          <w:szCs w:val="18"/>
          <w:lang w:eastAsia="pl-PL"/>
        </w:rPr>
        <w:t>.</w:t>
      </w:r>
    </w:p>
    <w:p w14:paraId="04B78F84" w14:textId="545F435C" w:rsidR="00753068" w:rsidRPr="00CE7501" w:rsidRDefault="00753068" w:rsidP="00113B7C">
      <w:pPr>
        <w:tabs>
          <w:tab w:val="left" w:pos="708"/>
        </w:tabs>
        <w:spacing w:after="0" w:line="240" w:lineRule="auto"/>
        <w:ind w:left="284" w:hanging="284"/>
        <w:jc w:val="both"/>
        <w:rPr>
          <w:rFonts w:ascii="Century Gothic" w:hAnsi="Century Gothic" w:cs="Arial"/>
          <w:sz w:val="18"/>
          <w:szCs w:val="18"/>
        </w:rPr>
      </w:pPr>
    </w:p>
    <w:p w14:paraId="5865780F" w14:textId="77777777" w:rsidR="003C20C9" w:rsidRDefault="003C20C9"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23A4F">
        <w:rPr>
          <w:rFonts w:ascii="Century Gothic" w:hAnsi="Century Gothic"/>
          <w:b/>
          <w:bCs/>
          <w:sz w:val="18"/>
          <w:szCs w:val="18"/>
        </w:rPr>
        <w:t xml:space="preserve">załącznik nr </w:t>
      </w:r>
      <w:r w:rsidR="00E6733F" w:rsidRPr="00F23A4F">
        <w:rPr>
          <w:rFonts w:ascii="Century Gothic" w:hAnsi="Century Gothic"/>
          <w:b/>
          <w:bCs/>
          <w:sz w:val="18"/>
          <w:szCs w:val="18"/>
        </w:rPr>
        <w:t>6</w:t>
      </w:r>
      <w:r w:rsidRPr="00F23A4F">
        <w:rPr>
          <w:rFonts w:ascii="Century Gothic" w:hAnsi="Century Gothic"/>
          <w:b/>
          <w:bCs/>
          <w:sz w:val="18"/>
          <w:szCs w:val="18"/>
        </w:rPr>
        <w:t xml:space="preserve"> do</w:t>
      </w:r>
      <w:r w:rsidRPr="00CE7501">
        <w:rPr>
          <w:rFonts w:ascii="Century Gothic" w:hAnsi="Century Gothic"/>
          <w:b/>
          <w:bCs/>
          <w:sz w:val="18"/>
          <w:szCs w:val="18"/>
        </w:rPr>
        <w:t xml:space="preserve">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lastRenderedPageBreak/>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380AD7C3"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9E1F3E" w:rsidRPr="0098345F">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74A81BC6"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9B3977">
        <w:rPr>
          <w:rFonts w:ascii="Century Gothic" w:eastAsia="Times New Roman" w:hAnsi="Century Gothic" w:cs="Calibri"/>
          <w:color w:val="000000"/>
          <w:sz w:val="18"/>
          <w:szCs w:val="18"/>
          <w:lang w:eastAsia="pl-PL"/>
        </w:rPr>
        <w:t>Pancechowska</w:t>
      </w:r>
      <w:r w:rsidR="005831DF">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46D9F" w:rsidRPr="001578C4">
          <w:rPr>
            <w:rStyle w:val="Hipercze"/>
            <w:rFonts w:ascii="Century Gothic" w:eastAsia="Times New Roman" w:hAnsi="Century Gothic" w:cs="Calibri"/>
            <w:sz w:val="18"/>
            <w:szCs w:val="18"/>
            <w:lang w:eastAsia="pl-PL"/>
          </w:rPr>
          <w:t>apancechowska@pulmonologia.olsztyn.pl</w:t>
        </w:r>
      </w:hyperlink>
      <w:r w:rsidR="00F46D9F">
        <w:rPr>
          <w:rFonts w:ascii="Century Gothic" w:eastAsia="Times New Roman" w:hAnsi="Century Gothic" w:cs="Calibri"/>
          <w:color w:val="000000"/>
          <w:sz w:val="18"/>
          <w:szCs w:val="18"/>
          <w:lang w:eastAsia="pl-PL"/>
        </w:rPr>
        <w:t xml:space="preserve"> </w:t>
      </w:r>
    </w:p>
    <w:p w14:paraId="505FDE5D" w14:textId="77777777" w:rsidR="000C6566" w:rsidRDefault="00A251A6" w:rsidP="00420D49">
      <w:pPr>
        <w:tabs>
          <w:tab w:val="left" w:pos="284"/>
        </w:tabs>
        <w:spacing w:after="0" w:line="240" w:lineRule="auto"/>
        <w:ind w:left="284" w:hanging="284"/>
        <w:jc w:val="both"/>
        <w:rPr>
          <w:rStyle w:val="Hipercze"/>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0C6566" w:rsidRPr="001578C4">
          <w:rPr>
            <w:rStyle w:val="Hipercze"/>
            <w:rFonts w:ascii="Century Gothic" w:eastAsia="Times New Roman" w:hAnsi="Century Gothic" w:cs="Calibri"/>
            <w:sz w:val="18"/>
            <w:szCs w:val="18"/>
            <w:lang w:eastAsia="pl-PL"/>
          </w:rPr>
          <w:t>platformazakupowa.pl</w:t>
        </w:r>
      </w:hyperlink>
      <w:r w:rsidR="000C6566" w:rsidRPr="00CE7501">
        <w:rPr>
          <w:rFonts w:ascii="Century Gothic" w:eastAsia="Times New Roman" w:hAnsi="Century Gothic" w:cs="Calibri"/>
          <w:color w:val="000000"/>
          <w:sz w:val="18"/>
          <w:szCs w:val="18"/>
          <w:lang w:eastAsia="pl-PL"/>
        </w:rPr>
        <w:t xml:space="preserve"> pod adresem: </w:t>
      </w:r>
      <w:hyperlink r:id="rId36" w:history="1">
        <w:r w:rsidR="000C6566" w:rsidRPr="00CE7501">
          <w:rPr>
            <w:rStyle w:val="Hipercze"/>
            <w:rFonts w:ascii="Century Gothic" w:eastAsia="Times New Roman" w:hAnsi="Century Gothic" w:cs="Arial"/>
            <w:sz w:val="18"/>
            <w:szCs w:val="18"/>
            <w:lang w:eastAsia="pl-PL"/>
          </w:rPr>
          <w:t>https://platformazakupowa.pl/pn/pulmonologia_olsztyn</w:t>
        </w:r>
      </w:hyperlink>
      <w:r w:rsidR="000C6566">
        <w:rPr>
          <w:rStyle w:val="Hipercze"/>
          <w:rFonts w:ascii="Century Gothic" w:eastAsia="Times New Roman" w:hAnsi="Century Gothic" w:cs="Arial"/>
          <w:sz w:val="18"/>
          <w:szCs w:val="18"/>
          <w:lang w:eastAsia="pl-PL"/>
        </w:rPr>
        <w:t xml:space="preserve"> </w:t>
      </w:r>
    </w:p>
    <w:p w14:paraId="68898595" w14:textId="08E27C84"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lastRenderedPageBreak/>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5E107427"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D344D0">
        <w:rPr>
          <w:rFonts w:ascii="Century Gothic" w:eastAsia="Times New Roman" w:hAnsi="Century Gothic" w:cs="Arial"/>
          <w:b/>
          <w:sz w:val="18"/>
          <w:szCs w:val="18"/>
          <w:lang w:eastAsia="ar-SA"/>
        </w:rPr>
        <w:t>24.11</w:t>
      </w:r>
      <w:r w:rsidR="005B51AC">
        <w:rPr>
          <w:rFonts w:ascii="Century Gothic" w:eastAsia="Times New Roman" w:hAnsi="Century Gothic" w:cs="Arial"/>
          <w:b/>
          <w:sz w:val="18"/>
          <w:szCs w:val="18"/>
          <w:lang w:eastAsia="ar-SA"/>
        </w:rPr>
        <w:t>.</w:t>
      </w:r>
      <w:r w:rsidR="007B2268">
        <w:rPr>
          <w:rFonts w:ascii="Century Gothic" w:eastAsia="Times New Roman" w:hAnsi="Century Gothic" w:cs="Arial"/>
          <w:b/>
          <w:sz w:val="18"/>
          <w:szCs w:val="18"/>
          <w:lang w:eastAsia="ar-SA"/>
        </w:rPr>
        <w:t>2023</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296EA75"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Formularz </w:t>
      </w:r>
      <w:r w:rsidR="00A464EF" w:rsidRPr="00A464EF">
        <w:rPr>
          <w:rFonts w:ascii="Century Gothic" w:eastAsia="Times New Roman" w:hAnsi="Century Gothic" w:cs="Arial"/>
          <w:b/>
          <w:bCs/>
          <w:sz w:val="18"/>
          <w:szCs w:val="18"/>
          <w:lang w:eastAsia="ar-SA"/>
        </w:rPr>
        <w:t>parametrów technicznych</w:t>
      </w:r>
      <w:r>
        <w:rPr>
          <w:rFonts w:ascii="Century Gothic" w:eastAsia="Times New Roman" w:hAnsi="Century Gothic" w:cs="Arial"/>
          <w:b/>
          <w:bCs/>
          <w:sz w:val="18"/>
          <w:szCs w:val="18"/>
          <w:lang w:eastAsia="ar-SA"/>
        </w:rPr>
        <w:t xml:space="preserve">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lastRenderedPageBreak/>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0C2EF324"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3F1F51">
        <w:rPr>
          <w:rFonts w:ascii="Century Gothic" w:eastAsia="Times New Roman" w:hAnsi="Century Gothic" w:cs="Calibri"/>
          <w:b/>
          <w:bCs/>
          <w:color w:val="000000"/>
          <w:sz w:val="18"/>
          <w:szCs w:val="18"/>
          <w:lang w:eastAsia="pl-PL"/>
        </w:rPr>
        <w:t>26.10.</w:t>
      </w:r>
      <w:r w:rsidR="005E5EAA">
        <w:rPr>
          <w:rFonts w:ascii="Century Gothic" w:eastAsia="Times New Roman" w:hAnsi="Century Gothic" w:cs="Calibri"/>
          <w:b/>
          <w:bCs/>
          <w:color w:val="000000"/>
          <w:sz w:val="18"/>
          <w:szCs w:val="18"/>
          <w:lang w:eastAsia="pl-PL"/>
        </w:rPr>
        <w:t>2023</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E1F3E">
        <w:rPr>
          <w:rFonts w:ascii="Century Gothic" w:eastAsia="Times New Roman" w:hAnsi="Century Gothic" w:cs="Calibri"/>
          <w:b/>
          <w:bCs/>
          <w:color w:val="000000"/>
          <w:sz w:val="18"/>
          <w:szCs w:val="18"/>
          <w:lang w:eastAsia="pl-PL"/>
        </w:rPr>
        <w:t>09</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2893F03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3F1F51">
        <w:rPr>
          <w:rFonts w:ascii="Century Gothic" w:eastAsia="Times New Roman" w:hAnsi="Century Gothic" w:cs="Calibri"/>
          <w:b/>
          <w:bCs/>
          <w:color w:val="000000"/>
          <w:sz w:val="18"/>
          <w:szCs w:val="18"/>
          <w:lang w:eastAsia="pl-PL"/>
        </w:rPr>
        <w:t>26.10.</w:t>
      </w:r>
      <w:r w:rsidR="005E5EAA">
        <w:rPr>
          <w:rFonts w:ascii="Century Gothic" w:eastAsia="Times New Roman" w:hAnsi="Century Gothic" w:cs="Calibri"/>
          <w:b/>
          <w:bCs/>
          <w:color w:val="000000"/>
          <w:sz w:val="18"/>
          <w:szCs w:val="18"/>
          <w:lang w:eastAsia="pl-PL"/>
        </w:rPr>
        <w:t>2023</w:t>
      </w:r>
      <w:r w:rsidRPr="00CE7501">
        <w:rPr>
          <w:rFonts w:ascii="Century Gothic" w:eastAsia="Times New Roman" w:hAnsi="Century Gothic" w:cs="Calibri"/>
          <w:b/>
          <w:bCs/>
          <w:color w:val="000000"/>
          <w:sz w:val="18"/>
          <w:szCs w:val="18"/>
          <w:lang w:eastAsia="pl-PL"/>
        </w:rPr>
        <w:t xml:space="preserve"> roku o godzinie </w:t>
      </w:r>
      <w:r w:rsidR="009E1F3E">
        <w:rPr>
          <w:rFonts w:ascii="Century Gothic" w:eastAsia="Times New Roman" w:hAnsi="Century Gothic" w:cs="Calibri"/>
          <w:b/>
          <w:bCs/>
          <w:color w:val="000000"/>
          <w:sz w:val="18"/>
          <w:szCs w:val="18"/>
          <w:lang w:eastAsia="pl-PL"/>
        </w:rPr>
        <w:t>09:15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32810364" w14:textId="77777777" w:rsidR="000E7195" w:rsidRDefault="000E7195" w:rsidP="00420D49">
      <w:pPr>
        <w:suppressAutoHyphens/>
        <w:spacing w:after="0" w:line="240" w:lineRule="auto"/>
        <w:ind w:left="425" w:hanging="426"/>
        <w:jc w:val="center"/>
        <w:rPr>
          <w:rStyle w:val="Pogrubienie"/>
          <w:rFonts w:ascii="Century Gothic" w:hAnsi="Century Gothic"/>
          <w:sz w:val="18"/>
          <w:szCs w:val="18"/>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295450">
        <w:rPr>
          <w:rStyle w:val="Pogrubienie"/>
          <w:rFonts w:ascii="Century Gothic" w:hAnsi="Century Gothic"/>
          <w:sz w:val="18"/>
          <w:szCs w:val="18"/>
        </w:rPr>
        <w:t xml:space="preserve">.  </w:t>
      </w:r>
      <w:r w:rsidR="00F167E0" w:rsidRPr="00295450">
        <w:rPr>
          <w:rStyle w:val="Pogrubienie"/>
          <w:rFonts w:ascii="Century Gothic" w:hAnsi="Century Gothic"/>
          <w:sz w:val="18"/>
          <w:szCs w:val="18"/>
        </w:rPr>
        <w:t xml:space="preserve">   </w:t>
      </w:r>
      <w:r w:rsidR="00B84F6D" w:rsidRPr="00295450">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0B61FE35" w14:textId="32D21FBC" w:rsidR="00B36D72" w:rsidRDefault="00D02F94" w:rsidP="00BD4BFF">
      <w:pPr>
        <w:pStyle w:val="Tytu"/>
        <w:numPr>
          <w:ilvl w:val="3"/>
          <w:numId w:val="24"/>
        </w:numPr>
        <w:tabs>
          <w:tab w:val="left" w:pos="284"/>
        </w:tabs>
        <w:ind w:left="284" w:hanging="284"/>
        <w:jc w:val="both"/>
        <w:rPr>
          <w:rFonts w:ascii="Century Gothic" w:hAnsi="Century Gothic"/>
          <w:bCs/>
          <w:i w:val="0"/>
          <w:sz w:val="18"/>
          <w:szCs w:val="18"/>
        </w:rPr>
      </w:pPr>
      <w:r w:rsidRPr="00CE7501">
        <w:rPr>
          <w:rFonts w:ascii="Century Gothic" w:hAnsi="Century Gothic"/>
          <w:bCs/>
          <w:i w:val="0"/>
          <w:sz w:val="18"/>
          <w:szCs w:val="18"/>
        </w:rPr>
        <w:t xml:space="preserve">Przy wyborze oferty na </w:t>
      </w:r>
      <w:r w:rsidR="00355578">
        <w:rPr>
          <w:rFonts w:ascii="Century Gothic" w:hAnsi="Century Gothic"/>
          <w:b/>
          <w:bCs/>
          <w:i w:val="0"/>
          <w:sz w:val="18"/>
          <w:szCs w:val="18"/>
        </w:rPr>
        <w:t xml:space="preserve">sukcesywne dostawy </w:t>
      </w:r>
      <w:r w:rsidR="00935A7E">
        <w:rPr>
          <w:rFonts w:ascii="Century Gothic" w:hAnsi="Century Gothic"/>
          <w:b/>
          <w:bCs/>
          <w:i w:val="0"/>
          <w:sz w:val="18"/>
          <w:szCs w:val="18"/>
        </w:rPr>
        <w:t>środków dezynfekcyjnych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00B36D72">
        <w:rPr>
          <w:rFonts w:ascii="Century Gothic" w:hAnsi="Century Gothic"/>
          <w:bCs/>
          <w:i w:val="0"/>
          <w:sz w:val="18"/>
          <w:szCs w:val="18"/>
        </w:rPr>
        <w:t>:</w:t>
      </w:r>
    </w:p>
    <w:p w14:paraId="1A888269" w14:textId="4961F0B9" w:rsidR="001B084B" w:rsidRDefault="001B084B" w:rsidP="00B36D72">
      <w:pPr>
        <w:pStyle w:val="Tytu"/>
        <w:tabs>
          <w:tab w:val="left" w:pos="284"/>
        </w:tabs>
        <w:ind w:left="284"/>
        <w:jc w:val="both"/>
        <w:rPr>
          <w:rFonts w:ascii="Century Gothic" w:hAnsi="Century Gothic"/>
          <w:bCs/>
          <w:i w:val="0"/>
          <w:sz w:val="18"/>
          <w:szCs w:val="18"/>
        </w:rPr>
      </w:pPr>
      <w:r>
        <w:rPr>
          <w:rFonts w:ascii="Century Gothic" w:hAnsi="Century Gothic"/>
          <w:bCs/>
          <w:i w:val="0"/>
          <w:sz w:val="18"/>
          <w:szCs w:val="18"/>
        </w:rPr>
        <w:t xml:space="preserve"> </w:t>
      </w:r>
    </w:p>
    <w:p w14:paraId="2CD95EB0" w14:textId="3832207C"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573E5D">
        <w:rPr>
          <w:rFonts w:ascii="Century Gothic" w:eastAsia="Times New Roman" w:hAnsi="Century Gothic" w:cs="Times New Roman"/>
          <w:b/>
          <w:bCs/>
          <w:sz w:val="18"/>
          <w:szCs w:val="18"/>
          <w:lang w:eastAsia="ar-SA"/>
        </w:rPr>
        <w:t>100</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1F0601DE"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573E5D">
        <w:rPr>
          <w:rFonts w:ascii="Century Gothic" w:eastAsia="Times New Roman" w:hAnsi="Century Gothic" w:cs="Times New Roman"/>
          <w:bCs/>
          <w:sz w:val="18"/>
          <w:szCs w:val="18"/>
          <w:lang w:eastAsia="ar-SA"/>
        </w:rPr>
        <w:t>10</w:t>
      </w:r>
      <w:r w:rsidR="00433FDB">
        <w:rPr>
          <w:rFonts w:ascii="Century Gothic" w:eastAsia="Times New Roman" w:hAnsi="Century Gothic" w:cs="Times New Roman"/>
          <w:bCs/>
          <w:sz w:val="18"/>
          <w:szCs w:val="18"/>
          <w:lang w:eastAsia="ar-SA"/>
        </w:rPr>
        <w:t>0</w:t>
      </w:r>
      <w:r w:rsidRPr="00CE7501">
        <w:rPr>
          <w:rFonts w:ascii="Century Gothic" w:eastAsia="Times New Roman" w:hAnsi="Century Gothic" w:cs="Times New Roman"/>
          <w:bCs/>
          <w:sz w:val="18"/>
          <w:szCs w:val="18"/>
          <w:lang w:eastAsia="ar-SA"/>
        </w:rPr>
        <w:t xml:space="preserve">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4482569F"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w:t>
      </w:r>
      <w:r w:rsidR="00433FDB">
        <w:rPr>
          <w:rFonts w:ascii="Century Gothic" w:eastAsia="Times New Roman" w:hAnsi="Century Gothic" w:cs="Arial"/>
          <w:color w:val="000000"/>
          <w:sz w:val="18"/>
          <w:szCs w:val="18"/>
          <w:lang w:eastAsia="pl-PL"/>
        </w:rPr>
        <w:t>(C)</w:t>
      </w:r>
      <w:r w:rsidR="00D02F94"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1A6BD1BF"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7C952C0"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5298F178"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5074673A"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1CA905B9"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3D4E8130"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000974C3">
        <w:rPr>
          <w:rFonts w:ascii="Century Gothic" w:eastAsia="Times New Roman" w:hAnsi="Century Gothic" w:cs="Arial"/>
          <w:sz w:val="18"/>
          <w:szCs w:val="18"/>
          <w:lang w:eastAsia="ar-SA"/>
        </w:rPr>
        <w:t xml:space="preserve"> Zamawiający</w:t>
      </w:r>
      <w:r w:rsidRPr="00CE7501">
        <w:rPr>
          <w:rFonts w:ascii="Century Gothic" w:eastAsia="Times New Roman" w:hAnsi="Century Gothic" w:cs="Arial"/>
          <w:sz w:val="18"/>
          <w:szCs w:val="18"/>
          <w:lang w:eastAsia="ar-SA"/>
        </w:rPr>
        <w:t xml:space="preserve">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42891A14" w:rsidR="005C496A" w:rsidRPr="00CE7501" w:rsidRDefault="000974C3"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0974C3">
        <w:rPr>
          <w:rFonts w:ascii="Century Gothic" w:eastAsia="Calibri" w:hAnsi="Century Gothic" w:cs="TTCEo00"/>
          <w:color w:val="000000"/>
          <w:sz w:val="18"/>
          <w:szCs w:val="18"/>
          <w:lang w:eastAsia="pl-PL"/>
        </w:rPr>
        <w:t xml:space="preserve">Inspektorem ochrony danych osobowych w Szpitalu Pani Klaudia </w:t>
      </w:r>
      <w:proofErr w:type="spellStart"/>
      <w:r w:rsidRPr="000974C3">
        <w:rPr>
          <w:rFonts w:ascii="Century Gothic" w:eastAsia="Calibri" w:hAnsi="Century Gothic" w:cs="TTCEo00"/>
          <w:color w:val="000000"/>
          <w:sz w:val="18"/>
          <w:szCs w:val="18"/>
          <w:lang w:eastAsia="pl-PL"/>
        </w:rPr>
        <w:t>Goclik</w:t>
      </w:r>
      <w:proofErr w:type="spellEnd"/>
      <w:r w:rsidRPr="000974C3">
        <w:rPr>
          <w:rFonts w:ascii="Century Gothic" w:eastAsia="Calibri" w:hAnsi="Century Gothic" w:cs="TTCEo00"/>
          <w:color w:val="000000"/>
          <w:sz w:val="18"/>
          <w:szCs w:val="18"/>
          <w:lang w:eastAsia="pl-PL"/>
        </w:rPr>
        <w:t xml:space="preserve">, tel. 796021940, e-mail: </w:t>
      </w:r>
      <w:hyperlink r:id="rId48" w:history="1">
        <w:r w:rsidRPr="000974C3">
          <w:rPr>
            <w:rStyle w:val="Hipercze"/>
            <w:rFonts w:ascii="Century Gothic" w:eastAsia="Calibri" w:hAnsi="Century Gothic" w:cs="TTCEo00"/>
            <w:sz w:val="18"/>
            <w:szCs w:val="18"/>
            <w:lang w:eastAsia="pl-PL"/>
          </w:rPr>
          <w:t>iod@pulmonologia.olsztyn.pl</w:t>
        </w:r>
      </w:hyperlink>
      <w:r w:rsidRPr="000974C3">
        <w:rPr>
          <w:rFonts w:ascii="Century Gothic" w:eastAsia="Calibri" w:hAnsi="Century Gothic" w:cs="TTCEo00"/>
          <w:color w:val="000000"/>
          <w:sz w:val="18"/>
          <w:szCs w:val="18"/>
          <w:lang w:eastAsia="pl-PL"/>
        </w:rPr>
        <w:t>;</w:t>
      </w:r>
    </w:p>
    <w:p w14:paraId="2125D57D" w14:textId="48B07C6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SZ</w:t>
      </w:r>
      <w:r w:rsidR="004928E2">
        <w:rPr>
          <w:rFonts w:ascii="Century Gothic" w:eastAsia="Calibri" w:hAnsi="Century Gothic" w:cs="TTC4o00"/>
          <w:b/>
          <w:color w:val="000000"/>
          <w:sz w:val="18"/>
          <w:szCs w:val="18"/>
          <w:lang w:eastAsia="pl-PL"/>
        </w:rPr>
        <w:t>P</w:t>
      </w:r>
      <w:r w:rsidRPr="00CE7501">
        <w:rPr>
          <w:rFonts w:ascii="Century Gothic" w:eastAsia="Calibri" w:hAnsi="Century Gothic" w:cs="TTC4o00"/>
          <w:b/>
          <w:color w:val="000000"/>
          <w:sz w:val="18"/>
          <w:szCs w:val="18"/>
          <w:lang w:eastAsia="pl-PL"/>
        </w:rPr>
        <w:t>.</w:t>
      </w:r>
      <w:r w:rsidR="00935A7E">
        <w:rPr>
          <w:rFonts w:ascii="Century Gothic" w:eastAsia="Calibri" w:hAnsi="Century Gothic" w:cs="TTC4o00"/>
          <w:b/>
          <w:color w:val="000000"/>
          <w:sz w:val="18"/>
          <w:szCs w:val="18"/>
          <w:lang w:eastAsia="pl-PL"/>
        </w:rPr>
        <w:t>242</w:t>
      </w:r>
      <w:r w:rsidR="00207444">
        <w:rPr>
          <w:rFonts w:ascii="Century Gothic" w:eastAsia="Calibri" w:hAnsi="Century Gothic" w:cs="TTC4o00"/>
          <w:b/>
          <w:color w:val="000000"/>
          <w:sz w:val="18"/>
          <w:szCs w:val="18"/>
          <w:lang w:eastAsia="pl-PL"/>
        </w:rPr>
        <w:t>.</w:t>
      </w:r>
      <w:r w:rsidR="00F83AE3">
        <w:rPr>
          <w:rFonts w:ascii="Century Gothic" w:eastAsia="Calibri" w:hAnsi="Century Gothic" w:cs="TTC4o00"/>
          <w:b/>
          <w:color w:val="000000"/>
          <w:sz w:val="18"/>
          <w:szCs w:val="18"/>
          <w:lang w:eastAsia="pl-PL"/>
        </w:rPr>
        <w:t>45</w:t>
      </w:r>
      <w:r w:rsidR="00207444">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w:t>
      </w:r>
      <w:r w:rsidR="004928E2">
        <w:rPr>
          <w:rFonts w:ascii="Century Gothic" w:eastAsia="Calibri" w:hAnsi="Century Gothic" w:cs="TTC4o00"/>
          <w:b/>
          <w:color w:val="000000"/>
          <w:sz w:val="18"/>
          <w:szCs w:val="18"/>
          <w:lang w:eastAsia="pl-PL"/>
        </w:rPr>
        <w:t>3</w:t>
      </w:r>
      <w:r w:rsidR="00113B7C">
        <w:rPr>
          <w:rFonts w:ascii="Century Gothic" w:eastAsia="Calibri" w:hAnsi="Century Gothic" w:cs="TTC4o00"/>
          <w:b/>
          <w:color w:val="000000"/>
          <w:sz w:val="18"/>
          <w:szCs w:val="18"/>
          <w:lang w:eastAsia="pl-PL"/>
        </w:rPr>
        <w:t xml:space="preserve"> pn. </w:t>
      </w:r>
      <w:r w:rsidR="004928E2">
        <w:rPr>
          <w:rFonts w:ascii="Century Gothic" w:eastAsia="Calibri" w:hAnsi="Century Gothic" w:cs="TTC4o00"/>
          <w:b/>
          <w:color w:val="000000"/>
          <w:sz w:val="18"/>
          <w:szCs w:val="18"/>
          <w:lang w:eastAsia="pl-PL"/>
        </w:rPr>
        <w:t xml:space="preserve">sukcesywne dostawy </w:t>
      </w:r>
      <w:r w:rsidR="00935A7E">
        <w:rPr>
          <w:rFonts w:ascii="Century Gothic" w:eastAsia="Calibri" w:hAnsi="Century Gothic" w:cs="TTC4o00"/>
          <w:b/>
          <w:color w:val="000000"/>
          <w:sz w:val="18"/>
          <w:szCs w:val="18"/>
          <w:lang w:eastAsia="pl-PL"/>
        </w:rPr>
        <w:t>środków dezynfekcyjnych</w:t>
      </w:r>
      <w:r w:rsidR="00113B7C">
        <w:rPr>
          <w:rFonts w:ascii="Century Gothic" w:eastAsia="Calibri" w:hAnsi="Century Gothic" w:cs="TTC4o00"/>
          <w:b/>
          <w:color w:val="000000"/>
          <w:sz w:val="18"/>
          <w:szCs w:val="18"/>
          <w:lang w:eastAsia="pl-PL"/>
        </w:rPr>
        <w:t xml:space="preserve">.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4D151B2C" w14:textId="77777777" w:rsidR="004928E2" w:rsidRPr="00890FBC" w:rsidRDefault="004928E2" w:rsidP="004928E2">
      <w:pPr>
        <w:pStyle w:val="Akapitzlist"/>
        <w:spacing w:after="0" w:line="200" w:lineRule="atLeast"/>
        <w:jc w:val="both"/>
        <w:rPr>
          <w:rFonts w:ascii="Century Gothic" w:eastAsia="Times New Roman" w:hAnsi="Century Gothic" w:cs="Times New Roman"/>
          <w:sz w:val="18"/>
          <w:szCs w:val="18"/>
          <w:lang w:eastAsia="pl-PL"/>
        </w:rPr>
      </w:pPr>
    </w:p>
    <w:p w14:paraId="3DC04D90" w14:textId="77777777" w:rsidR="004928E2" w:rsidRDefault="004928E2" w:rsidP="004928E2">
      <w:pPr>
        <w:spacing w:after="0" w:line="240" w:lineRule="auto"/>
        <w:ind w:left="284" w:hanging="284"/>
        <w:jc w:val="right"/>
        <w:rPr>
          <w:rFonts w:ascii="Century Gothic" w:eastAsia="Times New Roman" w:hAnsi="Century Gothic" w:cs="Times New Roman"/>
          <w:sz w:val="18"/>
          <w:szCs w:val="18"/>
          <w:lang w:eastAsia="pl-PL"/>
        </w:rPr>
      </w:pPr>
    </w:p>
    <w:p w14:paraId="156C5A57" w14:textId="77777777" w:rsidR="004928E2" w:rsidRDefault="004928E2" w:rsidP="004928E2">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ab/>
      </w:r>
      <w:r>
        <w:rPr>
          <w:rFonts w:ascii="Century Gothic" w:eastAsia="Times New Roman" w:hAnsi="Century Gothic" w:cs="Times New Roman"/>
          <w:sz w:val="18"/>
          <w:szCs w:val="18"/>
          <w:lang w:eastAsia="pl-PL"/>
        </w:rPr>
        <w:tab/>
      </w:r>
    </w:p>
    <w:p w14:paraId="78D28AF4" w14:textId="77777777" w:rsidR="004928E2" w:rsidRDefault="004928E2" w:rsidP="004928E2">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p>
    <w:p w14:paraId="40299A31" w14:textId="1340D398" w:rsidR="004928E2" w:rsidRDefault="00496772" w:rsidP="00496772">
      <w:pPr>
        <w:tabs>
          <w:tab w:val="left" w:pos="5595"/>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 xml:space="preserve">Z upoważnienia </w:t>
      </w:r>
      <w:bookmarkStart w:id="7" w:name="_GoBack"/>
      <w:bookmarkEnd w:id="7"/>
    </w:p>
    <w:p w14:paraId="7DF37FB2" w14:textId="77777777" w:rsidR="00496772" w:rsidRDefault="00496772" w:rsidP="00496772">
      <w:pPr>
        <w:tabs>
          <w:tab w:val="left" w:pos="5595"/>
        </w:tabs>
        <w:spacing w:after="0" w:line="240" w:lineRule="auto"/>
        <w:ind w:firstLine="652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Zastępca Dyrektora </w:t>
      </w:r>
    </w:p>
    <w:p w14:paraId="1BAC7288" w14:textId="0176C42F" w:rsidR="00496772" w:rsidRDefault="00496772" w:rsidP="00496772">
      <w:pPr>
        <w:tabs>
          <w:tab w:val="left" w:pos="5595"/>
        </w:tabs>
        <w:spacing w:after="0" w:line="240" w:lineRule="auto"/>
        <w:ind w:firstLine="652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ds. technicznych</w:t>
      </w:r>
    </w:p>
    <w:p w14:paraId="4B0ACFA6" w14:textId="2A04C852" w:rsidR="00496772" w:rsidRDefault="00496772" w:rsidP="00496772">
      <w:pPr>
        <w:tabs>
          <w:tab w:val="left" w:pos="5595"/>
        </w:tabs>
        <w:spacing w:after="0" w:line="240" w:lineRule="auto"/>
        <w:ind w:firstLine="652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p w14:paraId="170D24D7" w14:textId="559069F9" w:rsidR="004928E2" w:rsidRDefault="004928E2" w:rsidP="004928E2">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6E4B1A2E" w14:textId="77777777" w:rsidR="004928E2" w:rsidRDefault="004928E2" w:rsidP="004928E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6B58F64E" w14:textId="3E21C5D5" w:rsidR="00F521D8" w:rsidRDefault="00F521D8" w:rsidP="000D1419">
      <w:pPr>
        <w:spacing w:after="0" w:line="600" w:lineRule="auto"/>
        <w:ind w:left="284" w:hanging="284"/>
        <w:rPr>
          <w:rFonts w:ascii="Century Gothic" w:eastAsia="Times New Roman" w:hAnsi="Century Gothic" w:cs="Times New Roman"/>
          <w:sz w:val="18"/>
          <w:szCs w:val="18"/>
          <w:lang w:eastAsia="pl-PL"/>
        </w:rPr>
      </w:pP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AAEE3D2" w14:textId="52383AE4"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p>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A36C86">
      <w:footerReference w:type="default" r:id="rId49"/>
      <w:headerReference w:type="first" r:id="rId50"/>
      <w:type w:val="continuous"/>
      <w:pgSz w:w="11906" w:h="16838"/>
      <w:pgMar w:top="993"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239" w16cex:dateUtc="2023-02-23T09:45:00Z"/>
  <w16cex:commentExtensible w16cex:durableId="27A1C23E" w16cex:dateUtc="2023-02-2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1065B" w16cid:durableId="27A1C239"/>
  <w16cid:commentId w16cid:paraId="3B367B44" w16cid:durableId="27A1C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F481" w14:textId="77777777" w:rsidR="00935A7E" w:rsidRDefault="00935A7E" w:rsidP="008A5607">
      <w:pPr>
        <w:spacing w:after="0" w:line="240" w:lineRule="auto"/>
      </w:pPr>
      <w:r>
        <w:separator/>
      </w:r>
    </w:p>
  </w:endnote>
  <w:endnote w:type="continuationSeparator" w:id="0">
    <w:p w14:paraId="42A3534F" w14:textId="77777777" w:rsidR="00935A7E" w:rsidRDefault="00935A7E"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935A7E" w:rsidRPr="005416AB" w:rsidRDefault="00935A7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96772">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935A7E" w:rsidRDefault="00935A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E28" w14:textId="77777777" w:rsidR="00935A7E" w:rsidRDefault="00935A7E" w:rsidP="008A5607">
      <w:pPr>
        <w:spacing w:after="0" w:line="240" w:lineRule="auto"/>
      </w:pPr>
      <w:r>
        <w:separator/>
      </w:r>
    </w:p>
  </w:footnote>
  <w:footnote w:type="continuationSeparator" w:id="0">
    <w:p w14:paraId="0BBA473C" w14:textId="77777777" w:rsidR="00935A7E" w:rsidRDefault="00935A7E"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935A7E" w:rsidRDefault="00935A7E">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16F3B"/>
    <w:multiLevelType w:val="hybridMultilevel"/>
    <w:tmpl w:val="06C89C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D2FFE"/>
    <w:multiLevelType w:val="multilevel"/>
    <w:tmpl w:val="572A527E"/>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start w:val="1"/>
      <w:numFmt w:val="lowerLetter"/>
      <w:lvlText w:val="%3)"/>
      <w:lvlJc w:val="left"/>
      <w:pPr>
        <w:ind w:left="1942"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EAA5E41"/>
    <w:multiLevelType w:val="hybridMultilevel"/>
    <w:tmpl w:val="C4D82A62"/>
    <w:lvl w:ilvl="0" w:tplc="48FC66E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3" w15:restartNumberingAfterBreak="0">
    <w:nsid w:val="360C30C3"/>
    <w:multiLevelType w:val="hybridMultilevel"/>
    <w:tmpl w:val="1EAAD56C"/>
    <w:lvl w:ilvl="0" w:tplc="ADF04D66">
      <w:start w:val="3"/>
      <w:numFmt w:val="decimal"/>
      <w:lvlText w:val="%1."/>
      <w:lvlJc w:val="left"/>
      <w:pPr>
        <w:ind w:left="502" w:hanging="360"/>
      </w:pPr>
      <w:rPr>
        <w:rFonts w:hint="default"/>
        <w:b w:val="0"/>
      </w:rPr>
    </w:lvl>
    <w:lvl w:ilvl="1" w:tplc="1C80E51C">
      <w:start w:val="1"/>
      <w:numFmt w:val="lowerLetter"/>
      <w:lvlText w:val="%2)"/>
      <w:lvlJc w:val="left"/>
      <w:pPr>
        <w:ind w:left="1440" w:hanging="360"/>
      </w:pPr>
      <w:rPr>
        <w:rFonts w:ascii="Century Gothic" w:hAnsi="Century Gothic" w:cs="Century Gothic"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9AB0AD6"/>
    <w:multiLevelType w:val="multilevel"/>
    <w:tmpl w:val="A9580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65CA5"/>
    <w:multiLevelType w:val="hybridMultilevel"/>
    <w:tmpl w:val="F258A716"/>
    <w:lvl w:ilvl="0" w:tplc="04150011">
      <w:start w:val="1"/>
      <w:numFmt w:val="decimal"/>
      <w:lvlText w:val="%1)"/>
      <w:lvlJc w:val="left"/>
      <w:pPr>
        <w:ind w:left="1440" w:hanging="360"/>
      </w:pPr>
    </w:lvl>
    <w:lvl w:ilvl="1" w:tplc="85AEDC38">
      <w:start w:val="1"/>
      <w:numFmt w:val="decimal"/>
      <w:lvlText w:val="%2)"/>
      <w:lvlJc w:val="left"/>
      <w:pPr>
        <w:ind w:left="2160" w:hanging="360"/>
      </w:pPr>
      <w:rPr>
        <w:rFonts w:ascii="Century Gothic" w:hAnsi="Century Gothic"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0F4F85"/>
    <w:multiLevelType w:val="hybridMultilevel"/>
    <w:tmpl w:val="C05063E8"/>
    <w:lvl w:ilvl="0" w:tplc="96C81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33"/>
  </w:num>
  <w:num w:numId="6">
    <w:abstractNumId w:val="47"/>
  </w:num>
  <w:num w:numId="7">
    <w:abstractNumId w:val="16"/>
  </w:num>
  <w:num w:numId="8">
    <w:abstractNumId w:val="13"/>
  </w:num>
  <w:num w:numId="9">
    <w:abstractNumId w:val="8"/>
  </w:num>
  <w:num w:numId="10">
    <w:abstractNumId w:val="18"/>
  </w:num>
  <w:num w:numId="11">
    <w:abstractNumId w:val="4"/>
  </w:num>
  <w:num w:numId="12">
    <w:abstractNumId w:val="21"/>
  </w:num>
  <w:num w:numId="13">
    <w:abstractNumId w:val="42"/>
  </w:num>
  <w:num w:numId="14">
    <w:abstractNumId w:val="5"/>
  </w:num>
  <w:num w:numId="15">
    <w:abstractNumId w:val="35"/>
  </w:num>
  <w:num w:numId="16">
    <w:abstractNumId w:val="19"/>
  </w:num>
  <w:num w:numId="17">
    <w:abstractNumId w:val="34"/>
  </w:num>
  <w:num w:numId="18">
    <w:abstractNumId w:val="17"/>
  </w:num>
  <w:num w:numId="19">
    <w:abstractNumId w:val="36"/>
  </w:num>
  <w:num w:numId="20">
    <w:abstractNumId w:val="11"/>
  </w:num>
  <w:num w:numId="21">
    <w:abstractNumId w:val="30"/>
  </w:num>
  <w:num w:numId="22">
    <w:abstractNumId w:val="25"/>
  </w:num>
  <w:num w:numId="23">
    <w:abstractNumId w:val="41"/>
  </w:num>
  <w:num w:numId="24">
    <w:abstractNumId w:val="28"/>
  </w:num>
  <w:num w:numId="25">
    <w:abstractNumId w:val="31"/>
  </w:num>
  <w:num w:numId="26">
    <w:abstractNumId w:val="14"/>
  </w:num>
  <w:num w:numId="27">
    <w:abstractNumId w:val="12"/>
  </w:num>
  <w:num w:numId="28">
    <w:abstractNumId w:val="6"/>
  </w:num>
  <w:num w:numId="29">
    <w:abstractNumId w:val="22"/>
  </w:num>
  <w:num w:numId="30">
    <w:abstractNumId w:val="29"/>
  </w:num>
  <w:num w:numId="31">
    <w:abstractNumId w:val="45"/>
  </w:num>
  <w:num w:numId="32">
    <w:abstractNumId w:val="23"/>
  </w:num>
  <w:num w:numId="33">
    <w:abstractNumId w:val="7"/>
  </w:num>
  <w:num w:numId="34">
    <w:abstractNumId w:val="32"/>
  </w:num>
  <w:num w:numId="35">
    <w:abstractNumId w:val="26"/>
  </w:num>
  <w:num w:numId="36">
    <w:abstractNumId w:val="27"/>
  </w:num>
  <w:num w:numId="37">
    <w:abstractNumId w:val="40"/>
  </w:num>
  <w:num w:numId="38">
    <w:abstractNumId w:val="39"/>
  </w:num>
  <w:num w:numId="39">
    <w:abstractNumId w:val="4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4"/>
  </w:num>
  <w:num w:numId="44">
    <w:abstractNumId w:val="46"/>
  </w:num>
  <w:num w:numId="45">
    <w:abstractNumId w:val="38"/>
  </w:num>
  <w:num w:numId="46">
    <w:abstractNumId w:val="20"/>
  </w:num>
  <w:num w:numId="47">
    <w:abstractNumId w:val="3"/>
  </w:num>
  <w:num w:numId="48">
    <w:abstractNumId w:val="24"/>
  </w:num>
  <w:num w:numId="49">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94B"/>
    <w:rsid w:val="00006D2A"/>
    <w:rsid w:val="00007D74"/>
    <w:rsid w:val="0001062B"/>
    <w:rsid w:val="00013798"/>
    <w:rsid w:val="00015C95"/>
    <w:rsid w:val="000176B9"/>
    <w:rsid w:val="0002061A"/>
    <w:rsid w:val="000218DD"/>
    <w:rsid w:val="00026ABC"/>
    <w:rsid w:val="00030A12"/>
    <w:rsid w:val="000324B0"/>
    <w:rsid w:val="00037DF1"/>
    <w:rsid w:val="000404D3"/>
    <w:rsid w:val="00040991"/>
    <w:rsid w:val="00043576"/>
    <w:rsid w:val="00043E3D"/>
    <w:rsid w:val="000453CF"/>
    <w:rsid w:val="00047313"/>
    <w:rsid w:val="00047BA2"/>
    <w:rsid w:val="00050108"/>
    <w:rsid w:val="00054687"/>
    <w:rsid w:val="0005515E"/>
    <w:rsid w:val="00055554"/>
    <w:rsid w:val="00064B03"/>
    <w:rsid w:val="00070EA0"/>
    <w:rsid w:val="000747E8"/>
    <w:rsid w:val="00087B44"/>
    <w:rsid w:val="00091374"/>
    <w:rsid w:val="00091FAC"/>
    <w:rsid w:val="00093ECB"/>
    <w:rsid w:val="0009678C"/>
    <w:rsid w:val="000974C3"/>
    <w:rsid w:val="000A06B1"/>
    <w:rsid w:val="000A27D3"/>
    <w:rsid w:val="000A45D5"/>
    <w:rsid w:val="000A637B"/>
    <w:rsid w:val="000B09E3"/>
    <w:rsid w:val="000B0D2A"/>
    <w:rsid w:val="000B43E7"/>
    <w:rsid w:val="000B5CB9"/>
    <w:rsid w:val="000B749E"/>
    <w:rsid w:val="000C112E"/>
    <w:rsid w:val="000C2373"/>
    <w:rsid w:val="000C40AE"/>
    <w:rsid w:val="000C47C7"/>
    <w:rsid w:val="000C4869"/>
    <w:rsid w:val="000C535B"/>
    <w:rsid w:val="000C6566"/>
    <w:rsid w:val="000D00DD"/>
    <w:rsid w:val="000D00F6"/>
    <w:rsid w:val="000D1419"/>
    <w:rsid w:val="000D4CE6"/>
    <w:rsid w:val="000E00F6"/>
    <w:rsid w:val="000E02C6"/>
    <w:rsid w:val="000E7195"/>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63E"/>
    <w:rsid w:val="00140F3D"/>
    <w:rsid w:val="00142F79"/>
    <w:rsid w:val="0014321D"/>
    <w:rsid w:val="001439CA"/>
    <w:rsid w:val="00144F13"/>
    <w:rsid w:val="00145512"/>
    <w:rsid w:val="001455AA"/>
    <w:rsid w:val="00146B3A"/>
    <w:rsid w:val="0015094C"/>
    <w:rsid w:val="00155D16"/>
    <w:rsid w:val="001617B2"/>
    <w:rsid w:val="00166FA9"/>
    <w:rsid w:val="00172561"/>
    <w:rsid w:val="00174859"/>
    <w:rsid w:val="00181198"/>
    <w:rsid w:val="00184250"/>
    <w:rsid w:val="00193825"/>
    <w:rsid w:val="001938C9"/>
    <w:rsid w:val="001A0681"/>
    <w:rsid w:val="001A22FD"/>
    <w:rsid w:val="001A309B"/>
    <w:rsid w:val="001A3239"/>
    <w:rsid w:val="001A5D80"/>
    <w:rsid w:val="001B084B"/>
    <w:rsid w:val="001B1C1E"/>
    <w:rsid w:val="001B54FB"/>
    <w:rsid w:val="001B5949"/>
    <w:rsid w:val="001B7A56"/>
    <w:rsid w:val="001C0BF9"/>
    <w:rsid w:val="001C1732"/>
    <w:rsid w:val="001C25C5"/>
    <w:rsid w:val="001C27D3"/>
    <w:rsid w:val="001C35AE"/>
    <w:rsid w:val="001D7DBF"/>
    <w:rsid w:val="001E0C38"/>
    <w:rsid w:val="001E2921"/>
    <w:rsid w:val="001E4E0F"/>
    <w:rsid w:val="001E67DF"/>
    <w:rsid w:val="001F06BA"/>
    <w:rsid w:val="001F104E"/>
    <w:rsid w:val="0020163C"/>
    <w:rsid w:val="00203703"/>
    <w:rsid w:val="00206A71"/>
    <w:rsid w:val="0020707E"/>
    <w:rsid w:val="00207230"/>
    <w:rsid w:val="00207444"/>
    <w:rsid w:val="00210655"/>
    <w:rsid w:val="002109EE"/>
    <w:rsid w:val="00212982"/>
    <w:rsid w:val="002129A3"/>
    <w:rsid w:val="00212ED9"/>
    <w:rsid w:val="00214D7C"/>
    <w:rsid w:val="0021687E"/>
    <w:rsid w:val="002206C1"/>
    <w:rsid w:val="0023115C"/>
    <w:rsid w:val="00247190"/>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50"/>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578"/>
    <w:rsid w:val="0035584E"/>
    <w:rsid w:val="00361097"/>
    <w:rsid w:val="0036400A"/>
    <w:rsid w:val="003652C1"/>
    <w:rsid w:val="00375152"/>
    <w:rsid w:val="00377B49"/>
    <w:rsid w:val="00384EC1"/>
    <w:rsid w:val="00385614"/>
    <w:rsid w:val="00391A39"/>
    <w:rsid w:val="003920B3"/>
    <w:rsid w:val="0039228A"/>
    <w:rsid w:val="0039284F"/>
    <w:rsid w:val="0039346D"/>
    <w:rsid w:val="0039381B"/>
    <w:rsid w:val="00395F82"/>
    <w:rsid w:val="00397165"/>
    <w:rsid w:val="00397644"/>
    <w:rsid w:val="003A017C"/>
    <w:rsid w:val="003A34B2"/>
    <w:rsid w:val="003B4ECF"/>
    <w:rsid w:val="003B54C7"/>
    <w:rsid w:val="003B6CC1"/>
    <w:rsid w:val="003C1AE3"/>
    <w:rsid w:val="003C20C9"/>
    <w:rsid w:val="003C7A30"/>
    <w:rsid w:val="003D164F"/>
    <w:rsid w:val="003D3590"/>
    <w:rsid w:val="003D378D"/>
    <w:rsid w:val="003E0A7D"/>
    <w:rsid w:val="003E1955"/>
    <w:rsid w:val="003E2108"/>
    <w:rsid w:val="003E39B6"/>
    <w:rsid w:val="003E40AD"/>
    <w:rsid w:val="003E414C"/>
    <w:rsid w:val="003F1C65"/>
    <w:rsid w:val="003F1F51"/>
    <w:rsid w:val="003F4F46"/>
    <w:rsid w:val="003F5E07"/>
    <w:rsid w:val="003F7D7D"/>
    <w:rsid w:val="00400AE0"/>
    <w:rsid w:val="00400DAE"/>
    <w:rsid w:val="00420D49"/>
    <w:rsid w:val="0042103C"/>
    <w:rsid w:val="00423B58"/>
    <w:rsid w:val="00424594"/>
    <w:rsid w:val="00426BC1"/>
    <w:rsid w:val="0043054D"/>
    <w:rsid w:val="00430955"/>
    <w:rsid w:val="00431CEC"/>
    <w:rsid w:val="00433FDB"/>
    <w:rsid w:val="0043504A"/>
    <w:rsid w:val="004368F2"/>
    <w:rsid w:val="00437040"/>
    <w:rsid w:val="0044222A"/>
    <w:rsid w:val="0044256B"/>
    <w:rsid w:val="004445EB"/>
    <w:rsid w:val="00445D7F"/>
    <w:rsid w:val="00446F14"/>
    <w:rsid w:val="00452693"/>
    <w:rsid w:val="00453AB8"/>
    <w:rsid w:val="00455A03"/>
    <w:rsid w:val="00456019"/>
    <w:rsid w:val="00456B57"/>
    <w:rsid w:val="00465D94"/>
    <w:rsid w:val="00466677"/>
    <w:rsid w:val="0047203A"/>
    <w:rsid w:val="004726EE"/>
    <w:rsid w:val="0048532C"/>
    <w:rsid w:val="004854FD"/>
    <w:rsid w:val="004928E2"/>
    <w:rsid w:val="00493BB5"/>
    <w:rsid w:val="00496022"/>
    <w:rsid w:val="0049677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1103"/>
    <w:rsid w:val="004F3307"/>
    <w:rsid w:val="004F5C7B"/>
    <w:rsid w:val="004F5DE2"/>
    <w:rsid w:val="00502FA1"/>
    <w:rsid w:val="00503C06"/>
    <w:rsid w:val="00504431"/>
    <w:rsid w:val="005046F7"/>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46FCB"/>
    <w:rsid w:val="00554893"/>
    <w:rsid w:val="0055602D"/>
    <w:rsid w:val="005610A1"/>
    <w:rsid w:val="005675A5"/>
    <w:rsid w:val="00572A41"/>
    <w:rsid w:val="00573E5D"/>
    <w:rsid w:val="005743AF"/>
    <w:rsid w:val="005745EB"/>
    <w:rsid w:val="00575F3A"/>
    <w:rsid w:val="00581568"/>
    <w:rsid w:val="005826AA"/>
    <w:rsid w:val="00582F1D"/>
    <w:rsid w:val="005831DF"/>
    <w:rsid w:val="0058638E"/>
    <w:rsid w:val="00591071"/>
    <w:rsid w:val="00592FA1"/>
    <w:rsid w:val="005930C1"/>
    <w:rsid w:val="0059429A"/>
    <w:rsid w:val="005A457B"/>
    <w:rsid w:val="005A7782"/>
    <w:rsid w:val="005B0D65"/>
    <w:rsid w:val="005B2176"/>
    <w:rsid w:val="005B3918"/>
    <w:rsid w:val="005B51AC"/>
    <w:rsid w:val="005B73EB"/>
    <w:rsid w:val="005B77C2"/>
    <w:rsid w:val="005B7C2D"/>
    <w:rsid w:val="005C2D2E"/>
    <w:rsid w:val="005C39ED"/>
    <w:rsid w:val="005C3AA0"/>
    <w:rsid w:val="005C496A"/>
    <w:rsid w:val="005D1C45"/>
    <w:rsid w:val="005D3050"/>
    <w:rsid w:val="005D378E"/>
    <w:rsid w:val="005D5B39"/>
    <w:rsid w:val="005E33BD"/>
    <w:rsid w:val="005E3F0C"/>
    <w:rsid w:val="005E5EAA"/>
    <w:rsid w:val="005E619E"/>
    <w:rsid w:val="005E641D"/>
    <w:rsid w:val="005F004F"/>
    <w:rsid w:val="005F14B6"/>
    <w:rsid w:val="00600563"/>
    <w:rsid w:val="006006F2"/>
    <w:rsid w:val="006007AA"/>
    <w:rsid w:val="006017DB"/>
    <w:rsid w:val="006049A8"/>
    <w:rsid w:val="00615144"/>
    <w:rsid w:val="00615C0E"/>
    <w:rsid w:val="00616337"/>
    <w:rsid w:val="00617891"/>
    <w:rsid w:val="0062001B"/>
    <w:rsid w:val="006204E8"/>
    <w:rsid w:val="00621132"/>
    <w:rsid w:val="0062565F"/>
    <w:rsid w:val="00627FEE"/>
    <w:rsid w:val="006305D1"/>
    <w:rsid w:val="00636F10"/>
    <w:rsid w:val="0063788E"/>
    <w:rsid w:val="00640863"/>
    <w:rsid w:val="0064192E"/>
    <w:rsid w:val="00644ADA"/>
    <w:rsid w:val="00644CEC"/>
    <w:rsid w:val="00645E9B"/>
    <w:rsid w:val="006526C3"/>
    <w:rsid w:val="00652D4B"/>
    <w:rsid w:val="00655E60"/>
    <w:rsid w:val="006563EF"/>
    <w:rsid w:val="0065649B"/>
    <w:rsid w:val="0066186F"/>
    <w:rsid w:val="00662F2C"/>
    <w:rsid w:val="00665537"/>
    <w:rsid w:val="00665DAA"/>
    <w:rsid w:val="00672602"/>
    <w:rsid w:val="006738D7"/>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B447F"/>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26D0A"/>
    <w:rsid w:val="007301A5"/>
    <w:rsid w:val="00733F1D"/>
    <w:rsid w:val="00733F45"/>
    <w:rsid w:val="00736D36"/>
    <w:rsid w:val="00741CBA"/>
    <w:rsid w:val="00742AFB"/>
    <w:rsid w:val="0074396C"/>
    <w:rsid w:val="00744BDA"/>
    <w:rsid w:val="0074555F"/>
    <w:rsid w:val="0074598A"/>
    <w:rsid w:val="00746320"/>
    <w:rsid w:val="00747320"/>
    <w:rsid w:val="0075197E"/>
    <w:rsid w:val="00753068"/>
    <w:rsid w:val="00753D29"/>
    <w:rsid w:val="00753FFF"/>
    <w:rsid w:val="007548A7"/>
    <w:rsid w:val="0075505E"/>
    <w:rsid w:val="007561FE"/>
    <w:rsid w:val="00764C03"/>
    <w:rsid w:val="00765369"/>
    <w:rsid w:val="0077030A"/>
    <w:rsid w:val="0077053B"/>
    <w:rsid w:val="007729A9"/>
    <w:rsid w:val="00773E21"/>
    <w:rsid w:val="00774648"/>
    <w:rsid w:val="00777DF6"/>
    <w:rsid w:val="00791CE7"/>
    <w:rsid w:val="00796043"/>
    <w:rsid w:val="007A22FC"/>
    <w:rsid w:val="007A3701"/>
    <w:rsid w:val="007A446E"/>
    <w:rsid w:val="007A5E60"/>
    <w:rsid w:val="007A694D"/>
    <w:rsid w:val="007A70BB"/>
    <w:rsid w:val="007B1D81"/>
    <w:rsid w:val="007B2268"/>
    <w:rsid w:val="007B2D1E"/>
    <w:rsid w:val="007B3B51"/>
    <w:rsid w:val="007B55EE"/>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0F3F"/>
    <w:rsid w:val="008123ED"/>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52DE"/>
    <w:rsid w:val="00856E00"/>
    <w:rsid w:val="00856F64"/>
    <w:rsid w:val="00860EB0"/>
    <w:rsid w:val="008631E8"/>
    <w:rsid w:val="0086506A"/>
    <w:rsid w:val="008726BB"/>
    <w:rsid w:val="00873C11"/>
    <w:rsid w:val="008740AF"/>
    <w:rsid w:val="0087594B"/>
    <w:rsid w:val="00877582"/>
    <w:rsid w:val="00882FD0"/>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A6914"/>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3CA4"/>
    <w:rsid w:val="008F5522"/>
    <w:rsid w:val="008F7F05"/>
    <w:rsid w:val="00901473"/>
    <w:rsid w:val="00910DC9"/>
    <w:rsid w:val="009128C9"/>
    <w:rsid w:val="00914378"/>
    <w:rsid w:val="00915015"/>
    <w:rsid w:val="00920D03"/>
    <w:rsid w:val="009226AA"/>
    <w:rsid w:val="009233D6"/>
    <w:rsid w:val="009241AD"/>
    <w:rsid w:val="0093046D"/>
    <w:rsid w:val="00931695"/>
    <w:rsid w:val="009350D4"/>
    <w:rsid w:val="00935A7E"/>
    <w:rsid w:val="00937E14"/>
    <w:rsid w:val="0094650C"/>
    <w:rsid w:val="009472DD"/>
    <w:rsid w:val="00951DAD"/>
    <w:rsid w:val="00953062"/>
    <w:rsid w:val="009534BE"/>
    <w:rsid w:val="0096243A"/>
    <w:rsid w:val="00962D15"/>
    <w:rsid w:val="00966D55"/>
    <w:rsid w:val="00971E32"/>
    <w:rsid w:val="00973005"/>
    <w:rsid w:val="00977AB5"/>
    <w:rsid w:val="00983D4E"/>
    <w:rsid w:val="00984AB0"/>
    <w:rsid w:val="00984E6F"/>
    <w:rsid w:val="00985927"/>
    <w:rsid w:val="009867CA"/>
    <w:rsid w:val="00990635"/>
    <w:rsid w:val="00993327"/>
    <w:rsid w:val="009A2FDA"/>
    <w:rsid w:val="009A5EDD"/>
    <w:rsid w:val="009A6C9C"/>
    <w:rsid w:val="009A6F5C"/>
    <w:rsid w:val="009B08E5"/>
    <w:rsid w:val="009B3977"/>
    <w:rsid w:val="009B4168"/>
    <w:rsid w:val="009B4BDA"/>
    <w:rsid w:val="009B4D8D"/>
    <w:rsid w:val="009B4E28"/>
    <w:rsid w:val="009B7C59"/>
    <w:rsid w:val="009C5D85"/>
    <w:rsid w:val="009C7819"/>
    <w:rsid w:val="009D1E64"/>
    <w:rsid w:val="009D205F"/>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09C0"/>
    <w:rsid w:val="00A230B3"/>
    <w:rsid w:val="00A251A6"/>
    <w:rsid w:val="00A25274"/>
    <w:rsid w:val="00A25DB1"/>
    <w:rsid w:val="00A2658D"/>
    <w:rsid w:val="00A26D57"/>
    <w:rsid w:val="00A302EF"/>
    <w:rsid w:val="00A3153C"/>
    <w:rsid w:val="00A342C6"/>
    <w:rsid w:val="00A36C86"/>
    <w:rsid w:val="00A3715D"/>
    <w:rsid w:val="00A4340B"/>
    <w:rsid w:val="00A464EF"/>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A7761"/>
    <w:rsid w:val="00AB34FE"/>
    <w:rsid w:val="00AB4D2E"/>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6D0D"/>
    <w:rsid w:val="00AE7910"/>
    <w:rsid w:val="00AF0BB7"/>
    <w:rsid w:val="00AF28A7"/>
    <w:rsid w:val="00B01986"/>
    <w:rsid w:val="00B0507C"/>
    <w:rsid w:val="00B10302"/>
    <w:rsid w:val="00B124E4"/>
    <w:rsid w:val="00B14C32"/>
    <w:rsid w:val="00B20F33"/>
    <w:rsid w:val="00B21596"/>
    <w:rsid w:val="00B26B2D"/>
    <w:rsid w:val="00B26DA1"/>
    <w:rsid w:val="00B31440"/>
    <w:rsid w:val="00B31513"/>
    <w:rsid w:val="00B342D3"/>
    <w:rsid w:val="00B34CCF"/>
    <w:rsid w:val="00B34D20"/>
    <w:rsid w:val="00B34D61"/>
    <w:rsid w:val="00B36D72"/>
    <w:rsid w:val="00B44631"/>
    <w:rsid w:val="00B50C81"/>
    <w:rsid w:val="00B55848"/>
    <w:rsid w:val="00B56891"/>
    <w:rsid w:val="00B6046C"/>
    <w:rsid w:val="00B61097"/>
    <w:rsid w:val="00B62DC6"/>
    <w:rsid w:val="00B644D7"/>
    <w:rsid w:val="00B65869"/>
    <w:rsid w:val="00B74181"/>
    <w:rsid w:val="00B76FC4"/>
    <w:rsid w:val="00B80508"/>
    <w:rsid w:val="00B80E46"/>
    <w:rsid w:val="00B8122B"/>
    <w:rsid w:val="00B82E34"/>
    <w:rsid w:val="00B839B9"/>
    <w:rsid w:val="00B84F6D"/>
    <w:rsid w:val="00B852D1"/>
    <w:rsid w:val="00B9259B"/>
    <w:rsid w:val="00B93F7A"/>
    <w:rsid w:val="00B96694"/>
    <w:rsid w:val="00B96859"/>
    <w:rsid w:val="00BA0098"/>
    <w:rsid w:val="00BA36ED"/>
    <w:rsid w:val="00BA412A"/>
    <w:rsid w:val="00BA568D"/>
    <w:rsid w:val="00BB089B"/>
    <w:rsid w:val="00BB0F81"/>
    <w:rsid w:val="00BB489E"/>
    <w:rsid w:val="00BB576E"/>
    <w:rsid w:val="00BC1B1C"/>
    <w:rsid w:val="00BC21FE"/>
    <w:rsid w:val="00BC65B3"/>
    <w:rsid w:val="00BC7227"/>
    <w:rsid w:val="00BD0B18"/>
    <w:rsid w:val="00BD13F7"/>
    <w:rsid w:val="00BD4BFF"/>
    <w:rsid w:val="00BD60E6"/>
    <w:rsid w:val="00BD6909"/>
    <w:rsid w:val="00BD71B5"/>
    <w:rsid w:val="00BE1FEF"/>
    <w:rsid w:val="00BE3131"/>
    <w:rsid w:val="00BE673F"/>
    <w:rsid w:val="00BF1771"/>
    <w:rsid w:val="00BF2733"/>
    <w:rsid w:val="00BF2BEB"/>
    <w:rsid w:val="00BF4486"/>
    <w:rsid w:val="00BF7712"/>
    <w:rsid w:val="00BF7A6C"/>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18CC"/>
    <w:rsid w:val="00C951AC"/>
    <w:rsid w:val="00C96C87"/>
    <w:rsid w:val="00CA3054"/>
    <w:rsid w:val="00CA34F0"/>
    <w:rsid w:val="00CA5AE0"/>
    <w:rsid w:val="00CB2212"/>
    <w:rsid w:val="00CB2C51"/>
    <w:rsid w:val="00CC0C75"/>
    <w:rsid w:val="00CC4773"/>
    <w:rsid w:val="00CC5E52"/>
    <w:rsid w:val="00CC73B2"/>
    <w:rsid w:val="00CD15ED"/>
    <w:rsid w:val="00CD245D"/>
    <w:rsid w:val="00CD4235"/>
    <w:rsid w:val="00CD4799"/>
    <w:rsid w:val="00CD4C32"/>
    <w:rsid w:val="00CE1366"/>
    <w:rsid w:val="00CE1A9F"/>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29DD"/>
    <w:rsid w:val="00D2301F"/>
    <w:rsid w:val="00D2550F"/>
    <w:rsid w:val="00D30674"/>
    <w:rsid w:val="00D344D0"/>
    <w:rsid w:val="00D34CBA"/>
    <w:rsid w:val="00D4240B"/>
    <w:rsid w:val="00D432B1"/>
    <w:rsid w:val="00D44489"/>
    <w:rsid w:val="00D459BD"/>
    <w:rsid w:val="00D53279"/>
    <w:rsid w:val="00D579A6"/>
    <w:rsid w:val="00D60EA1"/>
    <w:rsid w:val="00D62FAC"/>
    <w:rsid w:val="00D7045C"/>
    <w:rsid w:val="00D74337"/>
    <w:rsid w:val="00D756C2"/>
    <w:rsid w:val="00D76B16"/>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05A51"/>
    <w:rsid w:val="00E100A6"/>
    <w:rsid w:val="00E1342B"/>
    <w:rsid w:val="00E14396"/>
    <w:rsid w:val="00E204A7"/>
    <w:rsid w:val="00E23451"/>
    <w:rsid w:val="00E25D50"/>
    <w:rsid w:val="00E30CCD"/>
    <w:rsid w:val="00E32CE6"/>
    <w:rsid w:val="00E345D2"/>
    <w:rsid w:val="00E34F64"/>
    <w:rsid w:val="00E3510A"/>
    <w:rsid w:val="00E37A92"/>
    <w:rsid w:val="00E43C3B"/>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2781"/>
    <w:rsid w:val="00E95673"/>
    <w:rsid w:val="00EA4241"/>
    <w:rsid w:val="00EA724D"/>
    <w:rsid w:val="00EB2BED"/>
    <w:rsid w:val="00EB7C45"/>
    <w:rsid w:val="00EC3F9F"/>
    <w:rsid w:val="00ED29B4"/>
    <w:rsid w:val="00ED2A33"/>
    <w:rsid w:val="00ED6A15"/>
    <w:rsid w:val="00EE0B38"/>
    <w:rsid w:val="00EE68EE"/>
    <w:rsid w:val="00EF34FE"/>
    <w:rsid w:val="00EF4E20"/>
    <w:rsid w:val="00F002FA"/>
    <w:rsid w:val="00F00C5A"/>
    <w:rsid w:val="00F069BE"/>
    <w:rsid w:val="00F167E0"/>
    <w:rsid w:val="00F21480"/>
    <w:rsid w:val="00F21EE9"/>
    <w:rsid w:val="00F23A4F"/>
    <w:rsid w:val="00F2699A"/>
    <w:rsid w:val="00F26BFD"/>
    <w:rsid w:val="00F31562"/>
    <w:rsid w:val="00F34C6E"/>
    <w:rsid w:val="00F35E02"/>
    <w:rsid w:val="00F35E45"/>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5EA1"/>
    <w:rsid w:val="00F67BEB"/>
    <w:rsid w:val="00F70F18"/>
    <w:rsid w:val="00F71936"/>
    <w:rsid w:val="00F71B95"/>
    <w:rsid w:val="00F71F45"/>
    <w:rsid w:val="00F75191"/>
    <w:rsid w:val="00F755EC"/>
    <w:rsid w:val="00F76A51"/>
    <w:rsid w:val="00F809C0"/>
    <w:rsid w:val="00F81921"/>
    <w:rsid w:val="00F83AE3"/>
    <w:rsid w:val="00F84639"/>
    <w:rsid w:val="00F846DD"/>
    <w:rsid w:val="00F86087"/>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30D6"/>
    <w:rsid w:val="00FC59D3"/>
    <w:rsid w:val="00FC7096"/>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 w:type="paragraph" w:styleId="Poprawka">
    <w:name w:val="Revision"/>
    <w:hidden/>
    <w:uiPriority w:val="99"/>
    <w:semiHidden/>
    <w:rsid w:val="00140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9623458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60">
          <w:marLeft w:val="360"/>
          <w:marRight w:val="0"/>
          <w:marTop w:val="0"/>
          <w:marBottom w:val="0"/>
          <w:divBdr>
            <w:top w:val="none" w:sz="0" w:space="0" w:color="auto"/>
            <w:left w:val="none" w:sz="0" w:space="0" w:color="auto"/>
            <w:bottom w:val="none" w:sz="0" w:space="0" w:color="auto"/>
            <w:right w:val="none" w:sz="0" w:space="0" w:color="auto"/>
          </w:divBdr>
          <w:divsChild>
            <w:div w:id="626667221">
              <w:marLeft w:val="0"/>
              <w:marRight w:val="0"/>
              <w:marTop w:val="0"/>
              <w:marBottom w:val="0"/>
              <w:divBdr>
                <w:top w:val="none" w:sz="0" w:space="0" w:color="auto"/>
                <w:left w:val="none" w:sz="0" w:space="0" w:color="auto"/>
                <w:bottom w:val="none" w:sz="0" w:space="0" w:color="auto"/>
                <w:right w:val="none" w:sz="0" w:space="0" w:color="auto"/>
              </w:divBdr>
            </w:div>
          </w:divsChild>
        </w:div>
        <w:div w:id="1615359291">
          <w:marLeft w:val="360"/>
          <w:marRight w:val="0"/>
          <w:marTop w:val="0"/>
          <w:marBottom w:val="0"/>
          <w:divBdr>
            <w:top w:val="none" w:sz="0" w:space="0" w:color="auto"/>
            <w:left w:val="none" w:sz="0" w:space="0" w:color="auto"/>
            <w:bottom w:val="none" w:sz="0" w:space="0" w:color="auto"/>
            <w:right w:val="none" w:sz="0" w:space="0" w:color="auto"/>
          </w:divBdr>
          <w:divsChild>
            <w:div w:id="573778419">
              <w:marLeft w:val="0"/>
              <w:marRight w:val="0"/>
              <w:marTop w:val="0"/>
              <w:marBottom w:val="0"/>
              <w:divBdr>
                <w:top w:val="none" w:sz="0" w:space="0" w:color="auto"/>
                <w:left w:val="none" w:sz="0" w:space="0" w:color="auto"/>
                <w:bottom w:val="none" w:sz="0" w:space="0" w:color="auto"/>
                <w:right w:val="none" w:sz="0" w:space="0" w:color="auto"/>
              </w:divBdr>
            </w:div>
          </w:divsChild>
        </w:div>
        <w:div w:id="1583219347">
          <w:marLeft w:val="360"/>
          <w:marRight w:val="0"/>
          <w:marTop w:val="0"/>
          <w:marBottom w:val="0"/>
          <w:divBdr>
            <w:top w:val="none" w:sz="0" w:space="0" w:color="auto"/>
            <w:left w:val="none" w:sz="0" w:space="0" w:color="auto"/>
            <w:bottom w:val="none" w:sz="0" w:space="0" w:color="auto"/>
            <w:right w:val="none" w:sz="0" w:space="0" w:color="auto"/>
          </w:divBdr>
          <w:divsChild>
            <w:div w:id="721713837">
              <w:marLeft w:val="0"/>
              <w:marRight w:val="0"/>
              <w:marTop w:val="0"/>
              <w:marBottom w:val="0"/>
              <w:divBdr>
                <w:top w:val="none" w:sz="0" w:space="0" w:color="auto"/>
                <w:left w:val="none" w:sz="0" w:space="0" w:color="auto"/>
                <w:bottom w:val="none" w:sz="0" w:space="0" w:color="auto"/>
                <w:right w:val="none" w:sz="0" w:space="0" w:color="auto"/>
              </w:divBdr>
            </w:div>
          </w:divsChild>
        </w:div>
        <w:div w:id="1132866803">
          <w:marLeft w:val="360"/>
          <w:marRight w:val="0"/>
          <w:marTop w:val="0"/>
          <w:marBottom w:val="0"/>
          <w:divBdr>
            <w:top w:val="none" w:sz="0" w:space="0" w:color="auto"/>
            <w:left w:val="none" w:sz="0" w:space="0" w:color="auto"/>
            <w:bottom w:val="none" w:sz="0" w:space="0" w:color="auto"/>
            <w:right w:val="none" w:sz="0" w:space="0" w:color="auto"/>
          </w:divBdr>
          <w:divsChild>
            <w:div w:id="1389109549">
              <w:marLeft w:val="0"/>
              <w:marRight w:val="0"/>
              <w:marTop w:val="0"/>
              <w:marBottom w:val="0"/>
              <w:divBdr>
                <w:top w:val="none" w:sz="0" w:space="0" w:color="auto"/>
                <w:left w:val="none" w:sz="0" w:space="0" w:color="auto"/>
                <w:bottom w:val="none" w:sz="0" w:space="0" w:color="auto"/>
                <w:right w:val="none" w:sz="0" w:space="0" w:color="auto"/>
              </w:divBdr>
            </w:div>
          </w:divsChild>
        </w:div>
        <w:div w:id="583606205">
          <w:marLeft w:val="360"/>
          <w:marRight w:val="0"/>
          <w:marTop w:val="0"/>
          <w:marBottom w:val="0"/>
          <w:divBdr>
            <w:top w:val="none" w:sz="0" w:space="0" w:color="auto"/>
            <w:left w:val="none" w:sz="0" w:space="0" w:color="auto"/>
            <w:bottom w:val="none" w:sz="0" w:space="0" w:color="auto"/>
            <w:right w:val="none" w:sz="0" w:space="0" w:color="auto"/>
          </w:divBdr>
          <w:divsChild>
            <w:div w:id="1785347611">
              <w:marLeft w:val="0"/>
              <w:marRight w:val="0"/>
              <w:marTop w:val="0"/>
              <w:marBottom w:val="0"/>
              <w:divBdr>
                <w:top w:val="none" w:sz="0" w:space="0" w:color="auto"/>
                <w:left w:val="none" w:sz="0" w:space="0" w:color="auto"/>
                <w:bottom w:val="none" w:sz="0" w:space="0" w:color="auto"/>
                <w:right w:val="none" w:sz="0" w:space="0" w:color="auto"/>
              </w:divBdr>
            </w:div>
          </w:divsChild>
        </w:div>
        <w:div w:id="1178499513">
          <w:marLeft w:val="360"/>
          <w:marRight w:val="0"/>
          <w:marTop w:val="0"/>
          <w:marBottom w:val="0"/>
          <w:divBdr>
            <w:top w:val="none" w:sz="0" w:space="0" w:color="auto"/>
            <w:left w:val="none" w:sz="0" w:space="0" w:color="auto"/>
            <w:bottom w:val="none" w:sz="0" w:space="0" w:color="auto"/>
            <w:right w:val="none" w:sz="0" w:space="0" w:color="auto"/>
          </w:divBdr>
          <w:divsChild>
            <w:div w:id="450322177">
              <w:marLeft w:val="0"/>
              <w:marRight w:val="0"/>
              <w:marTop w:val="0"/>
              <w:marBottom w:val="0"/>
              <w:divBdr>
                <w:top w:val="none" w:sz="0" w:space="0" w:color="auto"/>
                <w:left w:val="none" w:sz="0" w:space="0" w:color="auto"/>
                <w:bottom w:val="none" w:sz="0" w:space="0" w:color="auto"/>
                <w:right w:val="none" w:sz="0" w:space="0" w:color="auto"/>
              </w:divBdr>
            </w:div>
          </w:divsChild>
        </w:div>
        <w:div w:id="549682953">
          <w:marLeft w:val="360"/>
          <w:marRight w:val="0"/>
          <w:marTop w:val="0"/>
          <w:marBottom w:val="0"/>
          <w:divBdr>
            <w:top w:val="none" w:sz="0" w:space="0" w:color="auto"/>
            <w:left w:val="none" w:sz="0" w:space="0" w:color="auto"/>
            <w:bottom w:val="none" w:sz="0" w:space="0" w:color="auto"/>
            <w:right w:val="none" w:sz="0" w:space="0" w:color="auto"/>
          </w:divBdr>
          <w:divsChild>
            <w:div w:id="1634871820">
              <w:marLeft w:val="0"/>
              <w:marRight w:val="0"/>
              <w:marTop w:val="0"/>
              <w:marBottom w:val="0"/>
              <w:divBdr>
                <w:top w:val="none" w:sz="0" w:space="0" w:color="auto"/>
                <w:left w:val="none" w:sz="0" w:space="0" w:color="auto"/>
                <w:bottom w:val="none" w:sz="0" w:space="0" w:color="auto"/>
                <w:right w:val="none" w:sz="0" w:space="0" w:color="auto"/>
              </w:divBdr>
            </w:div>
          </w:divsChild>
        </w:div>
        <w:div w:id="126315172">
          <w:marLeft w:val="360"/>
          <w:marRight w:val="0"/>
          <w:marTop w:val="0"/>
          <w:marBottom w:val="0"/>
          <w:divBdr>
            <w:top w:val="none" w:sz="0" w:space="0" w:color="auto"/>
            <w:left w:val="none" w:sz="0" w:space="0" w:color="auto"/>
            <w:bottom w:val="none" w:sz="0" w:space="0" w:color="auto"/>
            <w:right w:val="none" w:sz="0" w:space="0" w:color="auto"/>
          </w:divBdr>
          <w:divsChild>
            <w:div w:id="931822037">
              <w:marLeft w:val="0"/>
              <w:marRight w:val="0"/>
              <w:marTop w:val="0"/>
              <w:marBottom w:val="0"/>
              <w:divBdr>
                <w:top w:val="none" w:sz="0" w:space="0" w:color="auto"/>
                <w:left w:val="none" w:sz="0" w:space="0" w:color="auto"/>
                <w:bottom w:val="none" w:sz="0" w:space="0" w:color="auto"/>
                <w:right w:val="none" w:sz="0" w:space="0" w:color="auto"/>
              </w:divBdr>
            </w:div>
          </w:divsChild>
        </w:div>
        <w:div w:id="581991275">
          <w:marLeft w:val="360"/>
          <w:marRight w:val="0"/>
          <w:marTop w:val="0"/>
          <w:marBottom w:val="0"/>
          <w:divBdr>
            <w:top w:val="none" w:sz="0" w:space="0" w:color="auto"/>
            <w:left w:val="none" w:sz="0" w:space="0" w:color="auto"/>
            <w:bottom w:val="none" w:sz="0" w:space="0" w:color="auto"/>
            <w:right w:val="none" w:sz="0" w:space="0" w:color="auto"/>
          </w:divBdr>
          <w:divsChild>
            <w:div w:id="1074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pulmo-dc1\AD\SOZ\4.%20Dostawy%20materia&#322;&#243;w%20biurowych\zmiany%20SWZ%20ZDT\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hyperlink" Target="mailto:iod@pulmonologia.olsztyn.pl" TargetMode="External"/><Relationship Id="rId8" Type="http://schemas.openxmlformats.org/officeDocument/2006/relationships/hyperlink" Target="http://www.pulmonologia.olsztyn.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C8F9-3450-480E-BAAF-B4FC5298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8195</Words>
  <Characters>49171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38</cp:revision>
  <cp:lastPrinted>2023-02-20T08:48:00Z</cp:lastPrinted>
  <dcterms:created xsi:type="dcterms:W3CDTF">2023-02-23T09:58:00Z</dcterms:created>
  <dcterms:modified xsi:type="dcterms:W3CDTF">2023-10-18T11:18:00Z</dcterms:modified>
</cp:coreProperties>
</file>