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2CF01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446928C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E1E92CB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A31F2B1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2FDC6064" w:rsidR="00D803C8" w:rsidRPr="00954657" w:rsidRDefault="00D803C8" w:rsidP="00081702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79130F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9</w:t>
      </w:r>
      <w:r w:rsidR="0006627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="0079130F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maja</w:t>
      </w: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2023r.</w:t>
      </w:r>
    </w:p>
    <w:p w14:paraId="22F2753F" w14:textId="54D02BA7" w:rsidR="00D803C8" w:rsidRPr="00954657" w:rsidRDefault="0079130F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58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 w:rsidR="003D005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ZP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PROM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.202</w:t>
      </w:r>
      <w:r w:rsidR="0006627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</w:t>
      </w:r>
    </w:p>
    <w:p w14:paraId="4A88A7D6" w14:textId="6C0B80E9" w:rsidR="00D803C8" w:rsidRPr="00081702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Pr="00081702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4234CC2" w14:textId="3DD4DD48" w:rsidR="0079130F" w:rsidRPr="0079130F" w:rsidRDefault="003D0057" w:rsidP="0079130F">
      <w:pPr>
        <w:pStyle w:val="Tekstpodstawowy"/>
        <w:spacing w:before="120" w:after="120"/>
        <w:jc w:val="center"/>
        <w:rPr>
          <w:rFonts w:ascii="Arial" w:hAnsi="Arial" w:cs="Arial"/>
          <w:b/>
          <w:bCs/>
          <w:i/>
          <w:iCs/>
          <w:sz w:val="18"/>
          <w:szCs w:val="18"/>
          <w:lang w:val="pl-PL"/>
        </w:rPr>
      </w:pP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D</w:t>
      </w:r>
      <w:r w:rsidR="00954657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otyczy</w:t>
      </w: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 xml:space="preserve"> zamówienia, którego przedmiotem  jest </w:t>
      </w:r>
      <w:r w:rsidR="0079130F" w:rsidRPr="0079130F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 xml:space="preserve"> świadczenie usługi animacji dla dzieci i dorosłych w strefach komercyjny podczas Igrzysk Europejskich 2023 w podziale na 5 części</w:t>
      </w:r>
    </w:p>
    <w:p w14:paraId="0EF715D8" w14:textId="679E2BB6" w:rsidR="003D0057" w:rsidRPr="00025A08" w:rsidRDefault="003D0057" w:rsidP="003D0057">
      <w:pPr>
        <w:pStyle w:val="Tekstpodstawowy"/>
        <w:spacing w:before="120" w:after="120"/>
        <w:ind w:right="23"/>
        <w:rPr>
          <w:rFonts w:ascii="Arial" w:hAnsi="Arial" w:cs="Arial"/>
          <w:b/>
          <w:bCs/>
          <w:i/>
          <w:iCs/>
          <w:sz w:val="18"/>
          <w:szCs w:val="18"/>
          <w:lang w:val="pl-PL"/>
        </w:rPr>
      </w:pPr>
    </w:p>
    <w:p w14:paraId="45DD9054" w14:textId="77777777" w:rsidR="00106643" w:rsidRPr="00081702" w:rsidRDefault="0010664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105ED5CA" w:rsidR="00D803C8" w:rsidRPr="00954657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WYJAŚNIENIA </w:t>
      </w:r>
      <w:r w:rsidR="003D0057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TREŚCI </w:t>
      </w:r>
      <w:r w:rsidR="00F34991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I MODYFIKACJA </w:t>
      </w:r>
      <w:r w:rsidR="003D0057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SWZ</w:t>
      </w:r>
    </w:p>
    <w:p w14:paraId="0051C40E" w14:textId="77777777" w:rsidR="00566B77" w:rsidRPr="0095465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7E9EF1B1" w14:textId="55098948" w:rsidR="006879C4" w:rsidRPr="00954657" w:rsidRDefault="00FB64B1" w:rsidP="00954657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auto"/>
          <w:sz w:val="20"/>
          <w:szCs w:val="20"/>
          <w:lang w:val="pl-PL"/>
        </w:rPr>
      </w:pPr>
      <w:r w:rsidRPr="00954657">
        <w:rPr>
          <w:rFonts w:ascii="Arial" w:hAnsi="Arial" w:cs="Arial"/>
          <w:sz w:val="20"/>
          <w:szCs w:val="20"/>
          <w:lang w:val="pl-PL" w:bidi="ar-SA"/>
        </w:rPr>
        <w:t xml:space="preserve">Zamawiający </w:t>
      </w:r>
      <w:r w:rsidR="0079130F">
        <w:rPr>
          <w:rFonts w:ascii="Arial" w:hAnsi="Arial" w:cs="Arial"/>
          <w:sz w:val="20"/>
          <w:szCs w:val="20"/>
          <w:lang w:val="pl-PL" w:bidi="ar-SA"/>
        </w:rPr>
        <w:t xml:space="preserve">doprecyzowuje Opis przedmiotu zamówienia stanowiący Załącznik A do SWZ. </w:t>
      </w:r>
    </w:p>
    <w:p w14:paraId="6ADE5FA7" w14:textId="77777777" w:rsidR="008D2487" w:rsidRDefault="008D2487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31728AF9" w14:textId="12EF02F2" w:rsidR="0079130F" w:rsidRDefault="0079130F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  <w:r>
        <w:rPr>
          <w:rFonts w:ascii="Arial" w:hAnsi="Arial" w:cs="Arial"/>
          <w:color w:val="auto"/>
          <w:sz w:val="20"/>
          <w:szCs w:val="20"/>
          <w:lang w:val="pl-PL" w:bidi="ar-SA"/>
        </w:rPr>
        <w:t>W Załączniku A zamawiający zmienia wszystkie zapisy:</w:t>
      </w:r>
    </w:p>
    <w:p w14:paraId="51E6DDF7" w14:textId="77777777" w:rsidR="0079130F" w:rsidRDefault="0079130F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  <w:r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„zapewnieniu ekranu dotykowego (zamawiający nie zastrzega wielkości ekranu)  wraz z grami typu memory i kolorowankami dedykowanymi pod Igrzyska Europejskie” </w:t>
      </w:r>
    </w:p>
    <w:p w14:paraId="040A9145" w14:textId="68CB3395" w:rsidR="0079130F" w:rsidRDefault="0079130F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  <w:r>
        <w:rPr>
          <w:rFonts w:ascii="Arial" w:hAnsi="Arial" w:cs="Arial"/>
          <w:color w:val="auto"/>
          <w:sz w:val="20"/>
          <w:szCs w:val="20"/>
          <w:lang w:val="pl-PL" w:bidi="ar-SA"/>
        </w:rPr>
        <w:t>na</w:t>
      </w:r>
    </w:p>
    <w:p w14:paraId="69E4664C" w14:textId="5B08723B" w:rsidR="0079130F" w:rsidRPr="00954657" w:rsidRDefault="0079130F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  <w:r>
        <w:rPr>
          <w:rFonts w:ascii="Arial" w:hAnsi="Arial" w:cs="Arial"/>
          <w:color w:val="auto"/>
          <w:sz w:val="20"/>
          <w:szCs w:val="20"/>
          <w:lang w:val="pl-PL" w:bidi="ar-SA"/>
        </w:rPr>
        <w:t>„</w:t>
      </w:r>
      <w:r w:rsidRPr="00B96B58">
        <w:rPr>
          <w:rFonts w:ascii="Arial" w:hAnsi="Arial" w:cs="Arial"/>
          <w:b/>
          <w:color w:val="auto"/>
          <w:sz w:val="20"/>
          <w:szCs w:val="20"/>
          <w:lang w:val="pl-PL" w:bidi="ar-SA"/>
        </w:rPr>
        <w:t>zapewnieniu ekranu dotykowego wraz z grami typu memory i kolorowankami dedykowanymi Igrzyskom Europejskim. Zamawiający wymaga ekranu dotykowego 24</w:t>
      </w:r>
      <w:r w:rsidRPr="00B96B58">
        <w:rPr>
          <w:rFonts w:ascii="Times New Roman" w:hAnsi="Times New Roman" w:cs="Times New Roman"/>
          <w:b/>
          <w:color w:val="auto"/>
          <w:sz w:val="20"/>
          <w:szCs w:val="20"/>
          <w:lang w:val="pl-PL" w:bidi="ar-SA"/>
        </w:rPr>
        <w:t>''</w:t>
      </w:r>
      <w:r w:rsidRPr="00B96B58">
        <w:rPr>
          <w:rFonts w:ascii="Arial" w:hAnsi="Arial" w:cs="Arial"/>
          <w:b/>
          <w:color w:val="auto"/>
          <w:sz w:val="20"/>
          <w:szCs w:val="20"/>
          <w:lang w:val="pl-PL" w:bidi="ar-SA"/>
        </w:rPr>
        <w:t>, z intuicyjnymi funkcjami dotykowymi: obsługa gestów 10 palcami, praca w dowolnej pozycji, pozbawiony migotania ekranu, z funkcją ComfortView</w:t>
      </w:r>
      <w:r w:rsidRPr="00B96B58">
        <w:rPr>
          <w:rFonts w:ascii="Arial" w:hAnsi="Arial" w:cs="Arial"/>
          <w:b/>
          <w:color w:val="auto"/>
          <w:sz w:val="20"/>
          <w:szCs w:val="20"/>
          <w:vertAlign w:val="superscript"/>
          <w:lang w:val="pl-PL" w:bidi="ar-SA"/>
        </w:rPr>
        <w:t>TM</w:t>
      </w:r>
      <w:r w:rsidR="00B96B58" w:rsidRPr="00B96B58">
        <w:rPr>
          <w:rFonts w:ascii="Arial" w:hAnsi="Arial" w:cs="Arial"/>
          <w:b/>
          <w:color w:val="auto"/>
          <w:sz w:val="20"/>
          <w:szCs w:val="20"/>
          <w:lang w:val="pl-PL" w:bidi="ar-SA"/>
        </w:rPr>
        <w:t xml:space="preserve"> chroniącą przed szkodliwym działaniem niebieskiego światła, połączenia: duża liczba portów, w tym: VGA, DP, HDMI, USB 2.0, ułatwia podłączenie różnych urządzeń</w:t>
      </w:r>
      <w:r w:rsidR="00B96B58">
        <w:rPr>
          <w:rFonts w:ascii="Arial" w:hAnsi="Arial" w:cs="Arial"/>
          <w:color w:val="auto"/>
          <w:sz w:val="20"/>
          <w:szCs w:val="20"/>
          <w:lang w:val="pl-PL" w:bidi="ar-SA"/>
        </w:rPr>
        <w:t>.”</w:t>
      </w:r>
      <w:r>
        <w:rPr>
          <w:rFonts w:ascii="Arial" w:hAnsi="Arial" w:cs="Arial"/>
          <w:color w:val="auto"/>
          <w:sz w:val="20"/>
          <w:szCs w:val="20"/>
          <w:lang w:val="pl-PL" w:bidi="ar-SA"/>
        </w:rPr>
        <w:t xml:space="preserve"> </w:t>
      </w:r>
    </w:p>
    <w:p w14:paraId="166954C7" w14:textId="77777777" w:rsidR="00A1250A" w:rsidRPr="00954657" w:rsidRDefault="00A1250A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0469EF9A" w14:textId="1DC81959" w:rsidR="00106643" w:rsidRPr="00954657" w:rsidRDefault="00B96B58" w:rsidP="00954657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auto"/>
          <w:sz w:val="20"/>
          <w:szCs w:val="20"/>
          <w:lang w:val="pl-PL" w:bidi="ar-SA"/>
        </w:rPr>
      </w:pPr>
      <w:r>
        <w:rPr>
          <w:rFonts w:ascii="Arial" w:hAnsi="Arial" w:cs="Arial"/>
          <w:color w:val="auto"/>
          <w:sz w:val="20"/>
          <w:szCs w:val="20"/>
          <w:lang w:val="pl-PL" w:bidi="ar-SA"/>
        </w:rPr>
        <w:t>Ilekroć w Załączniku A mowa jest o „trybunkach z montowanym telewizorem 55 cali” to zamawiający rozumie przez to: „</w:t>
      </w:r>
      <w:r w:rsidRPr="00B96B58">
        <w:rPr>
          <w:rFonts w:ascii="Arial" w:hAnsi="Arial" w:cs="Arial"/>
          <w:b/>
          <w:color w:val="auto"/>
          <w:sz w:val="20"/>
          <w:szCs w:val="20"/>
          <w:lang w:val="pl-PL" w:bidi="ar-SA"/>
        </w:rPr>
        <w:t>Trybunę z podświetleniem ledowym o wymiarach 140 cmx70 cm, zamykaną na klucz. TV: 55', 4k, 50Hz, technologia obrazu LED, 3 złącza HDMI, 2 złącza USB.</w:t>
      </w:r>
      <w:r>
        <w:rPr>
          <w:rFonts w:ascii="Arial" w:hAnsi="Arial" w:cs="Arial"/>
          <w:color w:val="auto"/>
          <w:sz w:val="20"/>
          <w:szCs w:val="20"/>
          <w:lang w:val="pl-PL" w:bidi="ar-SA"/>
        </w:rPr>
        <w:t>”</w:t>
      </w:r>
    </w:p>
    <w:p w14:paraId="20813032" w14:textId="77777777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</w:p>
    <w:p w14:paraId="1D644E78" w14:textId="77777777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</w:p>
    <w:p w14:paraId="2C230239" w14:textId="77777777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</w:p>
    <w:p w14:paraId="56191A20" w14:textId="77777777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</w:p>
    <w:p w14:paraId="1C0C1A2A" w14:textId="77777777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</w:p>
    <w:p w14:paraId="17547D40" w14:textId="77777777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</w:p>
    <w:p w14:paraId="1F55B860" w14:textId="77777777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</w:p>
    <w:p w14:paraId="368EF03A" w14:textId="77777777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</w:p>
    <w:p w14:paraId="24A2A123" w14:textId="77777777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</w:p>
    <w:p w14:paraId="0E0C7ACF" w14:textId="77777777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</w:p>
    <w:p w14:paraId="0FD0086E" w14:textId="77777777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</w:p>
    <w:p w14:paraId="3AE02466" w14:textId="77777777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</w:p>
    <w:p w14:paraId="26358709" w14:textId="41D33E2A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  <w:r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>Ilekroć w Załączniku Zamawiający wymaga zapewnienia nagłośnienia z mikrofonem rozumie przez to zapewnienie następującego sprzętu:</w:t>
      </w:r>
    </w:p>
    <w:p w14:paraId="76EFA7E1" w14:textId="3E9F794B" w:rsidR="00B96B58" w:rsidRDefault="00B96B58" w:rsidP="00B96B58">
      <w:pPr>
        <w:pStyle w:val="Akapitzlist"/>
        <w:numPr>
          <w:ilvl w:val="0"/>
          <w:numId w:val="5"/>
        </w:numPr>
        <w:spacing w:after="160" w:line="276" w:lineRule="auto"/>
        <w:rPr>
          <w:rFonts w:ascii="Arial" w:hAnsi="Arial" w:cs="Arial"/>
          <w:spacing w:val="-7"/>
          <w:w w:val="105"/>
          <w:lang w:eastAsia="en-US"/>
        </w:rPr>
      </w:pPr>
      <w:r w:rsidRPr="00B96B58">
        <w:rPr>
          <w:rFonts w:ascii="Arial" w:hAnsi="Arial" w:cs="Arial"/>
          <w:spacing w:val="-7"/>
          <w:w w:val="105"/>
          <w:lang w:eastAsia="en-US"/>
        </w:rPr>
        <w:t xml:space="preserve"> Mikrofony bezprzewodowe: bezprzewodowy system mikrofonowy oparty na technologii cyfrowej. Zestaw składa się z odbiornika (UHF) oraz dwóch mikrofonów.</w:t>
      </w:r>
      <w:r>
        <w:rPr>
          <w:rFonts w:ascii="Arial" w:hAnsi="Arial" w:cs="Arial"/>
          <w:spacing w:val="-7"/>
          <w:w w:val="105"/>
          <w:lang w:eastAsia="en-US"/>
        </w:rPr>
        <w:t xml:space="preserve"> </w:t>
      </w:r>
      <w:r w:rsidRPr="00B96B58">
        <w:rPr>
          <w:rFonts w:ascii="Arial" w:hAnsi="Arial" w:cs="Arial"/>
          <w:spacing w:val="-7"/>
          <w:w w:val="105"/>
          <w:lang w:eastAsia="en-US"/>
        </w:rPr>
        <w:t>Stacja mikrofonowa powinna posiadać wyjście XLR.</w:t>
      </w:r>
    </w:p>
    <w:p w14:paraId="15A05417" w14:textId="13BDCA74" w:rsidR="00B96B58" w:rsidRDefault="00B96B58" w:rsidP="00B96B58">
      <w:pPr>
        <w:pStyle w:val="Akapitzlist"/>
        <w:numPr>
          <w:ilvl w:val="0"/>
          <w:numId w:val="5"/>
        </w:numPr>
        <w:spacing w:after="160" w:line="276" w:lineRule="auto"/>
        <w:rPr>
          <w:rFonts w:ascii="Arial" w:hAnsi="Arial" w:cs="Arial"/>
          <w:spacing w:val="-7"/>
          <w:w w:val="105"/>
          <w:lang w:eastAsia="en-US"/>
        </w:rPr>
      </w:pPr>
      <w:r w:rsidRPr="00B96B58">
        <w:rPr>
          <w:rFonts w:ascii="Arial" w:hAnsi="Arial" w:cs="Arial"/>
          <w:spacing w:val="-7"/>
          <w:w w:val="105"/>
          <w:lang w:eastAsia="en-US"/>
        </w:rPr>
        <w:t>Nagłośnienie:</w:t>
      </w:r>
      <w:r>
        <w:rPr>
          <w:rFonts w:ascii="Arial" w:hAnsi="Arial" w:cs="Arial"/>
          <w:spacing w:val="-7"/>
          <w:w w:val="105"/>
          <w:lang w:eastAsia="en-US"/>
        </w:rPr>
        <w:t xml:space="preserve"> </w:t>
      </w:r>
      <w:r w:rsidRPr="00B96B58">
        <w:rPr>
          <w:rFonts w:ascii="Arial" w:hAnsi="Arial" w:cs="Arial"/>
          <w:spacing w:val="-7"/>
          <w:w w:val="105"/>
          <w:lang w:eastAsia="en-US"/>
        </w:rPr>
        <w:t xml:space="preserve">2-drożna, przenośna kolumna aktywna, moc znamionowa min. 800 W </w:t>
      </w:r>
      <w:r>
        <w:rPr>
          <w:rFonts w:ascii="Arial" w:hAnsi="Arial" w:cs="Arial"/>
          <w:spacing w:val="-7"/>
          <w:w w:val="105"/>
          <w:lang w:eastAsia="en-US"/>
        </w:rPr>
        <w:t xml:space="preserve">- </w:t>
      </w:r>
      <w:r w:rsidRPr="00B96B58">
        <w:rPr>
          <w:rFonts w:ascii="Arial" w:hAnsi="Arial" w:cs="Arial"/>
          <w:spacing w:val="-7"/>
          <w:w w:val="105"/>
          <w:lang w:eastAsia="en-US"/>
        </w:rPr>
        <w:t xml:space="preserve">2 szt. </w:t>
      </w:r>
    </w:p>
    <w:p w14:paraId="624A6567" w14:textId="20038D54" w:rsidR="00B96B58" w:rsidRDefault="00B96B58" w:rsidP="00B96B58">
      <w:pPr>
        <w:pStyle w:val="Akapitzlist"/>
        <w:numPr>
          <w:ilvl w:val="0"/>
          <w:numId w:val="5"/>
        </w:numPr>
        <w:spacing w:after="160" w:line="276" w:lineRule="auto"/>
        <w:rPr>
          <w:rFonts w:ascii="Arial" w:hAnsi="Arial" w:cs="Arial"/>
          <w:spacing w:val="-7"/>
          <w:w w:val="105"/>
          <w:lang w:eastAsia="en-US"/>
        </w:rPr>
      </w:pPr>
      <w:r w:rsidRPr="00B96B58">
        <w:rPr>
          <w:rFonts w:ascii="Arial" w:hAnsi="Arial" w:cs="Arial"/>
          <w:spacing w:val="-7"/>
          <w:w w:val="105"/>
          <w:lang w:eastAsia="en-US"/>
        </w:rPr>
        <w:t>Mikser: Zasilanie: AC 220-240V, 50/60Hz, Phantom +48V,</w:t>
      </w:r>
      <w:r>
        <w:rPr>
          <w:rFonts w:ascii="Arial" w:hAnsi="Arial" w:cs="Arial"/>
          <w:spacing w:val="-7"/>
          <w:w w:val="105"/>
          <w:lang w:eastAsia="en-US"/>
        </w:rPr>
        <w:t xml:space="preserve"> </w:t>
      </w:r>
      <w:r w:rsidRPr="00B96B58">
        <w:rPr>
          <w:rFonts w:ascii="Arial" w:hAnsi="Arial" w:cs="Arial"/>
          <w:spacing w:val="-7"/>
          <w:w w:val="105"/>
          <w:lang w:eastAsia="en-US"/>
        </w:rPr>
        <w:t>Wejścia i wyjścia XLR</w:t>
      </w:r>
      <w:r>
        <w:rPr>
          <w:rFonts w:ascii="Arial" w:hAnsi="Arial" w:cs="Arial"/>
          <w:spacing w:val="-7"/>
          <w:w w:val="105"/>
          <w:lang w:eastAsia="en-US"/>
        </w:rPr>
        <w:t xml:space="preserve"> – 1 szt.</w:t>
      </w:r>
    </w:p>
    <w:p w14:paraId="5B211B00" w14:textId="3FFEB874" w:rsidR="00B96B58" w:rsidRPr="00B96B58" w:rsidRDefault="00B96B58" w:rsidP="00B96B58">
      <w:pPr>
        <w:pStyle w:val="Akapitzlist"/>
        <w:numPr>
          <w:ilvl w:val="0"/>
          <w:numId w:val="5"/>
        </w:numPr>
        <w:spacing w:after="160" w:line="276" w:lineRule="auto"/>
        <w:rPr>
          <w:rFonts w:ascii="Arial" w:hAnsi="Arial" w:cs="Arial"/>
          <w:spacing w:val="-7"/>
          <w:w w:val="105"/>
          <w:lang w:eastAsia="en-US"/>
        </w:rPr>
      </w:pPr>
      <w:r w:rsidRPr="00B96B58">
        <w:rPr>
          <w:rFonts w:ascii="Arial" w:hAnsi="Arial" w:cs="Arial"/>
          <w:spacing w:val="-7"/>
          <w:w w:val="105"/>
          <w:lang w:eastAsia="en-US"/>
        </w:rPr>
        <w:t>Okablowanie niezbędne do podłączenia wszystkich komponentów</w:t>
      </w:r>
      <w:r w:rsidR="00046307">
        <w:rPr>
          <w:rFonts w:ascii="Arial" w:hAnsi="Arial" w:cs="Arial"/>
          <w:spacing w:val="-7"/>
          <w:w w:val="105"/>
          <w:lang w:eastAsia="en-US"/>
        </w:rPr>
        <w:t>.</w:t>
      </w:r>
    </w:p>
    <w:p w14:paraId="1E80A370" w14:textId="77777777" w:rsidR="00B96B58" w:rsidRDefault="00B96B58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</w:p>
    <w:p w14:paraId="3381793B" w14:textId="1FC4CE4C" w:rsidR="00066441" w:rsidRPr="00046307" w:rsidRDefault="00066441" w:rsidP="0095465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  <w:r w:rsidRPr="00954657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Zamawiający </w:t>
      </w:r>
      <w:r w:rsidR="00046307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zmienia w Załączniku A, w części 1 lit i (ceremonia otwarcia i zamknięcie III Igrzysk Europejskich) tiret „zapewnienia 3 ramek do zdjęć w tematyce Igrzysk Europejskich” poprzez dodanie „Przed wykonaniem ramki, nie później niż do 10.06.2023 r. wykonawca przedstawi zamawiającemu projekt ramki do zdjęć. W terminie 2 dni od przekazania projektu zamawiający może zgłosić uwagi, które wykonawca zobowiązany jest uwzględnić.” </w:t>
      </w:r>
    </w:p>
    <w:p w14:paraId="18DB5986" w14:textId="03A7A025" w:rsidR="00046307" w:rsidRPr="00046307" w:rsidRDefault="00046307" w:rsidP="00046307">
      <w:pPr>
        <w:widowControl/>
        <w:suppressAutoHyphens w:val="0"/>
        <w:spacing w:after="160" w:line="276" w:lineRule="auto"/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</w:pPr>
      <w:r w:rsidRPr="00954657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Zamawiający </w:t>
      </w:r>
      <w:r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zmienia w Załączniku A, w części 5 (strefa kibica przy Galerii Krakowskiej na placu Jana Nowaka Jeziorańskiego w Krakowie) tiret „stworzenie regulaminu strefy i przedstawienie go do akceptacji zamawiającemu najpóźniej na trzy dni robocze przed otwarciem strefy” na stworzenie regulaminu strefy i przedstawienie go do akceptacji zamawiającemu najpóźniej na </w:t>
      </w:r>
      <w:r w:rsidRPr="00046307">
        <w:rPr>
          <w:rFonts w:ascii="Arial" w:eastAsiaTheme="minorHAnsi" w:hAnsi="Arial" w:cs="Arial"/>
          <w:b/>
          <w:color w:val="auto"/>
          <w:spacing w:val="-7"/>
          <w:w w:val="105"/>
          <w:sz w:val="20"/>
          <w:szCs w:val="20"/>
          <w:lang w:val="pl-PL" w:eastAsia="en-US" w:bidi="ar-SA"/>
        </w:rPr>
        <w:t xml:space="preserve">siedem </w:t>
      </w:r>
      <w:r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dni robocze przed otwarciem strefy”. </w:t>
      </w:r>
    </w:p>
    <w:p w14:paraId="091229D4" w14:textId="3EBA6222" w:rsidR="00046307" w:rsidRDefault="00046307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954657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Zamawiający </w:t>
      </w:r>
      <w:r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>zmienia w Załączniku A, w części 5 (strefa kibica przy Galerii Krakowskiej na placu Jana Nowaka Jeziorańskiego w Krakowie) tiret „</w:t>
      </w:r>
      <w:r w:rsidR="00A71F23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zapewnienie prądu po stronie wykonawcy w formie agregatu prądotwórczego typu silent. Zamawiający informuje, że w strefie istnieje możliwość przyłączenia do 3 przyłaczy przystosowanych pod event, pod warunkiem </w:t>
      </w:r>
      <w:r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>wykona</w:t>
      </w:r>
      <w:r w:rsidR="00A71F23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nia przez wykonawcę </w:t>
      </w:r>
      <w:r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>niezbędn</w:t>
      </w:r>
      <w:r w:rsidR="00A71F23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>ych</w:t>
      </w:r>
      <w:r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 prace podłączeniowe oraz niezbędn</w:t>
      </w:r>
      <w:r w:rsidR="00A71F23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>ej</w:t>
      </w:r>
      <w:r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 dokumentacj</w:t>
      </w:r>
      <w:r w:rsidR="00A71F23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>i</w:t>
      </w:r>
      <w:r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 zgodnie z wytycznymi</w:t>
      </w:r>
      <w:r w:rsidR="00A71F23">
        <w:rPr>
          <w:rFonts w:ascii="Arial" w:eastAsiaTheme="minorHAnsi" w:hAnsi="Arial" w:cs="Arial"/>
          <w:color w:val="auto"/>
          <w:spacing w:val="-7"/>
          <w:w w:val="105"/>
          <w:sz w:val="20"/>
          <w:szCs w:val="20"/>
          <w:lang w:val="pl-PL" w:eastAsia="en-US" w:bidi="ar-SA"/>
        </w:rPr>
        <w:t xml:space="preserve"> Galerii Krakowskiej.” </w:t>
      </w:r>
    </w:p>
    <w:p w14:paraId="0B5CC24D" w14:textId="77777777" w:rsidR="00954657" w:rsidRPr="00954657" w:rsidRDefault="00954657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6E36465C" w14:textId="77777777" w:rsidR="00954657" w:rsidRPr="00954657" w:rsidRDefault="0095465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69D04BC4" w14:textId="0F538F0B" w:rsidR="0006408F" w:rsidRPr="00954657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Niniejsze wyjaśnienia </w:t>
      </w:r>
      <w:r w:rsidR="00A71F23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i zmiany </w:t>
      </w: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stanowią integralną część </w:t>
      </w:r>
      <w:r w:rsidR="00081702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SWZ.</w:t>
      </w:r>
    </w:p>
    <w:p w14:paraId="5264E69C" w14:textId="72ADAAE3" w:rsidR="0006408F" w:rsidRPr="00954657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Zamawiający nie zmienia terminu składania ofert.</w:t>
      </w:r>
    </w:p>
    <w:p w14:paraId="2608E00A" w14:textId="77777777" w:rsidR="00D803C8" w:rsidRPr="00954657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3D87962E" w14:textId="77777777" w:rsidR="00D803C8" w:rsidRPr="0095465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ZAMAWIAJĄCY</w:t>
      </w:r>
    </w:p>
    <w:p w14:paraId="6D43E3FA" w14:textId="77777777" w:rsidR="00BA3A47" w:rsidRPr="00954657" w:rsidRDefault="00BA3A47" w:rsidP="00BA3A47">
      <w:pPr>
        <w:rPr>
          <w:rStyle w:val="eop"/>
          <w:rFonts w:ascii="Arial" w:hAnsi="Arial" w:cs="Arial"/>
          <w:color w:val="auto"/>
          <w:sz w:val="20"/>
          <w:szCs w:val="20"/>
          <w:lang w:val="pl-PL"/>
        </w:rPr>
      </w:pPr>
    </w:p>
    <w:sectPr w:rsidR="00BA3A47" w:rsidRPr="00954657" w:rsidSect="00066441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B636C" w14:textId="77777777" w:rsidR="000E1C84" w:rsidRDefault="000E1C84" w:rsidP="003274F7">
      <w:r>
        <w:separator/>
      </w:r>
    </w:p>
  </w:endnote>
  <w:endnote w:type="continuationSeparator" w:id="0">
    <w:p w14:paraId="0EC66949" w14:textId="77777777" w:rsidR="000E1C84" w:rsidRDefault="000E1C84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40DA2F7-42ED-49F3-B8F4-0F179DEEEDB2}"/>
    <w:embedBold r:id="rId2" w:fontKey="{39D12891-27C6-45D6-A596-F4DB155BF24C}"/>
    <w:embedItalic r:id="rId3" w:fontKey="{96C2DD6C-18DA-4F8C-95F0-C3C25B61DFCC}"/>
    <w:embedBoldItalic r:id="rId4" w:fontKey="{E8CE86D7-E745-4306-970C-FA47A180419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A11AEA6-A829-4A04-8250-12F65DF8E38F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503B17D5-21E9-4DBF-B801-31D8A197488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AE4BCF49-5F56-47A8-81AA-0EC1A5945387}"/>
    <w:embedBold r:id="rId8" w:fontKey="{777E37D0-8BFC-4159-93C1-6B67BD8D96CE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9" w:fontKey="{3E454B5F-7167-4766-A0DB-F191E3951A4A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0" w:fontKey="{417CA287-80C1-480C-B8E4-2E6E9D4EB3C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2C7B4728-D6FE-4DC6-B387-E9764DF81B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6C22D" w14:textId="77777777" w:rsidR="000E1C84" w:rsidRDefault="000E1C84" w:rsidP="003274F7">
      <w:r>
        <w:separator/>
      </w:r>
    </w:p>
  </w:footnote>
  <w:footnote w:type="continuationSeparator" w:id="0">
    <w:p w14:paraId="4D6317EA" w14:textId="77777777" w:rsidR="000E1C84" w:rsidRDefault="000E1C84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52A16830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79130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9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79130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6072"/>
    <w:multiLevelType w:val="hybridMultilevel"/>
    <w:tmpl w:val="F6D27E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75B73"/>
    <w:multiLevelType w:val="hybridMultilevel"/>
    <w:tmpl w:val="E8E66B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F1B94"/>
    <w:multiLevelType w:val="hybridMultilevel"/>
    <w:tmpl w:val="EE827854"/>
    <w:lvl w:ilvl="0" w:tplc="800CD9AA">
      <w:start w:val="1"/>
      <w:numFmt w:val="decimal"/>
      <w:lvlText w:val="%1."/>
      <w:lvlJc w:val="left"/>
      <w:pPr>
        <w:ind w:left="1440" w:hanging="360"/>
      </w:pPr>
    </w:lvl>
    <w:lvl w:ilvl="1" w:tplc="CADCF534">
      <w:start w:val="1"/>
      <w:numFmt w:val="lowerLetter"/>
      <w:lvlText w:val="%2."/>
      <w:lvlJc w:val="left"/>
      <w:pPr>
        <w:ind w:left="2160" w:hanging="360"/>
      </w:pPr>
    </w:lvl>
    <w:lvl w:ilvl="2" w:tplc="45C024BE">
      <w:start w:val="1"/>
      <w:numFmt w:val="decimal"/>
      <w:lvlText w:val="%3."/>
      <w:lvlJc w:val="left"/>
      <w:pPr>
        <w:ind w:left="1440" w:hanging="360"/>
      </w:pPr>
    </w:lvl>
    <w:lvl w:ilvl="3" w:tplc="E77E556C">
      <w:start w:val="1"/>
      <w:numFmt w:val="decimal"/>
      <w:lvlText w:val="%4."/>
      <w:lvlJc w:val="left"/>
      <w:pPr>
        <w:ind w:left="1440" w:hanging="360"/>
      </w:pPr>
    </w:lvl>
    <w:lvl w:ilvl="4" w:tplc="7FB23262">
      <w:start w:val="1"/>
      <w:numFmt w:val="decimal"/>
      <w:lvlText w:val="%5."/>
      <w:lvlJc w:val="left"/>
      <w:pPr>
        <w:ind w:left="1440" w:hanging="360"/>
      </w:pPr>
    </w:lvl>
    <w:lvl w:ilvl="5" w:tplc="2AAC62CA">
      <w:start w:val="1"/>
      <w:numFmt w:val="decimal"/>
      <w:lvlText w:val="%6."/>
      <w:lvlJc w:val="left"/>
      <w:pPr>
        <w:ind w:left="1440" w:hanging="360"/>
      </w:pPr>
    </w:lvl>
    <w:lvl w:ilvl="6" w:tplc="3522DD34">
      <w:start w:val="1"/>
      <w:numFmt w:val="decimal"/>
      <w:lvlText w:val="%7."/>
      <w:lvlJc w:val="left"/>
      <w:pPr>
        <w:ind w:left="1440" w:hanging="360"/>
      </w:pPr>
    </w:lvl>
    <w:lvl w:ilvl="7" w:tplc="B212F5AE">
      <w:start w:val="1"/>
      <w:numFmt w:val="decimal"/>
      <w:lvlText w:val="%8."/>
      <w:lvlJc w:val="left"/>
      <w:pPr>
        <w:ind w:left="1440" w:hanging="360"/>
      </w:pPr>
    </w:lvl>
    <w:lvl w:ilvl="8" w:tplc="DE063CD2">
      <w:start w:val="1"/>
      <w:numFmt w:val="decimal"/>
      <w:lvlText w:val="%9."/>
      <w:lvlJc w:val="left"/>
      <w:pPr>
        <w:ind w:left="1440" w:hanging="360"/>
      </w:pPr>
    </w:lvl>
  </w:abstractNum>
  <w:abstractNum w:abstractNumId="3" w15:restartNumberingAfterBreak="0">
    <w:nsid w:val="401B08A5"/>
    <w:multiLevelType w:val="hybridMultilevel"/>
    <w:tmpl w:val="F6D27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C2D16"/>
    <w:multiLevelType w:val="hybridMultilevel"/>
    <w:tmpl w:val="D794F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E7B66"/>
    <w:multiLevelType w:val="hybridMultilevel"/>
    <w:tmpl w:val="6E4E47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65653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432442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00673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91188400">
    <w:abstractNumId w:val="4"/>
  </w:num>
  <w:num w:numId="5" w16cid:durableId="1905604863">
    <w:abstractNumId w:val="1"/>
  </w:num>
  <w:num w:numId="6" w16cid:durableId="11426986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25A08"/>
    <w:rsid w:val="00030659"/>
    <w:rsid w:val="00033DDB"/>
    <w:rsid w:val="00043805"/>
    <w:rsid w:val="00046307"/>
    <w:rsid w:val="00054CE0"/>
    <w:rsid w:val="0006408F"/>
    <w:rsid w:val="00066277"/>
    <w:rsid w:val="00066441"/>
    <w:rsid w:val="00081702"/>
    <w:rsid w:val="000C1303"/>
    <w:rsid w:val="000C3E4E"/>
    <w:rsid w:val="000D192A"/>
    <w:rsid w:val="000E1C84"/>
    <w:rsid w:val="00106643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0FF9"/>
    <w:rsid w:val="00295A18"/>
    <w:rsid w:val="002B2AD8"/>
    <w:rsid w:val="002C2BD9"/>
    <w:rsid w:val="002C78A6"/>
    <w:rsid w:val="002F2DEC"/>
    <w:rsid w:val="002F60BA"/>
    <w:rsid w:val="00323BC8"/>
    <w:rsid w:val="003274F7"/>
    <w:rsid w:val="003735D9"/>
    <w:rsid w:val="003815D2"/>
    <w:rsid w:val="003C1B5D"/>
    <w:rsid w:val="003C7897"/>
    <w:rsid w:val="003D0057"/>
    <w:rsid w:val="003D1933"/>
    <w:rsid w:val="00432731"/>
    <w:rsid w:val="00473A33"/>
    <w:rsid w:val="004D3346"/>
    <w:rsid w:val="004E3A89"/>
    <w:rsid w:val="004F5749"/>
    <w:rsid w:val="005017C7"/>
    <w:rsid w:val="005054D3"/>
    <w:rsid w:val="00512664"/>
    <w:rsid w:val="00512B66"/>
    <w:rsid w:val="00566B77"/>
    <w:rsid w:val="00567A37"/>
    <w:rsid w:val="0057701A"/>
    <w:rsid w:val="005800D4"/>
    <w:rsid w:val="005931B1"/>
    <w:rsid w:val="0059725E"/>
    <w:rsid w:val="005B5452"/>
    <w:rsid w:val="005D0E9D"/>
    <w:rsid w:val="005F1A97"/>
    <w:rsid w:val="005F37B7"/>
    <w:rsid w:val="006879C4"/>
    <w:rsid w:val="006B36E0"/>
    <w:rsid w:val="006C00C1"/>
    <w:rsid w:val="006C3C3A"/>
    <w:rsid w:val="006F32A3"/>
    <w:rsid w:val="00761063"/>
    <w:rsid w:val="0079130F"/>
    <w:rsid w:val="007C453F"/>
    <w:rsid w:val="007F30E9"/>
    <w:rsid w:val="008075CE"/>
    <w:rsid w:val="00834AE7"/>
    <w:rsid w:val="00881854"/>
    <w:rsid w:val="00881A97"/>
    <w:rsid w:val="008A49E0"/>
    <w:rsid w:val="008D2487"/>
    <w:rsid w:val="008F174F"/>
    <w:rsid w:val="00920467"/>
    <w:rsid w:val="00931BE6"/>
    <w:rsid w:val="00941F03"/>
    <w:rsid w:val="009525B9"/>
    <w:rsid w:val="00954657"/>
    <w:rsid w:val="00984193"/>
    <w:rsid w:val="009923E7"/>
    <w:rsid w:val="009A5639"/>
    <w:rsid w:val="009F130E"/>
    <w:rsid w:val="009F2A04"/>
    <w:rsid w:val="009F76D4"/>
    <w:rsid w:val="00A1250A"/>
    <w:rsid w:val="00A22308"/>
    <w:rsid w:val="00A27C6A"/>
    <w:rsid w:val="00A3497F"/>
    <w:rsid w:val="00A62552"/>
    <w:rsid w:val="00A65E4B"/>
    <w:rsid w:val="00A7030A"/>
    <w:rsid w:val="00A71F23"/>
    <w:rsid w:val="00A953D1"/>
    <w:rsid w:val="00A96013"/>
    <w:rsid w:val="00AC59EA"/>
    <w:rsid w:val="00AD09AE"/>
    <w:rsid w:val="00AF2AA8"/>
    <w:rsid w:val="00AF44BF"/>
    <w:rsid w:val="00B128D4"/>
    <w:rsid w:val="00B2157C"/>
    <w:rsid w:val="00B37105"/>
    <w:rsid w:val="00B64166"/>
    <w:rsid w:val="00B678E3"/>
    <w:rsid w:val="00B7344B"/>
    <w:rsid w:val="00B76796"/>
    <w:rsid w:val="00B82693"/>
    <w:rsid w:val="00B8602D"/>
    <w:rsid w:val="00B96B58"/>
    <w:rsid w:val="00BA3A47"/>
    <w:rsid w:val="00BD74E4"/>
    <w:rsid w:val="00BF092B"/>
    <w:rsid w:val="00BF698B"/>
    <w:rsid w:val="00C14E2C"/>
    <w:rsid w:val="00C54E57"/>
    <w:rsid w:val="00C74F1C"/>
    <w:rsid w:val="00CD4A0B"/>
    <w:rsid w:val="00CF6EE2"/>
    <w:rsid w:val="00D362FD"/>
    <w:rsid w:val="00D4177A"/>
    <w:rsid w:val="00D803C8"/>
    <w:rsid w:val="00DB2BF9"/>
    <w:rsid w:val="00DC2691"/>
    <w:rsid w:val="00DE147C"/>
    <w:rsid w:val="00E220E8"/>
    <w:rsid w:val="00E646F0"/>
    <w:rsid w:val="00E7635A"/>
    <w:rsid w:val="00E93058"/>
    <w:rsid w:val="00EB2E18"/>
    <w:rsid w:val="00ED3B17"/>
    <w:rsid w:val="00EE70CF"/>
    <w:rsid w:val="00F34991"/>
    <w:rsid w:val="00F50103"/>
    <w:rsid w:val="00F87C41"/>
    <w:rsid w:val="00FB1046"/>
    <w:rsid w:val="00FB64B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3263714E-C31B-43D0-9BC6-E5F4C7EAB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aliases w:val="Znak,Znak Znak,Znak Znak Znak Znak Znak,a2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basedOn w:val="Normalny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6B58"/>
    <w:pPr>
      <w:widowControl/>
      <w:suppressAutoHyphens w:val="0"/>
      <w:spacing w:after="160"/>
    </w:pPr>
    <w:rPr>
      <w:rFonts w:asciiTheme="minorHAnsi" w:eastAsiaTheme="minorHAnsi" w:hAnsiTheme="minorHAnsi" w:cstheme="minorBidi"/>
      <w:color w:val="auto"/>
      <w:sz w:val="20"/>
      <w:szCs w:val="20"/>
      <w:lang w:val="pl-PL" w:eastAsia="en-US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6B58"/>
    <w:rPr>
      <w:rFonts w:asciiTheme="minorHAnsi" w:eastAsiaTheme="minorHAnsi" w:hAnsiTheme="minorHAnsi" w:cstheme="minorBidi"/>
      <w:color w:val="auto"/>
      <w:sz w:val="20"/>
      <w:szCs w:val="20"/>
      <w:lang w:val="pl-PL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7382CF-559C-4265-9034-001F7E37C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474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3313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2</cp:revision>
  <cp:lastPrinted>2023-01-30T09:36:00Z</cp:lastPrinted>
  <dcterms:created xsi:type="dcterms:W3CDTF">2023-05-08T15:27:00Z</dcterms:created>
  <dcterms:modified xsi:type="dcterms:W3CDTF">2023-05-08T15:27:00Z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