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43745" w14:textId="77777777" w:rsidR="000A00B2" w:rsidRDefault="006D04BA">
      <w:pPr>
        <w:pStyle w:val="Standard"/>
        <w:widowControl/>
        <w:tabs>
          <w:tab w:val="left" w:pos="1875"/>
          <w:tab w:val="left" w:pos="11199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</w:p>
    <w:p w14:paraId="0FC93B7E" w14:textId="77777777" w:rsidR="000A00B2" w:rsidRDefault="006D04BA">
      <w:pPr>
        <w:pStyle w:val="Standard"/>
        <w:widowControl/>
        <w:tabs>
          <w:tab w:val="left" w:pos="11199"/>
        </w:tabs>
        <w:jc w:val="center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FORMULARZ CENOWY WRAZ ZE SZCZEGÓŁOWYM OPISEM PRZEDMIOTU ZAMÓWIENIA</w:t>
      </w:r>
    </w:p>
    <w:p w14:paraId="35FC1A21" w14:textId="77777777" w:rsidR="000A00B2" w:rsidRDefault="006D04BA">
      <w:pPr>
        <w:pStyle w:val="Standard"/>
        <w:widowControl/>
        <w:jc w:val="center"/>
        <w:rPr>
          <w:lang w:val="pl-PL"/>
        </w:rPr>
      </w:pPr>
      <w:r>
        <w:rPr>
          <w:lang w:val="pl-PL"/>
        </w:rPr>
        <w:tab/>
      </w:r>
      <w:r>
        <w:rPr>
          <w:rFonts w:ascii="Arial" w:hAnsi="Arial" w:cs="Arial"/>
          <w:b/>
          <w:color w:val="000000"/>
          <w:u w:val="single"/>
          <w:lang w:val="pl-PL"/>
        </w:rPr>
        <w:t>NA OKRES 24 MIESIĘCY.</w:t>
      </w:r>
    </w:p>
    <w:tbl>
      <w:tblPr>
        <w:tblW w:w="1005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1937"/>
        <w:gridCol w:w="1830"/>
        <w:gridCol w:w="1698"/>
        <w:gridCol w:w="1699"/>
        <w:gridCol w:w="1275"/>
        <w:gridCol w:w="1275"/>
      </w:tblGrid>
      <w:tr w:rsidR="000A00B2" w14:paraId="09558DA5" w14:textId="77777777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833729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 w:eastAsia="ja-JP" w:bidi="fa-IR"/>
              </w:rPr>
              <w:t>lp.</w:t>
            </w:r>
          </w:p>
        </w:tc>
        <w:tc>
          <w:tcPr>
            <w:tcW w:w="1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E7EB32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 w:eastAsia="ja-JP" w:bidi="fa-IR"/>
              </w:rPr>
              <w:t>Nazwa przedmiotu zamówienia</w:t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36CC10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 w:eastAsia="ja-JP" w:bidi="fa-IR"/>
              </w:rPr>
              <w:t>Ilość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F2EB2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 w:eastAsia="ja-JP" w:bidi="fa-IR"/>
              </w:rPr>
              <w:t>Cena netto za roboczogodzinę/ usługę/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F34F0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 w:eastAsia="ja-JP" w:bidi="fa-IR"/>
              </w:rPr>
              <w:t xml:space="preserve">Cena brutto za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 w:eastAsia="ja-JP" w:bidi="fa-IR"/>
              </w:rPr>
              <w:t>roboczogodzinę/ usługę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E9F99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 w:eastAsia="ja-JP" w:bidi="fa-IR"/>
              </w:rPr>
              <w:t>Wartość netto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D8435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 w:eastAsia="ja-JP" w:bidi="fa-IR"/>
              </w:rPr>
              <w:t>Wartość brutto</w:t>
            </w:r>
          </w:p>
        </w:tc>
      </w:tr>
      <w:tr w:rsidR="000A00B2" w14:paraId="2313DB80" w14:textId="77777777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27A2BF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1</w:t>
            </w:r>
          </w:p>
        </w:tc>
        <w:tc>
          <w:tcPr>
            <w:tcW w:w="1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9B4EE2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Usługa ochrony fizycznej w budynku przy ul. Skarbowej 1 i innych usług zgodnie z opisem przedmiotu zamówienia</w:t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2DF13F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System całodobowej ochrony</w:t>
            </w:r>
          </w:p>
          <w:p w14:paraId="578CB9C1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 xml:space="preserve"> (24 godziny)</w:t>
            </w:r>
          </w:p>
          <w:p w14:paraId="4CBEFFF9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(wycena roboczogodziny)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ECBA6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77120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BBFF4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FB9B4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</w:tr>
      <w:tr w:rsidR="000A00B2" w14:paraId="68F9DB1C" w14:textId="77777777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D87E50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2</w:t>
            </w:r>
          </w:p>
        </w:tc>
        <w:tc>
          <w:tcPr>
            <w:tcW w:w="1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72A179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 xml:space="preserve">Usługa </w:t>
            </w: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ochrony fizycznej w budynku przy Al. Focha 33 i innych usług zgodnie z opisem przedmiotu zamówienia</w:t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A973B4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Ochrona od 22:00 do 6:00 dnia następnego</w:t>
            </w:r>
          </w:p>
          <w:p w14:paraId="0AC88494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(8 godzin)</w:t>
            </w:r>
          </w:p>
          <w:p w14:paraId="4992E07B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(wycena roboczogodziny)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AA9CC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0CC27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4D43B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E89D1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</w:tr>
      <w:tr w:rsidR="000A00B2" w14:paraId="6B676EFC" w14:textId="77777777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7A640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3</w:t>
            </w:r>
          </w:p>
        </w:tc>
        <w:tc>
          <w:tcPr>
            <w:tcW w:w="1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91C05D" w14:textId="77777777" w:rsidR="000A00B2" w:rsidRDefault="006D04BA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Przyjazd grupy interwencyjnej (dotyczy dwóch budynków szpitala)</w:t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8D84D5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Usługa jednorazowa /przyjazd na wezwanie pracownika ochrony/</w:t>
            </w:r>
          </w:p>
          <w:p w14:paraId="432D9913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(wycena za jedną usługę)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6427F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41DEBF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B32B6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5241E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</w:tr>
      <w:tr w:rsidR="000A00B2" w14:paraId="05E45B62" w14:textId="77777777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199C73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4</w:t>
            </w:r>
          </w:p>
        </w:tc>
        <w:tc>
          <w:tcPr>
            <w:tcW w:w="1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93DEFD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Monitorowanie systemu antywłamaniowego wraz z przyjazdem grupy interwencyjnej w budynku przy Al. Focha 33</w:t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DE6974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Monitorowanie całodobowe wraz z montażem stacji powiadami</w:t>
            </w: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ani i ewentualnym przyjazdem grupy interwencyjnej</w:t>
            </w:r>
          </w:p>
          <w:p w14:paraId="61803CF0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(wycena miesięczna (30 dni))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EAD10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20B8A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186FA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3D022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</w:tr>
      <w:tr w:rsidR="000A00B2" w14:paraId="531A4057" w14:textId="77777777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26677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6</w:t>
            </w:r>
          </w:p>
        </w:tc>
        <w:tc>
          <w:tcPr>
            <w:tcW w:w="1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71AEFC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Dodatkowe usługi portierskie w systemie dwuzmianowym w godz. 06:00 do 22:00, w budynku przy al. Focha 33</w:t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2C586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1100 roboczogodzin</w:t>
            </w:r>
          </w:p>
          <w:p w14:paraId="6D70868F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 xml:space="preserve"> (wycena roboczogodziny)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716D6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3BF07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41441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A01F7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</w:tr>
      <w:tr w:rsidR="000A00B2" w14:paraId="11961E94" w14:textId="77777777">
        <w:tblPrEx>
          <w:tblCellMar>
            <w:top w:w="0" w:type="dxa"/>
            <w:bottom w:w="0" w:type="dxa"/>
          </w:tblCellMar>
        </w:tblPrEx>
        <w:tc>
          <w:tcPr>
            <w:tcW w:w="3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231AC1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7</w:t>
            </w:r>
          </w:p>
        </w:tc>
        <w:tc>
          <w:tcPr>
            <w:tcW w:w="19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62D17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Okresowe dodatkowe usługi portierskie w systemie jednozmianowym w budynku przy ul. Skarbowej w godz.7.00 – 15.00</w:t>
            </w:r>
          </w:p>
          <w:p w14:paraId="0FBC9011" w14:textId="77777777" w:rsidR="000A00B2" w:rsidRDefault="000A00B2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EFA54E" w14:textId="77777777" w:rsidR="000A00B2" w:rsidRDefault="006D04BA">
            <w:pPr>
              <w:pStyle w:val="Standard"/>
              <w:widowControl/>
              <w:jc w:val="center"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ja-JP" w:bidi="fa-IR"/>
              </w:rPr>
              <w:t>3000 roboczogodzin (wycena roboczogodziny)</w:t>
            </w:r>
          </w:p>
        </w:tc>
        <w:tc>
          <w:tcPr>
            <w:tcW w:w="16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585F7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6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12C65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10C77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7E8AE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</w:tr>
      <w:tr w:rsidR="000A00B2" w14:paraId="7B75A4DC" w14:textId="77777777">
        <w:tblPrEx>
          <w:tblCellMar>
            <w:top w:w="0" w:type="dxa"/>
            <w:bottom w:w="0" w:type="dxa"/>
          </w:tblCellMar>
        </w:tblPrEx>
        <w:tc>
          <w:tcPr>
            <w:tcW w:w="750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FC332" w14:textId="77777777" w:rsidR="000A00B2" w:rsidRDefault="006D04BA">
            <w:pPr>
              <w:pStyle w:val="Standard"/>
              <w:widowControl/>
              <w:jc w:val="right"/>
              <w:rPr>
                <w:rFonts w:ascii="Arial" w:hAnsi="Arial" w:cs="Arial"/>
                <w:b/>
                <w:sz w:val="20"/>
                <w:szCs w:val="20"/>
                <w:lang w:val="pl-PL"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ja-JP" w:bidi="fa-IR"/>
              </w:rPr>
              <w:t>RAZEM: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02E2E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86C75" w14:textId="77777777" w:rsidR="000A00B2" w:rsidRDefault="000A00B2">
            <w:pPr>
              <w:pStyle w:val="Standard"/>
              <w:widowControl/>
              <w:rPr>
                <w:rFonts w:ascii="Arial" w:hAnsi="Arial" w:cs="Arial"/>
                <w:sz w:val="20"/>
                <w:szCs w:val="20"/>
                <w:lang w:val="pl-PL" w:eastAsia="ja-JP" w:bidi="fa-IR"/>
              </w:rPr>
            </w:pPr>
          </w:p>
        </w:tc>
      </w:tr>
    </w:tbl>
    <w:p w14:paraId="6B427C63" w14:textId="77777777" w:rsidR="000A00B2" w:rsidRDefault="000A00B2">
      <w:pPr>
        <w:pStyle w:val="Standard"/>
        <w:widowControl/>
        <w:rPr>
          <w:rFonts w:ascii="Arial" w:hAnsi="Arial"/>
          <w:lang w:val="pl-PL" w:eastAsia="ja-JP" w:bidi="fa-IR"/>
        </w:rPr>
      </w:pPr>
    </w:p>
    <w:p w14:paraId="70AAD487" w14:textId="77777777" w:rsidR="000A00B2" w:rsidRDefault="006D04BA">
      <w:pPr>
        <w:pStyle w:val="Standard"/>
        <w:widowControl/>
        <w:jc w:val="both"/>
        <w:rPr>
          <w:lang w:val="pl-PL"/>
        </w:rPr>
      </w:pPr>
      <w:r>
        <w:rPr>
          <w:rFonts w:ascii="Arial" w:hAnsi="Arial" w:cs="Arial"/>
          <w:b/>
          <w:lang w:val="pl-PL"/>
        </w:rPr>
        <w:t xml:space="preserve">Przedmiotem zamówienia jest całodobowa wszechstronna ochrona osób i mienia, </w:t>
      </w:r>
      <w:r>
        <w:rPr>
          <w:rFonts w:ascii="Arial" w:hAnsi="Arial" w:cs="Arial"/>
          <w:b/>
          <w:lang w:val="pl-PL"/>
        </w:rPr>
        <w:t xml:space="preserve">wraz z obsługą portierni oraz okresowa obsługa Magazynu Rzeczy Chorych - wydawanie ubrań, na terenie Szpitala </w:t>
      </w:r>
      <w:r>
        <w:rPr>
          <w:rFonts w:ascii="Arial" w:hAnsi="Arial" w:cs="Arial"/>
          <w:b/>
          <w:color w:val="000000"/>
          <w:lang w:val="pl-PL"/>
        </w:rPr>
        <w:t>Specjalistycznego im. J. Dietla przy ul. Skarbowej 1, a także obsługa systemu monitorującego i portierni w budynku Szpitala przy Al. Focha 33.</w:t>
      </w:r>
    </w:p>
    <w:p w14:paraId="64A834E7" w14:textId="77777777" w:rsidR="000A00B2" w:rsidRDefault="006D04BA">
      <w:pPr>
        <w:pStyle w:val="Akapitzlist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lastRenderedPageBreak/>
        <w:t>Wyk</w:t>
      </w:r>
      <w:r>
        <w:rPr>
          <w:rFonts w:ascii="Arial" w:hAnsi="Arial" w:cs="Arial"/>
          <w:color w:val="000000"/>
          <w:lang w:val="pl-PL"/>
        </w:rPr>
        <w:t xml:space="preserve">onawca PR wykonywaniu usługi zobowiązany jest przestrzegać zasad ochrony określonych </w:t>
      </w:r>
      <w:r>
        <w:rPr>
          <w:rFonts w:ascii="Arial" w:hAnsi="Arial" w:cs="Arial"/>
          <w:color w:val="000000"/>
          <w:lang w:val="pl-PL"/>
        </w:rPr>
        <w:br/>
      </w:r>
      <w:r>
        <w:rPr>
          <w:rFonts w:ascii="Arial" w:hAnsi="Arial" w:cs="Arial"/>
          <w:color w:val="000000"/>
          <w:lang w:val="pl-PL"/>
        </w:rPr>
        <w:t>w ustawie z dnia 22 sierpnia 1997 r. o ochronie osób i mienia (tekst jednolity Dz. U. z 2017 r., poz. 2213) oraz procedur wskazanych przez Zamawiającego.</w:t>
      </w:r>
    </w:p>
    <w:p w14:paraId="2402777C" w14:textId="77777777" w:rsidR="000A00B2" w:rsidRDefault="006D04BA">
      <w:pPr>
        <w:pStyle w:val="Akapitzlist"/>
        <w:widowControl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Usługa obejmuje </w:t>
      </w:r>
      <w:r>
        <w:rPr>
          <w:rFonts w:ascii="Arial" w:hAnsi="Arial" w:cs="Arial"/>
          <w:color w:val="000000"/>
          <w:lang w:val="pl-PL"/>
        </w:rPr>
        <w:t>również zapewnienie przez Wykonawcę przyjazdu grupy interwencyjnej na wezwanie (Zamawiający rozumie przez to przyjazd pracowników ochrony dający wsparcie w sytuacjach stwarzających zagrożenie dla osób przebywających na terenie szpitala to są: pacjenci, per</w:t>
      </w:r>
      <w:r>
        <w:rPr>
          <w:rFonts w:ascii="Arial" w:hAnsi="Arial" w:cs="Arial"/>
          <w:color w:val="000000"/>
          <w:lang w:val="pl-PL"/>
        </w:rPr>
        <w:t>sonel szpitala itp., oraz dla mienia szpitalnego). Wykonawca ma obowiązek wyposażyć Centralną Izbę Przyjęć i Portiernie Szpitala w system szybkiego przywoływania grupy interwencyjnej.</w:t>
      </w:r>
    </w:p>
    <w:p w14:paraId="0DAE834D" w14:textId="77777777" w:rsidR="000A00B2" w:rsidRDefault="006D04BA">
      <w:pPr>
        <w:pStyle w:val="Akapitzlist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Wykonawca ma wyposażyć pracowników ochrony w jednakowe umundurowanie (k</w:t>
      </w:r>
      <w:r>
        <w:rPr>
          <w:rFonts w:ascii="Arial" w:hAnsi="Arial" w:cs="Arial"/>
          <w:color w:val="000000"/>
          <w:lang w:val="pl-PL"/>
        </w:rPr>
        <w:t>oszule w kolorze białym lub niebieskim z logo firmy, oraz spodnie lub w przypadku Pań spódnica w kolorze ciemnym (granat lub czarny), krawat, marynarka lub polar w ciemnym kolorze. Wykonawca wyposaży również swoich pracowników w identyfikatory. Brak wymaga</w:t>
      </w:r>
      <w:r>
        <w:rPr>
          <w:rFonts w:ascii="Arial" w:hAnsi="Arial" w:cs="Arial"/>
          <w:color w:val="000000"/>
          <w:lang w:val="pl-PL"/>
        </w:rPr>
        <w:t>nego umundurowania będzie obciążany karami finansowymi.</w:t>
      </w:r>
    </w:p>
    <w:p w14:paraId="7AEFDDBC" w14:textId="77777777" w:rsidR="000A00B2" w:rsidRDefault="006D04BA">
      <w:pPr>
        <w:pStyle w:val="Akapitzlist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Wykonawca zapewni stałą obsadę pracowników na terenie szpitala, a o każdej ewentualnej zmianie obsady powiadomi Zamawiającego przynajmniej 2 dni robocze przed podjęciem pracy przez nową osobę. Każdy </w:t>
      </w:r>
      <w:r>
        <w:rPr>
          <w:rFonts w:ascii="Arial" w:hAnsi="Arial" w:cs="Arial"/>
          <w:color w:val="000000"/>
          <w:lang w:val="pl-PL"/>
        </w:rPr>
        <w:t>pracownik ochrony zostanie przeszkolony przez Wykonawcę w zakresie powierzonych mu obowiązków związanych z ochrona obiektu – szkolenie potwierdzone na piśmie. Zamawiający przeszkoli każdego nowo zgłoszonego przez Wykonawcę pracownika dedykowanego do obsług</w:t>
      </w:r>
      <w:r>
        <w:rPr>
          <w:rFonts w:ascii="Arial" w:hAnsi="Arial" w:cs="Arial"/>
          <w:color w:val="000000"/>
          <w:lang w:val="pl-PL"/>
        </w:rPr>
        <w:t xml:space="preserve">i budynku szpitala w zakresie obsługi centrali telefonicznej i ppoż. Szkolenie to również będzie potwierdzone na piśmie.   </w:t>
      </w:r>
    </w:p>
    <w:p w14:paraId="5F1A8169" w14:textId="77777777" w:rsidR="000A00B2" w:rsidRDefault="006D04BA">
      <w:pPr>
        <w:pStyle w:val="Akapitzlist"/>
        <w:widowControl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Wszyscy pracownicy powinni posiadać zdolność fizyczną oraz predyspozycje do wykonywania czynności ochrony oraz innych obowiązków okr</w:t>
      </w:r>
      <w:r>
        <w:rPr>
          <w:rFonts w:ascii="Arial" w:hAnsi="Arial" w:cs="Arial"/>
          <w:color w:val="000000"/>
          <w:lang w:val="pl-PL"/>
        </w:rPr>
        <w:t>eślonych przez Zamawiającego.</w:t>
      </w:r>
    </w:p>
    <w:p w14:paraId="16E38CC3" w14:textId="77777777" w:rsidR="000A00B2" w:rsidRDefault="006D04BA">
      <w:pPr>
        <w:pStyle w:val="Akapitzlist"/>
        <w:widowControl/>
        <w:numPr>
          <w:ilvl w:val="0"/>
          <w:numId w:val="1"/>
        </w:numPr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Wykonawca, podczas trwania umowy zapewni ze swej strony </w:t>
      </w:r>
      <w:r>
        <w:rPr>
          <w:rFonts w:ascii="Arial" w:hAnsi="Arial" w:cs="Arial"/>
          <w:b/>
          <w:color w:val="000000"/>
          <w:lang w:val="pl-PL"/>
        </w:rPr>
        <w:t>nadzór przynajmniej 1 koordynatora</w:t>
      </w:r>
      <w:r>
        <w:rPr>
          <w:rFonts w:ascii="Arial" w:hAnsi="Arial" w:cs="Arial"/>
          <w:color w:val="000000"/>
          <w:lang w:val="pl-PL"/>
        </w:rPr>
        <w:t>, który będzie bezpośrednio nadzorował wykonywanie usługi na terenie szpitala.</w:t>
      </w:r>
    </w:p>
    <w:p w14:paraId="329BD2BB" w14:textId="77777777" w:rsidR="000A00B2" w:rsidRDefault="006D04BA">
      <w:pPr>
        <w:pStyle w:val="Akapitzlist"/>
        <w:widowControl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Obowiązki pracowników ochrony w zakresie ochrony obejmuj</w:t>
      </w:r>
      <w:r>
        <w:rPr>
          <w:rFonts w:ascii="Arial" w:hAnsi="Arial" w:cs="Arial"/>
          <w:color w:val="000000"/>
          <w:lang w:val="pl-PL"/>
        </w:rPr>
        <w:t>ą w szczególności: stałą obserwację obszaru znajdującego się w zasięgu kamer; nie dopuszczanie do przebywania na terenie obiektu osób stwarzających zagrożenie dla bezpieczeństwa osób i mienia; przeciwdziałanie czynom stwarzającym zagrożenie dla życia i zdr</w:t>
      </w:r>
      <w:r>
        <w:rPr>
          <w:rFonts w:ascii="Arial" w:hAnsi="Arial" w:cs="Arial"/>
          <w:color w:val="000000"/>
          <w:lang w:val="pl-PL"/>
        </w:rPr>
        <w:t>owia ludzkiego oraz mienia; spowodowanie ujęcia osób stwarzających bezpośrednie zagrożenie dla życia i zdrowia ludzkiego oraz mienia w celu oddania ich do dyspozycji właściwych organów; obsługa systemu monitorowania obiektu.</w:t>
      </w:r>
    </w:p>
    <w:p w14:paraId="1EF02B20" w14:textId="77777777" w:rsidR="000A00B2" w:rsidRDefault="006D04BA">
      <w:pPr>
        <w:pStyle w:val="Akapitzlist"/>
        <w:widowControl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Wykonawca wyposaży  pracowników</w:t>
      </w:r>
      <w:r>
        <w:rPr>
          <w:rFonts w:ascii="Arial" w:hAnsi="Arial" w:cs="Arial"/>
          <w:color w:val="000000"/>
          <w:lang w:val="pl-PL"/>
        </w:rPr>
        <w:t xml:space="preserve"> portierni w książkę raportów, w której to książce będą skrupulatnie zapisywane wszystkie nieprawidłowości jakie będą miały miejsce podczas pełnienia obowiązków służbowych jak chociażby: wpisywanie przyjazdu grupy interwencyjnej, lub służb mundurowych wzyw</w:t>
      </w:r>
      <w:r>
        <w:rPr>
          <w:rFonts w:ascii="Arial" w:hAnsi="Arial" w:cs="Arial"/>
          <w:color w:val="000000"/>
          <w:lang w:val="pl-PL"/>
        </w:rPr>
        <w:t>anych do przyjazdu na teren Szpitala, okoliczności zajść odbiegających od normy związanych z kontaktami osób z ochrony a pacjentami szpitala, osobami odwiedzającymi oraz pracownikami szpitala, oraz inne zdarzenia wymagające według indywidualnej oceny praco</w:t>
      </w:r>
      <w:r>
        <w:rPr>
          <w:rFonts w:ascii="Arial" w:hAnsi="Arial" w:cs="Arial"/>
          <w:color w:val="000000"/>
          <w:lang w:val="pl-PL"/>
        </w:rPr>
        <w:t>wnika ochrony odnotowania w książce raportów.</w:t>
      </w:r>
    </w:p>
    <w:p w14:paraId="7EB32045" w14:textId="77777777" w:rsidR="000A00B2" w:rsidRDefault="006D04BA">
      <w:pPr>
        <w:pStyle w:val="Akapitzlist"/>
        <w:widowControl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Do obowiązków pracowników ochrony należy m. in.:</w:t>
      </w:r>
    </w:p>
    <w:p w14:paraId="38E9F95E" w14:textId="77777777" w:rsidR="000A00B2" w:rsidRDefault="006D04BA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obsługa centrali telefonicznej,</w:t>
      </w:r>
    </w:p>
    <w:p w14:paraId="03106032" w14:textId="77777777" w:rsidR="000A00B2" w:rsidRDefault="006D04BA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obsługa lokalnego systemu przeciwpożarowego,</w:t>
      </w:r>
    </w:p>
    <w:p w14:paraId="264717DC" w14:textId="77777777" w:rsidR="000A00B2" w:rsidRDefault="006D04BA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lastRenderedPageBreak/>
        <w:t xml:space="preserve">nadzór nad prawidłowością ruchu pojazdów przed Centralną Izbą Przyjęć oraz na </w:t>
      </w:r>
      <w:r>
        <w:rPr>
          <w:rFonts w:ascii="Arial" w:hAnsi="Arial" w:cs="Arial"/>
          <w:color w:val="000000"/>
          <w:lang w:val="pl-PL"/>
        </w:rPr>
        <w:t>parkingu, weryfikowanie uprawnień do wjazdu na teren obiektu (parking tylko dla pracowników Szpitala),</w:t>
      </w:r>
    </w:p>
    <w:p w14:paraId="106B2786" w14:textId="77777777" w:rsidR="000A00B2" w:rsidRDefault="006D04BA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utrzymywanie w czystości wejścia do budynku, holu oraz podjazdu przed budynkiem Szpitala, dbanie o drożność podjazdu dla karetek oraz dojścia do Szpitala</w:t>
      </w:r>
      <w:r>
        <w:rPr>
          <w:rFonts w:ascii="Arial" w:hAnsi="Arial" w:cs="Arial"/>
          <w:color w:val="000000"/>
          <w:lang w:val="pl-PL"/>
        </w:rPr>
        <w:t xml:space="preserve"> w okresie zimowym,</w:t>
      </w:r>
    </w:p>
    <w:p w14:paraId="79D7E690" w14:textId="77777777" w:rsidR="000A00B2" w:rsidRDefault="006D04BA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udzielanie pomocy pracownikom, pacjentom i osobom odwiedzającym chorych w sytuacjach wskazanych przez pracowników Szpitala bez opuszczania miejsca pracy,</w:t>
      </w:r>
    </w:p>
    <w:p w14:paraId="6AB52CED" w14:textId="77777777" w:rsidR="000A00B2" w:rsidRDefault="006D04BA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wykonywanie innych czynności zawartych w umowie.</w:t>
      </w:r>
    </w:p>
    <w:p w14:paraId="438981CC" w14:textId="77777777" w:rsidR="000A00B2" w:rsidRDefault="006D04BA">
      <w:pPr>
        <w:pStyle w:val="Akapitzlist"/>
        <w:widowControl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Zamawiający w okresie obowiązywan</w:t>
      </w:r>
      <w:r>
        <w:rPr>
          <w:rFonts w:ascii="Arial" w:hAnsi="Arial" w:cs="Arial"/>
          <w:color w:val="000000"/>
          <w:lang w:val="pl-PL"/>
        </w:rPr>
        <w:t>ia umowy umożliwi wykonywanie usługi poprzez:</w:t>
      </w:r>
    </w:p>
    <w:p w14:paraId="0D455910" w14:textId="77777777" w:rsidR="000A00B2" w:rsidRDefault="006D04BA">
      <w:pPr>
        <w:pStyle w:val="Akapitzlist"/>
        <w:widowControl/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udostępnienie dla pracowników ochrony Wykonawcy oddzielnego pomieszczenia – Portierni - na terenie objętym ochroną;</w:t>
      </w:r>
    </w:p>
    <w:p w14:paraId="38766825" w14:textId="77777777" w:rsidR="000A00B2" w:rsidRDefault="006D04BA">
      <w:pPr>
        <w:pStyle w:val="Akapitzlist"/>
        <w:widowControl/>
        <w:numPr>
          <w:ilvl w:val="0"/>
          <w:numId w:val="3"/>
        </w:numPr>
        <w:tabs>
          <w:tab w:val="left" w:pos="1260"/>
        </w:tabs>
        <w:spacing w:after="0" w:line="240" w:lineRule="auto"/>
        <w:rPr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zapewnienie warunków sanitarno-higienicznych poprzez dostęp do wody pitnej, toalety oraz </w:t>
      </w:r>
      <w:r>
        <w:rPr>
          <w:rFonts w:ascii="Arial" w:hAnsi="Arial" w:cs="Arial"/>
          <w:color w:val="000000"/>
          <w:lang w:val="pl-PL"/>
        </w:rPr>
        <w:t>zaopatrzenie w środki ochrony osobistej (maseczka chirurgiczna, rękawiczki jednorazowe, fartuch flizelinowy jednorazowy), zapewnienie dostępu do telefonu (do wykorzystania jedynie w celach służbowych).</w:t>
      </w:r>
    </w:p>
    <w:p w14:paraId="31862929" w14:textId="77777777" w:rsidR="000A00B2" w:rsidRDefault="006D04BA">
      <w:pPr>
        <w:pStyle w:val="Akapitzlist"/>
        <w:widowControl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Zamawiający odpowiada za stan techniczny zabezpieczeni</w:t>
      </w:r>
      <w:r>
        <w:rPr>
          <w:rFonts w:ascii="Arial" w:hAnsi="Arial" w:cs="Arial"/>
          <w:color w:val="000000"/>
          <w:lang w:val="pl-PL"/>
        </w:rPr>
        <w:t xml:space="preserve">a poszczególnych obiektów (dotyczy to zamków, zamknięć, oświetlenia, ogrodzenia, zabezpieczenia </w:t>
      </w:r>
      <w:proofErr w:type="spellStart"/>
      <w:r>
        <w:rPr>
          <w:rFonts w:ascii="Arial" w:hAnsi="Arial" w:cs="Arial"/>
          <w:color w:val="000000"/>
          <w:lang w:val="pl-PL"/>
        </w:rPr>
        <w:t>ppoż</w:t>
      </w:r>
      <w:proofErr w:type="spellEnd"/>
      <w:r>
        <w:rPr>
          <w:rFonts w:ascii="Arial" w:hAnsi="Arial" w:cs="Arial"/>
          <w:color w:val="000000"/>
          <w:lang w:val="pl-PL"/>
        </w:rPr>
        <w:t xml:space="preserve"> itp.)</w:t>
      </w:r>
    </w:p>
    <w:p w14:paraId="02E5DBF2" w14:textId="77777777" w:rsidR="000A00B2" w:rsidRDefault="006D04BA">
      <w:pPr>
        <w:pStyle w:val="Akapitzlist"/>
        <w:widowControl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Wykonawca przed przystąpieniem do wykonywania usługi zobowiązuje się dokonać sprawdzenia stanu technicznego obiektów i w razie wystąpienia nieprawidł</w:t>
      </w:r>
      <w:r>
        <w:rPr>
          <w:rFonts w:ascii="Arial" w:hAnsi="Arial" w:cs="Arial"/>
          <w:color w:val="000000"/>
          <w:lang w:val="pl-PL"/>
        </w:rPr>
        <w:t>owości zgłosić je przedstawicielowi Zamawiającego z podaniem zakresu i dokładnej lokalizacji uszkodzeń.</w:t>
      </w:r>
    </w:p>
    <w:p w14:paraId="4733826B" w14:textId="77777777" w:rsidR="000A00B2" w:rsidRDefault="006D04BA">
      <w:pPr>
        <w:pStyle w:val="Akapitzlist"/>
        <w:widowControl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Wykonawcy przekazane zostaną przed rozpoczęciem świadczenia usługi dokumenty zawierające przepisy porządkowe, organizacyjne oraz te regulujące zasady be</w:t>
      </w:r>
      <w:r>
        <w:rPr>
          <w:rFonts w:ascii="Arial" w:hAnsi="Arial" w:cs="Arial"/>
          <w:color w:val="000000"/>
          <w:lang w:val="pl-PL"/>
        </w:rPr>
        <w:t>zpieczeństwa w Szpitalu (takie jak Statut Szpitala, Regulamin Porządkowy, Regulamin Organizacyjny, Politykę bezpieczeństwa, Instrukcja bezpieczeństwa przeciwpożarowego, Instrukcja obsługi centrali ppoż. itp.), celem zapoznania się z nimi i stosowania się d</w:t>
      </w:r>
      <w:r>
        <w:rPr>
          <w:rFonts w:ascii="Arial" w:hAnsi="Arial" w:cs="Arial"/>
          <w:color w:val="000000"/>
          <w:lang w:val="pl-PL"/>
        </w:rPr>
        <w:t>o nich w trakcie umowy.</w:t>
      </w:r>
    </w:p>
    <w:p w14:paraId="1E1F22DC" w14:textId="77777777" w:rsidR="000A00B2" w:rsidRDefault="006D04BA">
      <w:pPr>
        <w:pStyle w:val="Akapitzlist"/>
        <w:widowControl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Comiesięcznie Wykonawca przekazywać będzie Zamawiającemu harmonogram pracy osób dozorujących wraz z ich danymi.</w:t>
      </w:r>
    </w:p>
    <w:p w14:paraId="2B891030" w14:textId="77777777" w:rsidR="000A00B2" w:rsidRDefault="006D04BA">
      <w:pPr>
        <w:pStyle w:val="Akapitzlist"/>
        <w:widowControl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Wykonawca na czas obowiązywania umowy wyposaży pracowników w telefon komórkowy (minimum jeden telefon na jeden obiekt) d</w:t>
      </w:r>
      <w:r>
        <w:rPr>
          <w:rFonts w:ascii="Arial" w:hAnsi="Arial" w:cs="Arial"/>
          <w:color w:val="000000"/>
          <w:lang w:val="pl-PL"/>
        </w:rPr>
        <w:t>o celów służbowych w celu usprawnienia łączności pomiędzy pracownikiem ochrony na terenie szpitala a firmą koordynującą zgłaszanie alarmu pożarowego wychodzącego ze Szpitala do Komendy Straży Pożarnej w Krakowie.</w:t>
      </w:r>
    </w:p>
    <w:p w14:paraId="443ED91B" w14:textId="77777777" w:rsidR="000A00B2" w:rsidRDefault="006D04BA">
      <w:pPr>
        <w:pStyle w:val="Akapitzlist"/>
        <w:widowControl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  <w:lang w:val="pl-PL"/>
        </w:rPr>
      </w:pPr>
      <w:r>
        <w:rPr>
          <w:rFonts w:ascii="Arial" w:hAnsi="Arial" w:cs="Arial"/>
          <w:b/>
          <w:bCs/>
          <w:color w:val="000000"/>
          <w:u w:val="single"/>
          <w:lang w:val="pl-PL"/>
        </w:rPr>
        <w:t>Dotyczy budynku Szpitala przy ul. Skarbowej</w:t>
      </w:r>
      <w:r>
        <w:rPr>
          <w:rFonts w:ascii="Arial" w:hAnsi="Arial" w:cs="Arial"/>
          <w:b/>
          <w:bCs/>
          <w:color w:val="000000"/>
          <w:u w:val="single"/>
          <w:lang w:val="pl-PL"/>
        </w:rPr>
        <w:t xml:space="preserve"> 1</w:t>
      </w:r>
    </w:p>
    <w:p w14:paraId="3A1BA837" w14:textId="77777777" w:rsidR="000A00B2" w:rsidRDefault="006D04BA">
      <w:pPr>
        <w:pStyle w:val="Akapitzlist"/>
        <w:widowControl/>
        <w:numPr>
          <w:ilvl w:val="0"/>
          <w:numId w:val="4"/>
        </w:numPr>
        <w:tabs>
          <w:tab w:val="left" w:pos="1684"/>
          <w:tab w:val="left" w:pos="2367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Wykonawca, na czas świadczenia usługi, wyposaży portiernię w urządzenie grzewcze/ wentylator, czajnik elektryczny, fotel, a także, w miejscu wskazanym przez Zamawiającego, ustawi szafkę na odzież dla pracowników Wykonawcy dyżurujących w Szpitalu.</w:t>
      </w:r>
    </w:p>
    <w:p w14:paraId="521123CA" w14:textId="77777777" w:rsidR="000A00B2" w:rsidRDefault="006D04BA">
      <w:pPr>
        <w:pStyle w:val="Akapitzlist"/>
        <w:widowControl/>
        <w:numPr>
          <w:ilvl w:val="0"/>
          <w:numId w:val="4"/>
        </w:numPr>
        <w:tabs>
          <w:tab w:val="left" w:pos="1684"/>
          <w:tab w:val="left" w:pos="2367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Służb</w:t>
      </w:r>
      <w:r>
        <w:rPr>
          <w:rFonts w:ascii="Arial" w:hAnsi="Arial" w:cs="Arial"/>
          <w:color w:val="000000"/>
          <w:lang w:val="pl-PL"/>
        </w:rPr>
        <w:t xml:space="preserve">a pracowników ochrony wykonywana będzie w obsadzie jednoosobowej. Podczas tzw. łamania zmian dokonywany będzie przez pracownika ochrony obchód według rozmieszczonych punktów. Rejestr obchodów będzie udostępniany przez Wykonawcę na wezwanie Zamawiającego w </w:t>
      </w:r>
      <w:r>
        <w:rPr>
          <w:rFonts w:ascii="Arial" w:hAnsi="Arial" w:cs="Arial"/>
          <w:color w:val="000000"/>
          <w:lang w:val="pl-PL"/>
        </w:rPr>
        <w:t>terminie trzech dni roboczych od złożenia wezwania w wersji pisemnie/ e-mail.</w:t>
      </w:r>
    </w:p>
    <w:p w14:paraId="7696E61B" w14:textId="77777777" w:rsidR="000A00B2" w:rsidRDefault="006D04BA">
      <w:pPr>
        <w:pStyle w:val="Akapitzlist"/>
        <w:widowControl/>
        <w:numPr>
          <w:ilvl w:val="0"/>
          <w:numId w:val="4"/>
        </w:numPr>
        <w:tabs>
          <w:tab w:val="left" w:pos="1684"/>
          <w:tab w:val="left" w:pos="2367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Do obowiązków pracowników ochrony należy również m. in.:</w:t>
      </w:r>
    </w:p>
    <w:p w14:paraId="16067EF7" w14:textId="77777777" w:rsidR="000A00B2" w:rsidRDefault="006D04BA">
      <w:pPr>
        <w:pStyle w:val="Akapitzlist"/>
        <w:widowControl/>
        <w:numPr>
          <w:ilvl w:val="0"/>
          <w:numId w:val="5"/>
        </w:numPr>
        <w:tabs>
          <w:tab w:val="left" w:pos="2138"/>
          <w:tab w:val="left" w:pos="2367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wykonywanie czynności związanych z obsługą portierni (min. dysponowanie kluczami do pomieszczeń służbowych </w:t>
      </w:r>
      <w:r>
        <w:rPr>
          <w:rFonts w:ascii="Arial" w:hAnsi="Arial" w:cs="Arial"/>
          <w:color w:val="000000"/>
          <w:lang w:val="pl-PL"/>
        </w:rPr>
        <w:t xml:space="preserve">szpitala – wydawanie kluczy po </w:t>
      </w:r>
      <w:r>
        <w:rPr>
          <w:rFonts w:ascii="Arial" w:hAnsi="Arial" w:cs="Arial"/>
          <w:color w:val="000000"/>
          <w:lang w:val="pl-PL"/>
        </w:rPr>
        <w:lastRenderedPageBreak/>
        <w:t>zidentyfikowaniu pracownika pobierającego, zgodnie z udostępnionymi listami pracowników uprawnionych do odbioru kluczy, w razie konieczności wydawanie kluczy zapasowych według odpowiednich procedur - zgodnie z „Instrukcją pos</w:t>
      </w:r>
      <w:r>
        <w:rPr>
          <w:rFonts w:ascii="Arial" w:hAnsi="Arial" w:cs="Arial"/>
          <w:color w:val="000000"/>
          <w:lang w:val="pl-PL"/>
        </w:rPr>
        <w:t>tępowania z kluczami”), przekazywanie karnetów ZFŚS,</w:t>
      </w:r>
    </w:p>
    <w:p w14:paraId="1241859A" w14:textId="77777777" w:rsidR="000A00B2" w:rsidRDefault="006D04BA">
      <w:pPr>
        <w:pStyle w:val="Akapitzlist"/>
        <w:widowControl/>
        <w:numPr>
          <w:ilvl w:val="0"/>
          <w:numId w:val="5"/>
        </w:numPr>
        <w:tabs>
          <w:tab w:val="left" w:pos="2138"/>
          <w:tab w:val="left" w:pos="2367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prowadzenie listy osób korzystających w godzinach popołudniowych i nocnych </w:t>
      </w:r>
      <w:r>
        <w:rPr>
          <w:rFonts w:ascii="Arial" w:hAnsi="Arial" w:cs="Arial"/>
          <w:color w:val="000000"/>
          <w:lang w:val="pl-PL"/>
        </w:rPr>
        <w:br/>
      </w:r>
      <w:r>
        <w:rPr>
          <w:rFonts w:ascii="Arial" w:hAnsi="Arial" w:cs="Arial"/>
          <w:color w:val="000000"/>
          <w:lang w:val="pl-PL"/>
        </w:rPr>
        <w:t>z kserokopiarki znajdującej się w pomieszczeniach Ruchu Chorych,</w:t>
      </w:r>
    </w:p>
    <w:p w14:paraId="76AF1D70" w14:textId="77777777" w:rsidR="000A00B2" w:rsidRDefault="006D04BA">
      <w:pPr>
        <w:pStyle w:val="Akapitzlist"/>
        <w:widowControl/>
        <w:numPr>
          <w:ilvl w:val="0"/>
          <w:numId w:val="5"/>
        </w:numPr>
        <w:tabs>
          <w:tab w:val="left" w:pos="2138"/>
          <w:tab w:val="left" w:pos="2367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 godzinach popołudniowych (tj. od godz. 15.00-07:00), oraz n</w:t>
      </w:r>
      <w:r>
        <w:rPr>
          <w:rFonts w:ascii="Arial" w:hAnsi="Arial" w:cs="Arial"/>
          <w:color w:val="000000"/>
          <w:lang w:val="pl-PL"/>
        </w:rPr>
        <w:t xml:space="preserve">a dodatkowe zlecenie kierownika DAG a w razie konieczności w niedziele i święta, wydawanie pacjentom ich odzieży wierzchniej z Magazynu Rzeczy Chorych,  </w:t>
      </w:r>
    </w:p>
    <w:p w14:paraId="3709503E" w14:textId="77777777" w:rsidR="000A00B2" w:rsidRDefault="006D04BA">
      <w:pPr>
        <w:pStyle w:val="Akapitzlist"/>
        <w:widowControl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pl-PL"/>
        </w:rPr>
      </w:pPr>
      <w:r>
        <w:rPr>
          <w:rFonts w:ascii="Arial" w:hAnsi="Arial" w:cs="Arial"/>
          <w:bCs/>
          <w:color w:val="000000"/>
          <w:lang w:val="pl-PL"/>
        </w:rPr>
        <w:t>Wykaz i lokalizacja punktów do odczytu podczas codziennego obchodu budynek – ul. Skarbowa 1</w:t>
      </w:r>
    </w:p>
    <w:p w14:paraId="7B582C6B" w14:textId="77777777" w:rsidR="000A00B2" w:rsidRDefault="006D04BA">
      <w:pPr>
        <w:pStyle w:val="Akapitzlist"/>
        <w:widowControl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IV piętro-</w:t>
      </w:r>
      <w:r>
        <w:rPr>
          <w:rFonts w:ascii="Arial" w:hAnsi="Arial" w:cs="Arial"/>
          <w:color w:val="000000"/>
          <w:lang w:val="pl-PL"/>
        </w:rPr>
        <w:t xml:space="preserve"> krata przy windzie</w:t>
      </w:r>
    </w:p>
    <w:p w14:paraId="00ACF32B" w14:textId="77777777" w:rsidR="000A00B2" w:rsidRDefault="006D04BA">
      <w:pPr>
        <w:pStyle w:val="Akapitzlist"/>
        <w:widowControl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III piętro- hol główny, klatka schodowa, półka pod telefon wiszący</w:t>
      </w:r>
    </w:p>
    <w:p w14:paraId="05F97A7D" w14:textId="77777777" w:rsidR="000A00B2" w:rsidRDefault="006D04BA">
      <w:pPr>
        <w:pStyle w:val="Akapitzlist"/>
        <w:widowControl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II piętro- hol główny, klatka schodowa, półka obok automatu NESCAFE</w:t>
      </w:r>
    </w:p>
    <w:p w14:paraId="4EDCB3ED" w14:textId="77777777" w:rsidR="000A00B2" w:rsidRDefault="006D04BA">
      <w:pPr>
        <w:pStyle w:val="Akapitzlist"/>
        <w:widowControl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I piętro- hol główny, klatka schodowa, półka obok kaplicy szpitalnej</w:t>
      </w:r>
    </w:p>
    <w:p w14:paraId="03EF5803" w14:textId="77777777" w:rsidR="000A00B2" w:rsidRDefault="006D04BA">
      <w:pPr>
        <w:pStyle w:val="Akapitzlist"/>
        <w:widowControl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Parter- hol główny- półka obok w</w:t>
      </w:r>
      <w:r>
        <w:rPr>
          <w:rFonts w:ascii="Arial" w:hAnsi="Arial" w:cs="Arial"/>
          <w:color w:val="000000"/>
          <w:lang w:val="pl-PL"/>
        </w:rPr>
        <w:t>yjścia ewakuacyjnego, obok wejścia do kiosku PIGUŁA</w:t>
      </w:r>
    </w:p>
    <w:p w14:paraId="10101534" w14:textId="77777777" w:rsidR="000A00B2" w:rsidRDefault="006D04BA">
      <w:pPr>
        <w:pStyle w:val="Akapitzlist"/>
        <w:widowControl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Poziom – 1 – korytarz przy szatniach dla personelu- ściana obok Magazynu Rzeczy Chorych</w:t>
      </w:r>
    </w:p>
    <w:p w14:paraId="540A2283" w14:textId="77777777" w:rsidR="000A00B2" w:rsidRDefault="006D04BA">
      <w:pPr>
        <w:pStyle w:val="Akapitzlist"/>
        <w:widowControl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Poziom – 1- korytarz przy dużych windach- ściana obok okna od strony ul. Czystej</w:t>
      </w:r>
    </w:p>
    <w:p w14:paraId="23DAE564" w14:textId="77777777" w:rsidR="000A00B2" w:rsidRDefault="006D04BA">
      <w:pPr>
        <w:pStyle w:val="Akapitzlist"/>
        <w:widowControl/>
        <w:numPr>
          <w:ilvl w:val="0"/>
          <w:numId w:val="6"/>
        </w:numPr>
        <w:spacing w:after="0" w:line="240" w:lineRule="auto"/>
        <w:ind w:hanging="357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Poziom – 1 – korytarz przy magazyni</w:t>
      </w:r>
      <w:r>
        <w:rPr>
          <w:rFonts w:ascii="Arial" w:hAnsi="Arial" w:cs="Arial"/>
          <w:color w:val="000000"/>
          <w:lang w:val="pl-PL"/>
        </w:rPr>
        <w:t>e kasacyjnym – obok pokoju elektryków.</w:t>
      </w:r>
    </w:p>
    <w:p w14:paraId="1F9EF317" w14:textId="77777777" w:rsidR="000A00B2" w:rsidRDefault="006D04BA">
      <w:pPr>
        <w:pStyle w:val="Akapitzlist"/>
        <w:widowControl/>
        <w:numPr>
          <w:ilvl w:val="0"/>
          <w:numId w:val="7"/>
        </w:numPr>
        <w:spacing w:after="0" w:line="240" w:lineRule="auto"/>
        <w:ind w:hanging="357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 wyjątkowych sytuacjach do pracy na portierni przy ul Skarbowej zostanie skierowany dodatkowy pracownik pełniący dyżur codziennie od godz. 7.00 do godz. 15.00 – na wniosek Dyrekcji Szpitala.</w:t>
      </w:r>
      <w:r>
        <w:rPr>
          <w:rFonts w:ascii="Arial" w:hAnsi="Arial" w:cs="Arial"/>
          <w:color w:val="000000"/>
          <w:lang w:val="pl-PL"/>
        </w:rPr>
        <w:t xml:space="preserve"> Do jego obowiązków należe</w:t>
      </w:r>
      <w:r>
        <w:rPr>
          <w:rFonts w:ascii="Arial" w:hAnsi="Arial" w:cs="Arial"/>
          <w:color w:val="000000"/>
          <w:lang w:val="pl-PL"/>
        </w:rPr>
        <w:t>ć będzie:</w:t>
      </w:r>
    </w:p>
    <w:p w14:paraId="2FE070F4" w14:textId="77777777" w:rsidR="000A00B2" w:rsidRDefault="006D04BA">
      <w:pPr>
        <w:pStyle w:val="Akapitzlist"/>
        <w:widowControl/>
        <w:spacing w:after="0" w:line="240" w:lineRule="auto"/>
        <w:ind w:hanging="357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bCs/>
          <w:color w:val="000000"/>
          <w:lang w:val="pl-PL"/>
        </w:rPr>
        <w:t>a)</w:t>
      </w:r>
      <w:r>
        <w:rPr>
          <w:rFonts w:ascii="Arial" w:hAnsi="Arial" w:cs="Arial"/>
          <w:color w:val="000000"/>
          <w:lang w:val="pl-PL"/>
        </w:rPr>
        <w:t xml:space="preserve"> otwieranie zamkniętych drzwi wejściowych prowadzących na hol szpitalny tylko upoważnionym osobom</w:t>
      </w:r>
    </w:p>
    <w:p w14:paraId="505A11F0" w14:textId="77777777" w:rsidR="000A00B2" w:rsidRDefault="006D04BA">
      <w:pPr>
        <w:pStyle w:val="Akapitzlist"/>
        <w:widowControl/>
        <w:spacing w:after="0" w:line="240" w:lineRule="auto"/>
        <w:ind w:hanging="357"/>
        <w:jc w:val="both"/>
        <w:rPr>
          <w:rFonts w:ascii="Arial" w:hAnsi="Arial" w:cs="Arial"/>
          <w:b/>
          <w:bCs/>
          <w:color w:val="000000"/>
          <w:lang w:val="pl-PL"/>
        </w:rPr>
      </w:pPr>
      <w:r>
        <w:rPr>
          <w:rFonts w:ascii="Arial" w:hAnsi="Arial" w:cs="Arial"/>
          <w:b/>
          <w:bCs/>
          <w:color w:val="000000"/>
          <w:lang w:val="pl-PL"/>
        </w:rPr>
        <w:t xml:space="preserve">b) </w:t>
      </w:r>
      <w:r>
        <w:rPr>
          <w:rFonts w:ascii="Arial" w:hAnsi="Arial" w:cs="Arial"/>
          <w:color w:val="000000"/>
          <w:lang w:val="pl-PL"/>
        </w:rPr>
        <w:t>przekazywania paczek dla chorych leżących na Oddziałach</w:t>
      </w:r>
    </w:p>
    <w:p w14:paraId="2A6F011A" w14:textId="77777777" w:rsidR="000A00B2" w:rsidRDefault="000A00B2">
      <w:pPr>
        <w:pStyle w:val="Akapitzlist"/>
        <w:widowControl/>
        <w:spacing w:after="0" w:line="240" w:lineRule="auto"/>
        <w:ind w:left="363"/>
        <w:jc w:val="both"/>
        <w:rPr>
          <w:rFonts w:ascii="Arial" w:hAnsi="Arial" w:cs="Arial"/>
          <w:color w:val="000000"/>
          <w:lang w:val="pl-PL"/>
        </w:rPr>
      </w:pPr>
    </w:p>
    <w:p w14:paraId="7F89FEE9" w14:textId="77777777" w:rsidR="000A00B2" w:rsidRDefault="006D04BA">
      <w:pPr>
        <w:pStyle w:val="Akapitzlist"/>
        <w:widowControl/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  <w:b/>
          <w:bCs/>
          <w:color w:val="000000"/>
          <w:u w:val="single"/>
          <w:lang w:val="pl-PL"/>
        </w:rPr>
      </w:pPr>
      <w:r>
        <w:rPr>
          <w:rFonts w:ascii="Arial" w:hAnsi="Arial" w:cs="Arial"/>
          <w:b/>
          <w:bCs/>
          <w:color w:val="000000"/>
          <w:u w:val="single"/>
          <w:lang w:val="pl-PL"/>
        </w:rPr>
        <w:t>Dotyczy budynku Szpitala przy Al.  Focha 33</w:t>
      </w:r>
    </w:p>
    <w:p w14:paraId="6C0520E2" w14:textId="77777777" w:rsidR="000A00B2" w:rsidRDefault="006D04BA">
      <w:pPr>
        <w:pStyle w:val="Akapitzlist"/>
        <w:widowControl/>
        <w:numPr>
          <w:ilvl w:val="0"/>
          <w:numId w:val="8"/>
        </w:numPr>
        <w:spacing w:after="0" w:line="240" w:lineRule="auto"/>
        <w:ind w:hanging="357"/>
        <w:jc w:val="both"/>
        <w:rPr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Wykonawca ma obowiązek wyposażyć </w:t>
      </w:r>
      <w:r>
        <w:rPr>
          <w:rFonts w:ascii="Arial" w:hAnsi="Arial" w:cs="Arial"/>
          <w:color w:val="000000"/>
          <w:lang w:val="pl-PL"/>
        </w:rPr>
        <w:t>Portiernię Szpitala w system szybkiego przywoływania grupy interwencyjnej. Wykonawca zapewni podpięcie do systemu antywłamaniowego zainstalowanego w budynku przy Al. Focha 33 do własnego (lub podwykonawcy) systemu odbioru sygnału, oraz zapewni przyjazd gru</w:t>
      </w:r>
      <w:r>
        <w:rPr>
          <w:rFonts w:ascii="Arial" w:hAnsi="Arial" w:cs="Arial"/>
          <w:color w:val="000000"/>
          <w:lang w:val="pl-PL"/>
        </w:rPr>
        <w:t>py interwencyjnej do zabezpieczenia budynku. Przez grupę interwencyjną w tym przypadku zamawiający rozumie pracowników ochrony, którzy zapobiegną włamaniu a w sytuacji, gdy dojdzie do przestępstwa zabezpieczą budynek po ewentualnym włamaniu, zgłoszą właman</w:t>
      </w:r>
      <w:r>
        <w:rPr>
          <w:rFonts w:ascii="Arial" w:hAnsi="Arial" w:cs="Arial"/>
          <w:color w:val="000000"/>
          <w:lang w:val="pl-PL"/>
        </w:rPr>
        <w:t>ie do państwowych organów ścigania i przekażą im wszelkie niezbędne informacje na temat zabezpieczeń budynku przeciw włamaniom).</w:t>
      </w:r>
    </w:p>
    <w:p w14:paraId="1BCB8234" w14:textId="77777777" w:rsidR="000A00B2" w:rsidRDefault="006D04BA">
      <w:pPr>
        <w:pStyle w:val="Akapitzlist"/>
        <w:widowControl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Służba pracowników ochrony wykonywana będzie w obsadzie jednoosobowej w godzinach od 22.00 do 6.00.</w:t>
      </w:r>
    </w:p>
    <w:p w14:paraId="694EC15B" w14:textId="77777777" w:rsidR="000A00B2" w:rsidRDefault="006D04BA">
      <w:pPr>
        <w:pStyle w:val="Akapitzlist"/>
        <w:widowControl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Do obowiązków pracowników </w:t>
      </w:r>
      <w:r>
        <w:rPr>
          <w:rFonts w:ascii="Arial" w:hAnsi="Arial" w:cs="Arial"/>
          <w:color w:val="000000"/>
          <w:lang w:val="pl-PL"/>
        </w:rPr>
        <w:t>ochrony należy również m.in.: wykonywanie czynności związanych z obsługą portierni (wydawanie kluczy do szafek ubraniowych dla pacjentów szpitala przychodzących na zabiegi rehabilitacyjne według procedur obowiązujących w szpitalu, przyjmowanie odzieży wier</w:t>
      </w:r>
      <w:r>
        <w:rPr>
          <w:rFonts w:ascii="Arial" w:hAnsi="Arial" w:cs="Arial"/>
          <w:color w:val="000000"/>
          <w:lang w:val="pl-PL"/>
        </w:rPr>
        <w:t>zchniej od pacjentów i gości szpitala w zamian wydawanie żetonów, przekazywanie poczty i przesyłek wewnętrznych pozostawionych na portierni kierowcy/pracownikowi odbierającemu je z budynku przy Al. Focha</w:t>
      </w:r>
    </w:p>
    <w:p w14:paraId="0D5CB04E" w14:textId="77777777" w:rsidR="000A00B2" w:rsidRDefault="006D04BA">
      <w:pPr>
        <w:pStyle w:val="Akapitzlist"/>
        <w:widowControl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  <w:lang w:val="pl-PL"/>
        </w:rPr>
      </w:pPr>
      <w:r>
        <w:rPr>
          <w:rFonts w:ascii="Arial" w:hAnsi="Arial" w:cs="Arial"/>
          <w:b/>
          <w:bCs/>
          <w:color w:val="000000"/>
          <w:u w:val="single"/>
          <w:lang w:val="pl-PL"/>
        </w:rPr>
        <w:t>Ogólne Warunki Odpowiedzialności Wykonawcy</w:t>
      </w:r>
    </w:p>
    <w:p w14:paraId="37E4578F" w14:textId="77777777" w:rsidR="000A00B2" w:rsidRDefault="006D04BA">
      <w:pPr>
        <w:pStyle w:val="Akapitzlist"/>
        <w:widowControl/>
        <w:numPr>
          <w:ilvl w:val="0"/>
          <w:numId w:val="9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Wykonawc</w:t>
      </w:r>
      <w:r>
        <w:rPr>
          <w:rFonts w:ascii="Arial" w:hAnsi="Arial" w:cs="Arial"/>
          <w:color w:val="000000"/>
          <w:lang w:val="pl-PL"/>
        </w:rPr>
        <w:t>a nie ponosi odpowiedzialności za szkody w mieniu:</w:t>
      </w:r>
    </w:p>
    <w:p w14:paraId="4DFFDDC4" w14:textId="77777777" w:rsidR="000A00B2" w:rsidRDefault="006D04BA">
      <w:pPr>
        <w:pStyle w:val="Akapitzlist"/>
        <w:widowControl/>
        <w:numPr>
          <w:ilvl w:val="0"/>
          <w:numId w:val="10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powstałe w następstwie działań tzw. siły wyższej (np. powódź, huragan);</w:t>
      </w:r>
    </w:p>
    <w:p w14:paraId="6BEB99B8" w14:textId="77777777" w:rsidR="000A00B2" w:rsidRDefault="006D04BA">
      <w:pPr>
        <w:pStyle w:val="Akapitzlist"/>
        <w:widowControl/>
        <w:numPr>
          <w:ilvl w:val="0"/>
          <w:numId w:val="10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lastRenderedPageBreak/>
        <w:t>wynikłe z braku realizacji przez Zamawiającego pisemnie uzgodnionych czynności poprawiających stan zabezpieczenia obiektu lub pogorsz</w:t>
      </w:r>
      <w:r>
        <w:rPr>
          <w:rFonts w:ascii="Arial" w:hAnsi="Arial" w:cs="Arial"/>
          <w:color w:val="000000"/>
          <w:lang w:val="pl-PL"/>
        </w:rPr>
        <w:t>enia stanu zabezpieczenia obiektu wpływających na bezpieczeństwo chronionego obiektu;</w:t>
      </w:r>
    </w:p>
    <w:p w14:paraId="487508CD" w14:textId="77777777" w:rsidR="000A00B2" w:rsidRDefault="006D04BA">
      <w:pPr>
        <w:pStyle w:val="Akapitzlist"/>
        <w:widowControl/>
        <w:numPr>
          <w:ilvl w:val="0"/>
          <w:numId w:val="10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 przypadku niezgłoszenia przez Zamawiającego, z własnej winy, Wykonawcy zaistniałych szkód w mieniu, nie później niż z upływem 3 dni roboczych - liczonych od dnia, w któ</w:t>
      </w:r>
      <w:r>
        <w:rPr>
          <w:rFonts w:ascii="Arial" w:hAnsi="Arial" w:cs="Arial"/>
          <w:color w:val="000000"/>
          <w:lang w:val="pl-PL"/>
        </w:rPr>
        <w:t>rym Zamawiający dowiedział się o szkodzie.</w:t>
      </w:r>
    </w:p>
    <w:p w14:paraId="4CDF7C1C" w14:textId="77777777" w:rsidR="000A00B2" w:rsidRDefault="006D04BA">
      <w:pPr>
        <w:pStyle w:val="Akapitzlist"/>
        <w:widowControl/>
        <w:numPr>
          <w:ilvl w:val="0"/>
          <w:numId w:val="10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w przypadku niesporządzenia przez Zamawiającego, z własnej winy, w następnym dniu roboczym od chwili ujawnienia szkody, protokołu z postępowania wyjaśniającego (przy udziale przedstawicieli Wykonawcy i Zamawiające</w:t>
      </w:r>
      <w:r>
        <w:rPr>
          <w:rFonts w:ascii="Arial" w:hAnsi="Arial" w:cs="Arial"/>
          <w:color w:val="000000"/>
          <w:lang w:val="pl-PL"/>
        </w:rPr>
        <w:t>go).</w:t>
      </w:r>
    </w:p>
    <w:p w14:paraId="34A91DA2" w14:textId="77777777" w:rsidR="000A00B2" w:rsidRDefault="006D04BA">
      <w:pPr>
        <w:pStyle w:val="Akapitzlist"/>
        <w:widowControl/>
        <w:numPr>
          <w:ilvl w:val="0"/>
          <w:numId w:val="9"/>
        </w:numPr>
        <w:tabs>
          <w:tab w:val="left" w:pos="1684"/>
        </w:tabs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Odpowiedzialność za szkody w </w:t>
      </w:r>
      <w:r>
        <w:rPr>
          <w:rFonts w:ascii="Arial" w:hAnsi="Arial" w:cs="Arial"/>
          <w:lang w:val="pl-PL"/>
        </w:rPr>
        <w:t>mieniu poniesione przez Zamawiającego przy udziale Wykonawcy ustala się na podstawie:</w:t>
      </w:r>
    </w:p>
    <w:p w14:paraId="56E29310" w14:textId="77777777" w:rsidR="000A00B2" w:rsidRDefault="006D04BA">
      <w:pPr>
        <w:pStyle w:val="Akapitzlist"/>
        <w:widowControl/>
        <w:numPr>
          <w:ilvl w:val="0"/>
          <w:numId w:val="11"/>
        </w:numPr>
        <w:tabs>
          <w:tab w:val="left" w:pos="1684"/>
        </w:tabs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protokołu z postępowania wyjaśniającego ustalającego okoliczności powstania szkody, sporządzonego przy udziale </w:t>
      </w:r>
      <w:r>
        <w:rPr>
          <w:rFonts w:ascii="Arial" w:hAnsi="Arial" w:cs="Arial"/>
          <w:lang w:val="pl-PL"/>
        </w:rPr>
        <w:t>przedstawicieli Stron umowy;</w:t>
      </w:r>
    </w:p>
    <w:p w14:paraId="4D30A407" w14:textId="77777777" w:rsidR="000A00B2" w:rsidRDefault="006D04BA">
      <w:pPr>
        <w:pStyle w:val="Akapitzlist"/>
        <w:widowControl/>
        <w:numPr>
          <w:ilvl w:val="0"/>
          <w:numId w:val="11"/>
        </w:numPr>
        <w:tabs>
          <w:tab w:val="left" w:pos="1684"/>
        </w:tabs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wartości odtworzeniowej utraconego mienia;</w:t>
      </w:r>
    </w:p>
    <w:p w14:paraId="5E118ADD" w14:textId="77777777" w:rsidR="000A00B2" w:rsidRDefault="006D04BA">
      <w:pPr>
        <w:pStyle w:val="Akapitzlist"/>
        <w:widowControl/>
        <w:numPr>
          <w:ilvl w:val="0"/>
          <w:numId w:val="11"/>
        </w:numPr>
        <w:tabs>
          <w:tab w:val="left" w:pos="1684"/>
        </w:tabs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lang w:val="pl-PL"/>
        </w:rPr>
        <w:t xml:space="preserve">protokołu ustalającego wysokość szkody, sporządzonego przy udziale stron umowy, </w:t>
      </w:r>
      <w:r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t>w wyniku oceny materiału dowodowego i innych okoliczności, wpływających na ocenę strat (np. strata wyni</w:t>
      </w:r>
      <w:r>
        <w:rPr>
          <w:rFonts w:ascii="Arial" w:hAnsi="Arial" w:cs="Arial"/>
          <w:lang w:val="pl-PL"/>
        </w:rPr>
        <w:t>kła z braku realizacji uzgodnionych czynności, poprawiających stan zabezpieczenia obiektów, pogorszenia stanu zabezpieczenia obiektów, nie wykonania przez strony pisemnie uzgodnionych zadań wpływających na bezpieczeństwo chronionego mienią - z uwzględnieni</w:t>
      </w:r>
      <w:r>
        <w:rPr>
          <w:rFonts w:ascii="Arial" w:hAnsi="Arial" w:cs="Arial"/>
          <w:lang w:val="pl-PL"/>
        </w:rPr>
        <w:t xml:space="preserve">em ustaleń organów ścigania bądź funkcjonariuszy innych służb </w:t>
      </w:r>
      <w:r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t>i straży, jeśli takie ustalenia poczyniono) - protokół podpisują przedstawiciele Stron umowy;</w:t>
      </w:r>
    </w:p>
    <w:p w14:paraId="620936D2" w14:textId="77777777" w:rsidR="000A00B2" w:rsidRDefault="006D04BA">
      <w:pPr>
        <w:pStyle w:val="Akapitzlist"/>
        <w:widowControl/>
        <w:numPr>
          <w:ilvl w:val="0"/>
          <w:numId w:val="11"/>
        </w:numPr>
        <w:tabs>
          <w:tab w:val="left" w:pos="1684"/>
        </w:tabs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noty obciążeniowej za poniesione straty, wystawionej na podstawie protokołu uzgodnień stron.</w:t>
      </w:r>
    </w:p>
    <w:p w14:paraId="1688FDC5" w14:textId="77777777" w:rsidR="000A00B2" w:rsidRDefault="006D04BA">
      <w:pPr>
        <w:pStyle w:val="Akapitzlist"/>
        <w:widowControl/>
        <w:numPr>
          <w:ilvl w:val="0"/>
          <w:numId w:val="11"/>
        </w:numPr>
        <w:tabs>
          <w:tab w:val="left" w:pos="1684"/>
        </w:tabs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Nota </w:t>
      </w:r>
      <w:r>
        <w:rPr>
          <w:rFonts w:ascii="Arial" w:hAnsi="Arial" w:cs="Arial"/>
          <w:lang w:val="pl-PL"/>
        </w:rPr>
        <w:t>obciążeniowa za straty w mieniu może być wystawiona przez Zamawiającego wyłącznie na podstawie skompletowanych dokumentów, określonych w niniejszym załączniku.</w:t>
      </w:r>
    </w:p>
    <w:p w14:paraId="207C1C20" w14:textId="77777777" w:rsidR="000A00B2" w:rsidRDefault="006D04BA">
      <w:pPr>
        <w:pStyle w:val="Akapitzlist"/>
        <w:widowControl/>
        <w:numPr>
          <w:ilvl w:val="0"/>
          <w:numId w:val="11"/>
        </w:numPr>
        <w:tabs>
          <w:tab w:val="left" w:pos="1684"/>
        </w:tabs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Wykonawca zobowiązuje się przelać na rachunek Zamawiającego kwotę wynikającą </w:t>
      </w:r>
      <w:r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t>z wystawionej not</w:t>
      </w:r>
      <w:r>
        <w:rPr>
          <w:rFonts w:ascii="Arial" w:hAnsi="Arial" w:cs="Arial"/>
          <w:lang w:val="pl-PL"/>
        </w:rPr>
        <w:t>y obciążeniowej w terminie 14 dni od daty jej wystawienia.</w:t>
      </w:r>
    </w:p>
    <w:p w14:paraId="544FBBE2" w14:textId="77777777" w:rsidR="000A00B2" w:rsidRDefault="006D04BA">
      <w:pPr>
        <w:pStyle w:val="Akapitzlist"/>
        <w:widowControl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Procedura postępowania z kluczami do pomieszczeń szpitala – dotycząca pracowników ochrony/portierni.</w:t>
      </w:r>
    </w:p>
    <w:p w14:paraId="11E7B927" w14:textId="77777777" w:rsidR="000A00B2" w:rsidRDefault="006D04BA">
      <w:pPr>
        <w:pStyle w:val="Standard"/>
        <w:widowControl/>
        <w:numPr>
          <w:ilvl w:val="0"/>
          <w:numId w:val="12"/>
        </w:numPr>
        <w:ind w:left="0" w:firstLine="283"/>
        <w:jc w:val="both"/>
        <w:rPr>
          <w:rFonts w:ascii="Arial" w:hAnsi="Arial" w:cs="Arial"/>
          <w:lang w:val="pl-PL" w:eastAsia="ja-JP" w:bidi="fa-IR"/>
        </w:rPr>
      </w:pPr>
      <w:r>
        <w:rPr>
          <w:rFonts w:ascii="Arial" w:hAnsi="Arial" w:cs="Arial"/>
          <w:lang w:val="pl-PL" w:eastAsia="ja-JP" w:bidi="fa-IR"/>
        </w:rPr>
        <w:t>Pracownik pełniący dyżur na portierni szpitala zobowiązany jest do ścisłego nadzorowania procesu</w:t>
      </w:r>
      <w:r>
        <w:rPr>
          <w:rFonts w:ascii="Arial" w:hAnsi="Arial" w:cs="Arial"/>
          <w:lang w:val="pl-PL" w:eastAsia="ja-JP" w:bidi="fa-IR"/>
        </w:rPr>
        <w:t xml:space="preserve"> pobierania i oddawania kluczy przez pracowników do tego upoważnionych.</w:t>
      </w:r>
    </w:p>
    <w:p w14:paraId="01B6BDCD" w14:textId="77777777" w:rsidR="000A00B2" w:rsidRDefault="006D04BA">
      <w:pPr>
        <w:pStyle w:val="Standard"/>
        <w:widowControl/>
        <w:numPr>
          <w:ilvl w:val="0"/>
          <w:numId w:val="12"/>
        </w:numPr>
        <w:ind w:left="340" w:firstLine="0"/>
        <w:jc w:val="both"/>
        <w:rPr>
          <w:rFonts w:ascii="Arial" w:hAnsi="Arial" w:cs="Arial"/>
          <w:lang w:val="pl-PL" w:eastAsia="ja-JP" w:bidi="fa-IR"/>
        </w:rPr>
      </w:pPr>
      <w:r>
        <w:rPr>
          <w:rFonts w:ascii="Arial" w:hAnsi="Arial" w:cs="Arial"/>
          <w:lang w:val="pl-PL" w:eastAsia="ja-JP" w:bidi="fa-IR"/>
        </w:rPr>
        <w:t>Każdorazowe wydawanie kluczy musi odbywać się przy udziale pracownika portierni.</w:t>
      </w:r>
    </w:p>
    <w:p w14:paraId="5A9C1087" w14:textId="77777777" w:rsidR="000A00B2" w:rsidRDefault="006D04BA">
      <w:pPr>
        <w:pStyle w:val="Standard"/>
        <w:widowControl/>
        <w:numPr>
          <w:ilvl w:val="0"/>
          <w:numId w:val="12"/>
        </w:numPr>
        <w:ind w:left="510" w:firstLine="0"/>
        <w:rPr>
          <w:rFonts w:ascii="Arial" w:hAnsi="Arial" w:cs="Arial"/>
          <w:lang w:val="pl-PL" w:eastAsia="ja-JP" w:bidi="fa-IR"/>
        </w:rPr>
      </w:pPr>
      <w:r>
        <w:rPr>
          <w:rFonts w:ascii="Arial" w:hAnsi="Arial" w:cs="Arial"/>
          <w:lang w:val="pl-PL" w:eastAsia="ja-JP" w:bidi="fa-IR"/>
        </w:rPr>
        <w:t>Niedopuszczalne jest samodzielne pobieranie kluczy przez pracowników szpitala.</w:t>
      </w:r>
    </w:p>
    <w:p w14:paraId="3032E795" w14:textId="77777777" w:rsidR="000A00B2" w:rsidRDefault="006D04BA">
      <w:pPr>
        <w:pStyle w:val="Standard"/>
        <w:widowControl/>
        <w:numPr>
          <w:ilvl w:val="0"/>
          <w:numId w:val="12"/>
        </w:numPr>
        <w:ind w:left="454" w:firstLine="0"/>
        <w:rPr>
          <w:rFonts w:ascii="Arial" w:hAnsi="Arial" w:cs="Arial"/>
          <w:lang w:val="pl-PL" w:eastAsia="ja-JP" w:bidi="fa-IR"/>
        </w:rPr>
      </w:pPr>
      <w:r>
        <w:rPr>
          <w:rFonts w:ascii="Arial" w:hAnsi="Arial" w:cs="Arial"/>
          <w:lang w:val="pl-PL" w:eastAsia="ja-JP" w:bidi="fa-IR"/>
        </w:rPr>
        <w:t>Pracownik portierni uzup</w:t>
      </w:r>
      <w:r>
        <w:rPr>
          <w:rFonts w:ascii="Arial" w:hAnsi="Arial" w:cs="Arial"/>
          <w:lang w:val="pl-PL" w:eastAsia="ja-JP" w:bidi="fa-IR"/>
        </w:rPr>
        <w:t xml:space="preserve">ełnia wszystkie informacje związane z nieprawidłowościami </w:t>
      </w:r>
      <w:r>
        <w:rPr>
          <w:rFonts w:ascii="Arial" w:hAnsi="Arial" w:cs="Arial"/>
          <w:lang w:val="pl-PL" w:eastAsia="ja-JP" w:bidi="fa-IR"/>
        </w:rPr>
        <w:br/>
      </w:r>
      <w:r>
        <w:rPr>
          <w:rFonts w:ascii="Arial" w:hAnsi="Arial" w:cs="Arial"/>
          <w:lang w:val="pl-PL" w:eastAsia="ja-JP" w:bidi="fa-IR"/>
        </w:rPr>
        <w:t>w książkach/dokumentach:</w:t>
      </w:r>
    </w:p>
    <w:p w14:paraId="2BEB161F" w14:textId="77777777" w:rsidR="000A00B2" w:rsidRDefault="006D04BA">
      <w:pPr>
        <w:pStyle w:val="Akapitzlist"/>
        <w:widowControl/>
        <w:numPr>
          <w:ilvl w:val="0"/>
          <w:numId w:val="13"/>
        </w:numPr>
        <w:spacing w:after="0" w:line="240" w:lineRule="auto"/>
        <w:rPr>
          <w:rFonts w:ascii="Arial" w:hAnsi="Arial" w:cs="Arial"/>
          <w:lang w:val="pl-PL" w:eastAsia="ja-JP"/>
        </w:rPr>
      </w:pPr>
      <w:r>
        <w:rPr>
          <w:rFonts w:ascii="Arial" w:hAnsi="Arial" w:cs="Arial"/>
          <w:lang w:val="pl-PL" w:eastAsia="ja-JP"/>
        </w:rPr>
        <w:t>książka raportów portierskich,</w:t>
      </w:r>
    </w:p>
    <w:p w14:paraId="74BC78AD" w14:textId="77777777" w:rsidR="000A00B2" w:rsidRDefault="006D04BA">
      <w:pPr>
        <w:pStyle w:val="Akapitzlist"/>
        <w:widowControl/>
        <w:numPr>
          <w:ilvl w:val="0"/>
          <w:numId w:val="13"/>
        </w:numPr>
        <w:spacing w:after="0" w:line="240" w:lineRule="auto"/>
        <w:rPr>
          <w:rFonts w:ascii="Arial" w:hAnsi="Arial" w:cs="Arial"/>
          <w:lang w:val="pl-PL" w:eastAsia="ja-JP"/>
        </w:rPr>
      </w:pPr>
      <w:r>
        <w:rPr>
          <w:rFonts w:ascii="Arial" w:hAnsi="Arial" w:cs="Arial"/>
          <w:lang w:val="pl-PL" w:eastAsia="ja-JP"/>
        </w:rPr>
        <w:t>książka wydawania kluczy,</w:t>
      </w:r>
    </w:p>
    <w:p w14:paraId="7D6E87BE" w14:textId="77777777" w:rsidR="000A00B2" w:rsidRDefault="006D04BA">
      <w:pPr>
        <w:pStyle w:val="Standard"/>
        <w:widowControl/>
        <w:numPr>
          <w:ilvl w:val="0"/>
          <w:numId w:val="12"/>
        </w:numPr>
        <w:ind w:left="397" w:firstLine="0"/>
        <w:rPr>
          <w:rFonts w:ascii="Arial" w:hAnsi="Arial" w:cs="Arial"/>
          <w:lang w:val="pl-PL" w:eastAsia="ja-JP" w:bidi="fa-IR"/>
        </w:rPr>
      </w:pPr>
      <w:r>
        <w:rPr>
          <w:rFonts w:ascii="Arial" w:hAnsi="Arial" w:cs="Arial"/>
          <w:lang w:val="pl-PL" w:eastAsia="ja-JP" w:bidi="fa-IR"/>
        </w:rPr>
        <w:t>Pracownik pełniący dyżur na portierni zobowiązany jest pod rygorem kar nałożonych na Wykonawcę, do każdorazowego wy</w:t>
      </w:r>
      <w:r>
        <w:rPr>
          <w:rFonts w:ascii="Arial" w:hAnsi="Arial" w:cs="Arial"/>
          <w:lang w:val="pl-PL" w:eastAsia="ja-JP" w:bidi="fa-IR"/>
        </w:rPr>
        <w:t xml:space="preserve">legitymowania pracownika chcącego pobrać klucze, ustalenie jego upoważnienia, dopilnowanie, aby pracownik szpitala pobierający klucze dokonał czytelnego wpisu do książki </w:t>
      </w:r>
      <w:r>
        <w:rPr>
          <w:rFonts w:ascii="Arial" w:hAnsi="Arial" w:cs="Arial"/>
          <w:lang w:val="pl-PL" w:eastAsia="ja-JP" w:bidi="fa-IR"/>
        </w:rPr>
        <w:lastRenderedPageBreak/>
        <w:t>wydawania kluczy, a pracownik pełniący dyżur na portierni potwierdził wydanie kluczy s</w:t>
      </w:r>
      <w:r>
        <w:rPr>
          <w:rFonts w:ascii="Arial" w:hAnsi="Arial" w:cs="Arial"/>
          <w:lang w:val="pl-PL" w:eastAsia="ja-JP" w:bidi="fa-IR"/>
        </w:rPr>
        <w:t>woją parafką.</w:t>
      </w:r>
    </w:p>
    <w:p w14:paraId="145A90D1" w14:textId="77777777" w:rsidR="000A00B2" w:rsidRDefault="006D04BA">
      <w:pPr>
        <w:pStyle w:val="Standard"/>
        <w:widowControl/>
        <w:numPr>
          <w:ilvl w:val="0"/>
          <w:numId w:val="12"/>
        </w:numPr>
        <w:ind w:left="454" w:firstLine="0"/>
        <w:rPr>
          <w:rFonts w:ascii="Arial" w:hAnsi="Arial" w:cs="Arial"/>
          <w:lang w:val="pl-PL" w:eastAsia="ja-JP" w:bidi="fa-IR"/>
        </w:rPr>
      </w:pPr>
      <w:r>
        <w:rPr>
          <w:rFonts w:ascii="Arial" w:hAnsi="Arial" w:cs="Arial"/>
          <w:lang w:val="pl-PL" w:eastAsia="ja-JP" w:bidi="fa-IR"/>
        </w:rPr>
        <w:t xml:space="preserve">Pracownik pełniący dyżur na portierni ma obowiązek zgłaszania kierownikowi DAG każde niepożądane zdarzenie związane z nadzorem nad kluczami oraz każde otwarcie zalakowanej koperty z kluczem do sejfu z zapasowymi kluczami do </w:t>
      </w:r>
      <w:r>
        <w:rPr>
          <w:rFonts w:ascii="Arial" w:hAnsi="Arial" w:cs="Arial"/>
          <w:lang w:val="pl-PL" w:eastAsia="ja-JP" w:bidi="fa-IR"/>
        </w:rPr>
        <w:t>pomieszczeń służbowych- przekazanie otwartej koperty do ponownego zalakowania.</w:t>
      </w:r>
    </w:p>
    <w:p w14:paraId="71726116" w14:textId="77777777" w:rsidR="000A00B2" w:rsidRDefault="006D04BA">
      <w:pPr>
        <w:pStyle w:val="Standard"/>
        <w:widowControl/>
        <w:numPr>
          <w:ilvl w:val="0"/>
          <w:numId w:val="12"/>
        </w:numPr>
        <w:rPr>
          <w:rFonts w:ascii="Arial" w:hAnsi="Arial" w:cs="Arial"/>
          <w:lang w:val="pl-PL" w:eastAsia="ja-JP" w:bidi="fa-IR"/>
        </w:rPr>
      </w:pPr>
      <w:r>
        <w:rPr>
          <w:rFonts w:ascii="Arial" w:hAnsi="Arial" w:cs="Arial"/>
          <w:lang w:val="pl-PL" w:eastAsia="ja-JP" w:bidi="fa-IR"/>
        </w:rPr>
        <w:t>Pracownik pełniący dyżur na portierni ma obowiązek sprawdzenie stanu ilościowego kluczy od pomieszczeń służbowych - zinwentaryzowania ich, po oddaniu kluczy przez pracowników sz</w:t>
      </w:r>
      <w:r>
        <w:rPr>
          <w:rFonts w:ascii="Arial" w:hAnsi="Arial" w:cs="Arial"/>
          <w:lang w:val="pl-PL" w:eastAsia="ja-JP" w:bidi="fa-IR"/>
        </w:rPr>
        <w:t>pitala (w godzinach popołudniowych) oraz przy przekazywaniu raportu zmiennikowi.</w:t>
      </w:r>
    </w:p>
    <w:p w14:paraId="4C038DEA" w14:textId="77777777" w:rsidR="000A00B2" w:rsidRDefault="006D04BA">
      <w:pPr>
        <w:pStyle w:val="Standard"/>
        <w:widowControl/>
        <w:numPr>
          <w:ilvl w:val="0"/>
          <w:numId w:val="12"/>
        </w:numPr>
        <w:rPr>
          <w:rFonts w:ascii="Arial" w:hAnsi="Arial" w:cs="Arial"/>
          <w:lang w:val="pl-PL" w:eastAsia="ja-JP" w:bidi="fa-IR"/>
        </w:rPr>
      </w:pPr>
      <w:r>
        <w:rPr>
          <w:rFonts w:ascii="Arial" w:hAnsi="Arial" w:cs="Arial"/>
          <w:lang w:val="pl-PL" w:eastAsia="ja-JP" w:bidi="fa-IR"/>
        </w:rPr>
        <w:t>Przy wykryciu jakichkolwiek niezgodności co do ilości zwróconych przez pracowników szpitala kluczy, pracownik pełniący dyżur na portierni ma obowiązek przekazania informacji o</w:t>
      </w:r>
      <w:r>
        <w:rPr>
          <w:rFonts w:ascii="Arial" w:hAnsi="Arial" w:cs="Arial"/>
          <w:lang w:val="pl-PL" w:eastAsia="ja-JP" w:bidi="fa-IR"/>
        </w:rPr>
        <w:t xml:space="preserve"> braku kluczy zmiennikowi, tak aby następnego dnia roboczego informacja niezwłocznie została przekazana do kierownika DAG.</w:t>
      </w:r>
    </w:p>
    <w:p w14:paraId="3F682CD7" w14:textId="77777777" w:rsidR="000A00B2" w:rsidRDefault="006D04BA">
      <w:pPr>
        <w:pStyle w:val="Standard"/>
        <w:widowControl/>
        <w:numPr>
          <w:ilvl w:val="0"/>
          <w:numId w:val="12"/>
        </w:numPr>
        <w:rPr>
          <w:rFonts w:ascii="Arial" w:hAnsi="Arial" w:cs="Arial"/>
          <w:lang w:val="pl-PL" w:eastAsia="ja-JP" w:bidi="fa-IR"/>
        </w:rPr>
      </w:pPr>
      <w:r>
        <w:rPr>
          <w:rFonts w:ascii="Arial" w:hAnsi="Arial" w:cs="Arial"/>
          <w:lang w:val="pl-PL" w:eastAsia="ja-JP" w:bidi="fa-IR"/>
        </w:rPr>
        <w:t xml:space="preserve">O wszystkich niezgodnościach pracownik pełniący dyżur na portierni informuje kierownika DAG.   </w:t>
      </w:r>
    </w:p>
    <w:p w14:paraId="1A8CFDFD" w14:textId="77777777" w:rsidR="000A00B2" w:rsidRDefault="000A00B2">
      <w:pPr>
        <w:pStyle w:val="Standard"/>
        <w:widowControl/>
        <w:rPr>
          <w:lang w:val="pl-PL" w:eastAsia="ja-JP" w:bidi="fa-IR"/>
        </w:rPr>
      </w:pPr>
    </w:p>
    <w:p w14:paraId="2DF88A22" w14:textId="77777777" w:rsidR="000A00B2" w:rsidRDefault="000A00B2">
      <w:pPr>
        <w:pStyle w:val="Standard"/>
        <w:widowControl/>
        <w:tabs>
          <w:tab w:val="left" w:pos="900"/>
        </w:tabs>
        <w:ind w:left="360"/>
        <w:rPr>
          <w:rFonts w:ascii="Arial" w:hAnsi="Arial" w:cs="Arial"/>
          <w:b/>
          <w:bCs/>
          <w:u w:val="single"/>
          <w:lang w:val="pl-PL"/>
        </w:rPr>
      </w:pPr>
    </w:p>
    <w:p w14:paraId="32D80F2C" w14:textId="77777777" w:rsidR="000A00B2" w:rsidRDefault="000A00B2">
      <w:pPr>
        <w:pStyle w:val="Standard"/>
        <w:widowControl/>
        <w:rPr>
          <w:rFonts w:ascii="Arial" w:hAnsi="Arial" w:cs="Arial"/>
          <w:b/>
          <w:color w:val="FF0000"/>
          <w:lang w:val="pl-PL"/>
        </w:rPr>
      </w:pPr>
    </w:p>
    <w:sectPr w:rsidR="000A00B2">
      <w:headerReference w:type="default" r:id="rId7"/>
      <w:pgSz w:w="11905" w:h="16837"/>
      <w:pgMar w:top="1134" w:right="1134" w:bottom="1134" w:left="15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2824E" w14:textId="77777777" w:rsidR="00000000" w:rsidRDefault="006D04BA">
      <w:r>
        <w:separator/>
      </w:r>
    </w:p>
  </w:endnote>
  <w:endnote w:type="continuationSeparator" w:id="0">
    <w:p w14:paraId="6BB75E75" w14:textId="77777777" w:rsidR="00000000" w:rsidRDefault="006D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4240F" w14:textId="77777777" w:rsidR="00000000" w:rsidRDefault="006D04BA">
      <w:r>
        <w:rPr>
          <w:color w:val="000000"/>
        </w:rPr>
        <w:ptab w:relativeTo="margin" w:alignment="center" w:leader="none"/>
      </w:r>
    </w:p>
  </w:footnote>
  <w:footnote w:type="continuationSeparator" w:id="0">
    <w:p w14:paraId="74A1F092" w14:textId="77777777" w:rsidR="00000000" w:rsidRDefault="006D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DB134" w14:textId="77777777" w:rsidR="002931D6" w:rsidRDefault="006D04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D736F"/>
    <w:multiLevelType w:val="multilevel"/>
    <w:tmpl w:val="5F90A2A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14DB526A"/>
    <w:multiLevelType w:val="multilevel"/>
    <w:tmpl w:val="EE3290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B1F3AD7"/>
    <w:multiLevelType w:val="multilevel"/>
    <w:tmpl w:val="242887F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C3C5E44"/>
    <w:multiLevelType w:val="multilevel"/>
    <w:tmpl w:val="51AEF63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C692338"/>
    <w:multiLevelType w:val="multilevel"/>
    <w:tmpl w:val="A998BB56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)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)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)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)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)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)"/>
      <w:lvlJc w:val="left"/>
      <w:pPr>
        <w:ind w:left="3600" w:hanging="360"/>
      </w:pPr>
      <w:rPr>
        <w:b/>
        <w:bCs/>
      </w:rPr>
    </w:lvl>
  </w:abstractNum>
  <w:abstractNum w:abstractNumId="5" w15:restartNumberingAfterBreak="0">
    <w:nsid w:val="24313369"/>
    <w:multiLevelType w:val="multilevel"/>
    <w:tmpl w:val="DB6E8CB4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3C413DC3"/>
    <w:multiLevelType w:val="multilevel"/>
    <w:tmpl w:val="24DC684A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453E2210"/>
    <w:multiLevelType w:val="multilevel"/>
    <w:tmpl w:val="EE20FB26"/>
    <w:lvl w:ilvl="0">
      <w:start w:val="5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A4D2FB9"/>
    <w:multiLevelType w:val="multilevel"/>
    <w:tmpl w:val="F9F49150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2316D63"/>
    <w:multiLevelType w:val="multilevel"/>
    <w:tmpl w:val="86FE1D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54B9153B"/>
    <w:multiLevelType w:val="multilevel"/>
    <w:tmpl w:val="7E8420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571B00CE"/>
    <w:multiLevelType w:val="multilevel"/>
    <w:tmpl w:val="F8FC9C4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5CEC0933"/>
    <w:multiLevelType w:val="multilevel"/>
    <w:tmpl w:val="4DDA11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1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00B2"/>
    <w:rsid w:val="000A00B2"/>
    <w:rsid w:val="006D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83FE"/>
  <w15:docId w15:val="{7F284660-EEBB-4D47-8D50-FFA87C4F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3">
    <w:name w:val="ListLabel 13"/>
    <w:rPr>
      <w:rFonts w:cs="Times New Roman"/>
      <w:color w:val="00000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14">
    <w:name w:val="ListLabel 14"/>
    <w:rPr>
      <w:rFonts w:eastAsia="Times New Roman" w:cs="Arial"/>
    </w:rPr>
  </w:style>
  <w:style w:type="character" w:customStyle="1" w:styleId="ListLabel15">
    <w:name w:val="ListLabel 15"/>
    <w:rPr>
      <w:b/>
    </w:rPr>
  </w:style>
  <w:style w:type="character" w:customStyle="1" w:styleId="ListLabel16">
    <w:name w:val="ListLabel 16"/>
    <w:rPr>
      <w:rFonts w:eastAsia="Times New Roman" w:cs="Arial"/>
      <w:b/>
    </w:rPr>
  </w:style>
  <w:style w:type="character" w:customStyle="1" w:styleId="ListLabel17">
    <w:name w:val="ListLabel 17"/>
    <w:rPr>
      <w:b/>
      <w:u w:val="none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2160</Words>
  <Characters>12965</Characters>
  <Application>Microsoft Office Word</Application>
  <DocSecurity>4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</dc:creator>
  <cp:lastModifiedBy>Szpital im. J. Dietla w Krakowie</cp:lastModifiedBy>
  <cp:revision>2</cp:revision>
  <dcterms:created xsi:type="dcterms:W3CDTF">2020-08-25T12:03:00Z</dcterms:created>
  <dcterms:modified xsi:type="dcterms:W3CDTF">2020-08-25T12:03:00Z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