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A883" w14:textId="698C44A8" w:rsidR="00760A7D" w:rsidRPr="00760A7D" w:rsidRDefault="00760A7D" w:rsidP="0072110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0A7D">
        <w:rPr>
          <w:rFonts w:asciiTheme="minorHAnsi" w:hAnsiTheme="minorHAnsi" w:cstheme="minorHAnsi"/>
          <w:b/>
          <w:bCs/>
          <w:sz w:val="24"/>
          <w:szCs w:val="24"/>
        </w:rPr>
        <w:t>ZP/74/2024</w:t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ab/>
        <w:t>załącznik 2 do SWZ</w:t>
      </w:r>
    </w:p>
    <w:p w14:paraId="6E15EA6C" w14:textId="03D30371" w:rsidR="00760A7D" w:rsidRPr="00760A7D" w:rsidRDefault="00760A7D" w:rsidP="00760A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0A7D">
        <w:rPr>
          <w:rFonts w:asciiTheme="minorHAnsi" w:hAnsiTheme="minorHAnsi" w:cstheme="minorHAnsi"/>
          <w:b/>
          <w:bCs/>
          <w:sz w:val="24"/>
          <w:szCs w:val="24"/>
        </w:rPr>
        <w:t>OPIS PRZEDMIOTU ZAMÓWIENIA – PARAMETRY TECHNICZNE</w:t>
      </w:r>
    </w:p>
    <w:p w14:paraId="70C5D319" w14:textId="782D7AF5" w:rsidR="00721103" w:rsidRPr="00760A7D" w:rsidRDefault="00721103" w:rsidP="00760A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0A7D">
        <w:rPr>
          <w:rFonts w:asciiTheme="minorHAnsi" w:hAnsiTheme="minorHAnsi" w:cstheme="minorHAnsi"/>
          <w:b/>
          <w:bCs/>
          <w:sz w:val="24"/>
          <w:szCs w:val="24"/>
        </w:rPr>
        <w:t xml:space="preserve">PLATFORMA DO </w:t>
      </w:r>
      <w:r w:rsidR="00760A7D" w:rsidRPr="00760A7D">
        <w:rPr>
          <w:rFonts w:asciiTheme="minorHAnsi" w:hAnsiTheme="minorHAnsi" w:cstheme="minorHAnsi"/>
          <w:b/>
          <w:bCs/>
          <w:sz w:val="24"/>
          <w:szCs w:val="24"/>
        </w:rPr>
        <w:t xml:space="preserve">POMIARÓW </w:t>
      </w:r>
      <w:r w:rsidRPr="00760A7D">
        <w:rPr>
          <w:rFonts w:asciiTheme="minorHAnsi" w:hAnsiTheme="minorHAnsi" w:cstheme="minorHAnsi"/>
          <w:b/>
          <w:bCs/>
          <w:sz w:val="24"/>
          <w:szCs w:val="24"/>
        </w:rPr>
        <w:t>HEMODYNAMICZNYCH</w:t>
      </w:r>
    </w:p>
    <w:tbl>
      <w:tblPr>
        <w:tblW w:w="56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6407"/>
        <w:gridCol w:w="1418"/>
        <w:gridCol w:w="1701"/>
      </w:tblGrid>
      <w:tr w:rsidR="00721103" w:rsidRPr="00760A7D" w14:paraId="376D297E" w14:textId="69F9762E" w:rsidTr="0029760C">
        <w:trPr>
          <w:trHeight w:val="686"/>
        </w:trPr>
        <w:tc>
          <w:tcPr>
            <w:tcW w:w="681" w:type="dxa"/>
            <w:vAlign w:val="center"/>
          </w:tcPr>
          <w:p w14:paraId="0C0F7EC8" w14:textId="4C68E69F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407" w:type="dxa"/>
          </w:tcPr>
          <w:p w14:paraId="497F65B2" w14:textId="6113FAD4" w:rsidR="00721103" w:rsidRPr="00760A7D" w:rsidRDefault="00760A7D" w:rsidP="00E065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Opis parametrów</w:t>
            </w:r>
          </w:p>
        </w:tc>
        <w:tc>
          <w:tcPr>
            <w:tcW w:w="1418" w:type="dxa"/>
          </w:tcPr>
          <w:p w14:paraId="07D10F0F" w14:textId="3CF30FA3" w:rsidR="00721103" w:rsidRPr="00760A7D" w:rsidRDefault="00760A7D" w:rsidP="00E065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Parametry </w:t>
            </w:r>
            <w:r w:rsidR="007B2E6E" w:rsidRPr="00760A7D">
              <w:rPr>
                <w:rFonts w:asciiTheme="minorHAnsi" w:hAnsiTheme="minorHAnsi" w:cstheme="minorHAnsi"/>
                <w:b/>
                <w:sz w:val="24"/>
                <w:szCs w:val="24"/>
              </w:rPr>
              <w:t>wymagane</w:t>
            </w:r>
          </w:p>
        </w:tc>
        <w:tc>
          <w:tcPr>
            <w:tcW w:w="1701" w:type="dxa"/>
          </w:tcPr>
          <w:p w14:paraId="2237A7DE" w14:textId="6523A4B7" w:rsidR="00721103" w:rsidRPr="00760A7D" w:rsidRDefault="00721103" w:rsidP="00E065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b/>
                <w:sz w:val="24"/>
                <w:szCs w:val="24"/>
              </w:rPr>
              <w:t>Parametry oferowane</w:t>
            </w:r>
          </w:p>
        </w:tc>
      </w:tr>
      <w:tr w:rsidR="0029760C" w:rsidRPr="0029760C" w14:paraId="223EB173" w14:textId="77777777" w:rsidTr="0029760C">
        <w:trPr>
          <w:trHeight w:val="425"/>
        </w:trPr>
        <w:tc>
          <w:tcPr>
            <w:tcW w:w="681" w:type="dxa"/>
            <w:vAlign w:val="center"/>
          </w:tcPr>
          <w:p w14:paraId="13526547" w14:textId="6ABFE9DF" w:rsidR="0029760C" w:rsidRPr="0029760C" w:rsidRDefault="0029760C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407" w:type="dxa"/>
          </w:tcPr>
          <w:p w14:paraId="5B0415C1" w14:textId="5F500F92" w:rsidR="0029760C" w:rsidRPr="0029760C" w:rsidRDefault="0029760C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Nazwa urządzenia/model</w:t>
            </w:r>
          </w:p>
        </w:tc>
        <w:tc>
          <w:tcPr>
            <w:tcW w:w="1418" w:type="dxa"/>
          </w:tcPr>
          <w:p w14:paraId="46C37976" w14:textId="1FD5E70D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</w:p>
        </w:tc>
        <w:tc>
          <w:tcPr>
            <w:tcW w:w="1701" w:type="dxa"/>
          </w:tcPr>
          <w:p w14:paraId="5417705E" w14:textId="7777777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60C" w:rsidRPr="0029760C" w14:paraId="2CA3FB43" w14:textId="77777777" w:rsidTr="0029760C">
        <w:trPr>
          <w:trHeight w:val="447"/>
        </w:trPr>
        <w:tc>
          <w:tcPr>
            <w:tcW w:w="681" w:type="dxa"/>
            <w:vAlign w:val="center"/>
          </w:tcPr>
          <w:p w14:paraId="67B31F90" w14:textId="5F7BFEAE" w:rsidR="0029760C" w:rsidRPr="0029760C" w:rsidRDefault="0029760C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6407" w:type="dxa"/>
          </w:tcPr>
          <w:p w14:paraId="5DCEC980" w14:textId="22CC2B0B" w:rsidR="0029760C" w:rsidRPr="0029760C" w:rsidRDefault="0029760C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1418" w:type="dxa"/>
          </w:tcPr>
          <w:p w14:paraId="61152CCF" w14:textId="76DCF434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odać</w:t>
            </w:r>
          </w:p>
        </w:tc>
        <w:tc>
          <w:tcPr>
            <w:tcW w:w="1701" w:type="dxa"/>
          </w:tcPr>
          <w:p w14:paraId="0464DDF7" w14:textId="7777777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60C" w:rsidRPr="0029760C" w14:paraId="47B1C947" w14:textId="77777777" w:rsidTr="0029760C">
        <w:trPr>
          <w:trHeight w:val="469"/>
        </w:trPr>
        <w:tc>
          <w:tcPr>
            <w:tcW w:w="681" w:type="dxa"/>
            <w:vAlign w:val="center"/>
          </w:tcPr>
          <w:p w14:paraId="45635A0B" w14:textId="32E63DEA" w:rsidR="0029760C" w:rsidRPr="0029760C" w:rsidRDefault="0029760C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6407" w:type="dxa"/>
          </w:tcPr>
          <w:p w14:paraId="0F823F53" w14:textId="2B8E587B" w:rsidR="0029760C" w:rsidRPr="0029760C" w:rsidRDefault="0029760C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Kraj pochodzenia</w:t>
            </w:r>
          </w:p>
        </w:tc>
        <w:tc>
          <w:tcPr>
            <w:tcW w:w="1418" w:type="dxa"/>
          </w:tcPr>
          <w:p w14:paraId="12C41923" w14:textId="38A21A1C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</w:p>
        </w:tc>
        <w:tc>
          <w:tcPr>
            <w:tcW w:w="1701" w:type="dxa"/>
          </w:tcPr>
          <w:p w14:paraId="08052038" w14:textId="7777777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60C" w:rsidRPr="0029760C" w14:paraId="28D1DFF2" w14:textId="77777777" w:rsidTr="0029760C">
        <w:trPr>
          <w:trHeight w:val="477"/>
        </w:trPr>
        <w:tc>
          <w:tcPr>
            <w:tcW w:w="681" w:type="dxa"/>
            <w:vAlign w:val="center"/>
          </w:tcPr>
          <w:p w14:paraId="17943E02" w14:textId="45E218A4" w:rsidR="0029760C" w:rsidRPr="0029760C" w:rsidRDefault="0029760C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6407" w:type="dxa"/>
          </w:tcPr>
          <w:p w14:paraId="2D1B99E9" w14:textId="62B33264" w:rsidR="0029760C" w:rsidRPr="0029760C" w:rsidRDefault="0029760C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Rok produkcji 2024</w:t>
            </w:r>
          </w:p>
        </w:tc>
        <w:tc>
          <w:tcPr>
            <w:tcW w:w="1418" w:type="dxa"/>
          </w:tcPr>
          <w:p w14:paraId="16EC488D" w14:textId="7821DA9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1A818F3" w14:textId="7777777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60C" w:rsidRPr="0029760C" w14:paraId="7A577A49" w14:textId="77777777" w:rsidTr="0029760C">
        <w:trPr>
          <w:trHeight w:val="357"/>
        </w:trPr>
        <w:tc>
          <w:tcPr>
            <w:tcW w:w="681" w:type="dxa"/>
            <w:vAlign w:val="center"/>
          </w:tcPr>
          <w:p w14:paraId="07AECE23" w14:textId="0DD8353B" w:rsidR="0029760C" w:rsidRPr="0029760C" w:rsidRDefault="0029760C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6407" w:type="dxa"/>
          </w:tcPr>
          <w:p w14:paraId="5826BB87" w14:textId="1FA75928" w:rsidR="0029760C" w:rsidRPr="0029760C" w:rsidRDefault="0029760C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418" w:type="dxa"/>
          </w:tcPr>
          <w:p w14:paraId="60F50754" w14:textId="5B3DE110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32700D3" w14:textId="7777777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60C" w:rsidRPr="0029760C" w14:paraId="5B00EC13" w14:textId="77777777" w:rsidTr="0029760C">
        <w:trPr>
          <w:trHeight w:val="686"/>
        </w:trPr>
        <w:tc>
          <w:tcPr>
            <w:tcW w:w="681" w:type="dxa"/>
            <w:vAlign w:val="center"/>
          </w:tcPr>
          <w:p w14:paraId="307B58DC" w14:textId="3A7ED041" w:rsidR="0029760C" w:rsidRPr="0029760C" w:rsidRDefault="0029760C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6407" w:type="dxa"/>
          </w:tcPr>
          <w:p w14:paraId="070CC0C6" w14:textId="0BB8A97A" w:rsidR="0029760C" w:rsidRPr="0029760C" w:rsidRDefault="0029760C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tzn.,</w:t>
            </w:r>
            <w:r w:rsidRPr="0029760C">
              <w:rPr>
                <w:rFonts w:asciiTheme="minorHAnsi" w:hAnsiTheme="minorHAnsi" w:cstheme="minorHAnsi"/>
              </w:rPr>
              <w:t xml:space="preserve"> </w:t>
            </w:r>
            <w:r w:rsidRPr="0029760C">
              <w:rPr>
                <w:rFonts w:asciiTheme="minorHAnsi" w:hAnsiTheme="minorHAnsi" w:cstheme="minorHAnsi"/>
              </w:rPr>
              <w:t xml:space="preserve">że oferowany sprzęt posiada wymogi określone w Ustawie z dnia 07.04.2022 r. o wyrobach medycznych (DZ.U 2022 poz. 974) oraz dyrektywami Unii Europejskiej  </w:t>
            </w:r>
          </w:p>
        </w:tc>
        <w:tc>
          <w:tcPr>
            <w:tcW w:w="1418" w:type="dxa"/>
          </w:tcPr>
          <w:p w14:paraId="0F4C1F09" w14:textId="039BA148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64F4B19" w14:textId="77777777" w:rsidR="0029760C" w:rsidRPr="0029760C" w:rsidRDefault="0029760C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29760C" w14:paraId="707D5FF3" w14:textId="4C2FAB5E" w:rsidTr="0029760C">
        <w:trPr>
          <w:trHeight w:val="686"/>
        </w:trPr>
        <w:tc>
          <w:tcPr>
            <w:tcW w:w="681" w:type="dxa"/>
            <w:vAlign w:val="center"/>
          </w:tcPr>
          <w:p w14:paraId="70406C93" w14:textId="77777777" w:rsidR="00721103" w:rsidRPr="0029760C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14:paraId="72924566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Platforma hemodynamiczna do pomiarów parametrów hemodynamicznych metodą analizy krzywej ciśnienia tętniczego krwi oraz </w:t>
            </w:r>
            <w:proofErr w:type="spellStart"/>
            <w:r w:rsidRPr="0029760C">
              <w:rPr>
                <w:rFonts w:asciiTheme="minorHAnsi" w:hAnsiTheme="minorHAnsi" w:cstheme="minorHAnsi"/>
              </w:rPr>
              <w:t>satuarcji</w:t>
            </w:r>
            <w:proofErr w:type="spellEnd"/>
            <w:r w:rsidRPr="0029760C">
              <w:rPr>
                <w:rFonts w:asciiTheme="minorHAnsi" w:hAnsiTheme="minorHAnsi" w:cstheme="minorHAnsi"/>
              </w:rPr>
              <w:t xml:space="preserve"> tkankowej.</w:t>
            </w:r>
          </w:p>
        </w:tc>
        <w:tc>
          <w:tcPr>
            <w:tcW w:w="1418" w:type="dxa"/>
          </w:tcPr>
          <w:p w14:paraId="53BF26E6" w14:textId="0B62141B" w:rsidR="00721103" w:rsidRPr="0029760C" w:rsidRDefault="005243CA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760C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BCE0612" w14:textId="77777777" w:rsidR="00721103" w:rsidRPr="0029760C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5C7AA80F" w14:textId="09CBC0FA" w:rsidTr="0029760C">
        <w:trPr>
          <w:trHeight w:val="931"/>
        </w:trPr>
        <w:tc>
          <w:tcPr>
            <w:tcW w:w="681" w:type="dxa"/>
            <w:vAlign w:val="center"/>
          </w:tcPr>
          <w:p w14:paraId="14D6DDE6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6407" w:type="dxa"/>
          </w:tcPr>
          <w:p w14:paraId="120B7455" w14:textId="77777777" w:rsidR="00721103" w:rsidRPr="0029760C" w:rsidRDefault="00721103" w:rsidP="00E06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Ocena hemodynamiczna układu krążenia wykorzystująca istniejącą krzywą ciśnienia tętniczego pacjenta do ciągłego pomiaru pojemności minutowej serca w oparciu o pomiar ciśnienia tętniczego.</w:t>
            </w:r>
          </w:p>
        </w:tc>
        <w:tc>
          <w:tcPr>
            <w:tcW w:w="1418" w:type="dxa"/>
          </w:tcPr>
          <w:p w14:paraId="3C04F0E6" w14:textId="01BC646E" w:rsidR="00721103" w:rsidRPr="00760A7D" w:rsidRDefault="005243CA" w:rsidP="00E0654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01" w:type="dxa"/>
          </w:tcPr>
          <w:p w14:paraId="68B6E187" w14:textId="77777777" w:rsidR="00721103" w:rsidRPr="00760A7D" w:rsidRDefault="00721103" w:rsidP="00E0654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21103" w:rsidRPr="00760A7D" w14:paraId="51B2DDA5" w14:textId="4AF6E669" w:rsidTr="0029760C">
        <w:trPr>
          <w:trHeight w:val="931"/>
        </w:trPr>
        <w:tc>
          <w:tcPr>
            <w:tcW w:w="681" w:type="dxa"/>
            <w:vAlign w:val="center"/>
          </w:tcPr>
          <w:p w14:paraId="688E36B7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6407" w:type="dxa"/>
          </w:tcPr>
          <w:p w14:paraId="32D60092" w14:textId="77777777" w:rsidR="00721103" w:rsidRPr="0029760C" w:rsidRDefault="00721103" w:rsidP="00E06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Możliwość rozbudowy o moduł do oceny hemodynamicznej układu krążenia metodą </w:t>
            </w:r>
            <w:proofErr w:type="spellStart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termodylucji</w:t>
            </w:r>
            <w:proofErr w:type="spellEnd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6E09EB4" w14:textId="77777777" w:rsidR="00721103" w:rsidRPr="0029760C" w:rsidRDefault="00721103" w:rsidP="0072110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 za pomocą cewnika Swan-</w:t>
            </w:r>
            <w:proofErr w:type="spellStart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Ganza</w:t>
            </w:r>
            <w:proofErr w:type="spellEnd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2354C0A" w14:textId="77777777" w:rsidR="00721103" w:rsidRPr="0029760C" w:rsidRDefault="00721103" w:rsidP="0072110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za pomocą cewnika Swan-</w:t>
            </w:r>
            <w:proofErr w:type="spellStart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Ganza</w:t>
            </w:r>
            <w:proofErr w:type="spellEnd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 CCO</w:t>
            </w:r>
          </w:p>
        </w:tc>
        <w:tc>
          <w:tcPr>
            <w:tcW w:w="1418" w:type="dxa"/>
          </w:tcPr>
          <w:p w14:paraId="542F6AB6" w14:textId="657150D1" w:rsidR="00721103" w:rsidRPr="00760A7D" w:rsidRDefault="005243CA" w:rsidP="00E0654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1701" w:type="dxa"/>
          </w:tcPr>
          <w:p w14:paraId="7CF23956" w14:textId="77777777" w:rsidR="00721103" w:rsidRPr="00760A7D" w:rsidRDefault="00721103" w:rsidP="00E0654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21103" w:rsidRPr="00760A7D" w14:paraId="10B7E63B" w14:textId="738E875C" w:rsidTr="0029760C">
        <w:trPr>
          <w:trHeight w:val="686"/>
        </w:trPr>
        <w:tc>
          <w:tcPr>
            <w:tcW w:w="681" w:type="dxa"/>
            <w:vAlign w:val="center"/>
          </w:tcPr>
          <w:p w14:paraId="55EDDDC1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6407" w:type="dxa"/>
          </w:tcPr>
          <w:p w14:paraId="21612BA7" w14:textId="77777777" w:rsidR="00721103" w:rsidRPr="0029760C" w:rsidRDefault="00721103" w:rsidP="00E06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Ciągły pomiar parametrów hemodynamicznych za pomocą mankietów na palec wykorzystujących metodę Volume </w:t>
            </w:r>
            <w:proofErr w:type="spellStart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Clamp</w:t>
            </w:r>
            <w:proofErr w:type="spellEnd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 (zaciśniętej objętości). </w:t>
            </w:r>
          </w:p>
          <w:p w14:paraId="27D466C8" w14:textId="77777777" w:rsidR="00721103" w:rsidRPr="0029760C" w:rsidRDefault="00721103" w:rsidP="00E06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Algorytm wykorzystuje zaawansowane metody przetwarzania w celu zrekonstruowania krzywej ciśnienia w tętnicy w palcu do krzywej ciśnienia tętniczego w tętnicy promieniowej.</w:t>
            </w:r>
          </w:p>
          <w:p w14:paraId="1A77DA94" w14:textId="77777777" w:rsidR="00721103" w:rsidRPr="0029760C" w:rsidRDefault="00721103" w:rsidP="00E06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Mankiety na palec są wyposażone w czujnik </w:t>
            </w:r>
            <w:proofErr w:type="spellStart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>pletyzmograficzny</w:t>
            </w:r>
            <w:proofErr w:type="spellEnd"/>
            <w:r w:rsidRPr="0029760C">
              <w:rPr>
                <w:rFonts w:asciiTheme="minorHAnsi" w:hAnsiTheme="minorHAnsi" w:cstheme="minorHAnsi"/>
                <w:sz w:val="22"/>
                <w:szCs w:val="22"/>
              </w:rPr>
              <w:t xml:space="preserve">, który stanowi połączenie źródła i odbiornika światła, w celu ciągłego monitorowania zmian objętości krwi tętniczej w palcu. </w:t>
            </w:r>
          </w:p>
          <w:p w14:paraId="03092408" w14:textId="77777777" w:rsidR="00721103" w:rsidRPr="0029760C" w:rsidRDefault="00721103" w:rsidP="00E065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1A42D5" w14:textId="002FEB5F" w:rsidR="00721103" w:rsidRPr="00760A7D" w:rsidRDefault="005243CA" w:rsidP="00E0654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01" w:type="dxa"/>
          </w:tcPr>
          <w:p w14:paraId="3DEBBCA6" w14:textId="77777777" w:rsidR="00721103" w:rsidRPr="00760A7D" w:rsidRDefault="00721103" w:rsidP="00E0654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21103" w:rsidRPr="00760A7D" w14:paraId="6869E157" w14:textId="17B0F942" w:rsidTr="0029760C">
        <w:trPr>
          <w:trHeight w:val="49"/>
        </w:trPr>
        <w:tc>
          <w:tcPr>
            <w:tcW w:w="681" w:type="dxa"/>
            <w:vAlign w:val="center"/>
          </w:tcPr>
          <w:p w14:paraId="7A081610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407" w:type="dxa"/>
            <w:vAlign w:val="center"/>
          </w:tcPr>
          <w:p w14:paraId="2343503C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Ciągły pomiar saturacji tkankowej w celu emisji światła w zakresie bliskiej podczerwieni  (metodą NIRS) przy wykorzystaniu analizy tkankowej 5 długości fal. Elektrody zapewniają głębokość penetracji światła powyżej 2 cm.</w:t>
            </w:r>
          </w:p>
        </w:tc>
        <w:tc>
          <w:tcPr>
            <w:tcW w:w="1418" w:type="dxa"/>
          </w:tcPr>
          <w:p w14:paraId="60C6B1D8" w14:textId="03B4E8E2" w:rsidR="00721103" w:rsidRPr="00760A7D" w:rsidRDefault="005243CA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B57215B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1784C8C1" w14:textId="58A78BBB" w:rsidTr="0029760C">
        <w:trPr>
          <w:trHeight w:val="49"/>
        </w:trPr>
        <w:tc>
          <w:tcPr>
            <w:tcW w:w="681" w:type="dxa"/>
            <w:vAlign w:val="center"/>
          </w:tcPr>
          <w:p w14:paraId="40F6B4C0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 xml:space="preserve">e) </w:t>
            </w:r>
          </w:p>
        </w:tc>
        <w:tc>
          <w:tcPr>
            <w:tcW w:w="6407" w:type="dxa"/>
            <w:vAlign w:val="center"/>
          </w:tcPr>
          <w:p w14:paraId="5381040A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Możliwość rozbudowy o pomiar względnej zmiany stężenia hemoglobiny całkowitej — </w:t>
            </w:r>
            <w:proofErr w:type="spellStart"/>
            <w:r w:rsidRPr="0029760C">
              <w:rPr>
                <w:rFonts w:asciiTheme="minorHAnsi" w:hAnsiTheme="minorHAnsi" w:cstheme="minorHAnsi"/>
              </w:rPr>
              <w:t>ΔctHb</w:t>
            </w:r>
            <w:proofErr w:type="spellEnd"/>
          </w:p>
        </w:tc>
        <w:tc>
          <w:tcPr>
            <w:tcW w:w="1418" w:type="dxa"/>
          </w:tcPr>
          <w:p w14:paraId="70105080" w14:textId="14C2049E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1E5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EA85F86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433F0A30" w14:textId="0C656250" w:rsidTr="0029760C">
        <w:trPr>
          <w:trHeight w:val="49"/>
        </w:trPr>
        <w:tc>
          <w:tcPr>
            <w:tcW w:w="681" w:type="dxa"/>
            <w:vAlign w:val="center"/>
          </w:tcPr>
          <w:p w14:paraId="5C1654C6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6407" w:type="dxa"/>
            <w:vAlign w:val="center"/>
          </w:tcPr>
          <w:p w14:paraId="5FBF26C4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Moduł do zarządzania płynami</w:t>
            </w:r>
          </w:p>
        </w:tc>
        <w:tc>
          <w:tcPr>
            <w:tcW w:w="1418" w:type="dxa"/>
          </w:tcPr>
          <w:p w14:paraId="74CA8E4A" w14:textId="279A4F2D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879473E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083D0912" w14:textId="4FAEE77F" w:rsidTr="0029760C">
        <w:trPr>
          <w:trHeight w:val="1638"/>
        </w:trPr>
        <w:tc>
          <w:tcPr>
            <w:tcW w:w="681" w:type="dxa"/>
            <w:vAlign w:val="center"/>
          </w:tcPr>
          <w:p w14:paraId="6476BD3C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14:paraId="3A4692EB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Wymagane parametry monitorowane lub wyliczane:</w:t>
            </w:r>
          </w:p>
          <w:p w14:paraId="407F1F55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rzut serca (CO);</w:t>
            </w:r>
          </w:p>
          <w:p w14:paraId="67E1D12D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rzut serca indeksowany (CI)</w:t>
            </w:r>
          </w:p>
          <w:p w14:paraId="5D228842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objętość wyrzutowa (SV);</w:t>
            </w:r>
          </w:p>
          <w:p w14:paraId="10D22ECF" w14:textId="77777777" w:rsidR="00721103" w:rsidRPr="0029760C" w:rsidRDefault="00721103" w:rsidP="00E0654B">
            <w:pPr>
              <w:rPr>
                <w:rFonts w:asciiTheme="minorHAnsi" w:hAnsiTheme="minorHAnsi" w:cstheme="minorHAnsi"/>
                <w:u w:val="single"/>
              </w:rPr>
            </w:pPr>
            <w:r w:rsidRPr="0029760C">
              <w:rPr>
                <w:rFonts w:asciiTheme="minorHAnsi" w:hAnsiTheme="minorHAnsi" w:cstheme="minorHAnsi"/>
              </w:rPr>
              <w:t>- indeks objętości wyrzutowej (SVI</w:t>
            </w:r>
            <w:r w:rsidRPr="0029760C">
              <w:rPr>
                <w:rFonts w:asciiTheme="minorHAnsi" w:hAnsiTheme="minorHAnsi" w:cstheme="minorHAnsi"/>
                <w:u w:val="single"/>
              </w:rPr>
              <w:t>)</w:t>
            </w:r>
          </w:p>
          <w:p w14:paraId="6A5A8514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systemowy (obwodowy) opór naczyniowy (SVR);</w:t>
            </w:r>
          </w:p>
          <w:p w14:paraId="2DB02DDA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indeks systemowego oporu naczyniowego (SVRI)</w:t>
            </w:r>
          </w:p>
          <w:p w14:paraId="5ADBD903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zmienność objętości wyrzutowej (SVV);</w:t>
            </w:r>
          </w:p>
          <w:p w14:paraId="3F21399B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centralne ciśnienie żylne (OCŻ)</w:t>
            </w:r>
          </w:p>
          <w:p w14:paraId="78ABD043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ciśnienie średnie tętnicze (MAP)</w:t>
            </w:r>
          </w:p>
          <w:p w14:paraId="72619C30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Częstość tętna (PR)</w:t>
            </w:r>
          </w:p>
          <w:p w14:paraId="25B1D566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Saturacja tkankowa (StO2)</w:t>
            </w:r>
          </w:p>
          <w:p w14:paraId="32547C8D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- zmienność ciśnienia tętna (PPV)</w:t>
            </w:r>
          </w:p>
          <w:p w14:paraId="6E3B0689" w14:textId="2FF45253" w:rsidR="00721103" w:rsidRPr="0029760C" w:rsidRDefault="00721103" w:rsidP="00E0654B">
            <w:pPr>
              <w:rPr>
                <w:rFonts w:asciiTheme="minorHAnsi" w:hAnsiTheme="minorHAnsi" w:cstheme="minorHAnsi"/>
                <w:bCs/>
              </w:rPr>
            </w:pPr>
            <w:r w:rsidRPr="0029760C">
              <w:rPr>
                <w:rFonts w:asciiTheme="minorHAnsi" w:hAnsiTheme="minorHAnsi" w:cstheme="minorHAnsi"/>
              </w:rPr>
              <w:t xml:space="preserve">- wskaźnik ryzyka </w:t>
            </w:r>
            <w:r w:rsidR="0029760C" w:rsidRPr="0029760C">
              <w:rPr>
                <w:rFonts w:asciiTheme="minorHAnsi" w:hAnsiTheme="minorHAnsi" w:cstheme="minorHAnsi"/>
              </w:rPr>
              <w:t>wystąpienia</w:t>
            </w:r>
            <w:r w:rsidRPr="0029760C">
              <w:rPr>
                <w:rFonts w:asciiTheme="minorHAnsi" w:hAnsiTheme="minorHAnsi" w:cstheme="minorHAnsi"/>
              </w:rPr>
              <w:t xml:space="preserve"> hipotensji HPI </w:t>
            </w:r>
            <w:r w:rsidRPr="0029760C">
              <w:rPr>
                <w:rFonts w:asciiTheme="minorHAnsi" w:hAnsiTheme="minorHAnsi" w:cstheme="minorHAnsi"/>
                <w:bCs/>
              </w:rPr>
              <w:t xml:space="preserve">aktualizowany z częstotliwością co 20 sekund </w:t>
            </w:r>
          </w:p>
          <w:p w14:paraId="6976A363" w14:textId="77777777" w:rsidR="00721103" w:rsidRPr="0029760C" w:rsidRDefault="00721103" w:rsidP="00E0654B">
            <w:pPr>
              <w:rPr>
                <w:rFonts w:asciiTheme="minorHAnsi" w:hAnsiTheme="minorHAnsi" w:cstheme="minorHAnsi"/>
                <w:bCs/>
              </w:rPr>
            </w:pPr>
            <w:r w:rsidRPr="0029760C">
              <w:rPr>
                <w:rFonts w:asciiTheme="minorHAnsi" w:hAnsiTheme="minorHAnsi" w:cstheme="minorHAnsi"/>
              </w:rPr>
              <w:t>- dynamiczna elastancja tętnic (</w:t>
            </w:r>
            <w:proofErr w:type="spellStart"/>
            <w:r w:rsidRPr="0029760C">
              <w:rPr>
                <w:rFonts w:asciiTheme="minorHAnsi" w:hAnsiTheme="minorHAnsi" w:cstheme="minorHAnsi"/>
              </w:rPr>
              <w:t>Eadyn</w:t>
            </w:r>
            <w:proofErr w:type="spellEnd"/>
            <w:r w:rsidRPr="0029760C">
              <w:rPr>
                <w:rFonts w:asciiTheme="minorHAnsi" w:hAnsiTheme="minorHAnsi" w:cstheme="minorHAnsi"/>
              </w:rPr>
              <w:t xml:space="preserve">) </w:t>
            </w:r>
            <w:r w:rsidRPr="0029760C">
              <w:rPr>
                <w:rFonts w:asciiTheme="minorHAnsi" w:hAnsiTheme="minorHAnsi" w:cstheme="minorHAnsi"/>
                <w:bCs/>
              </w:rPr>
              <w:t xml:space="preserve">aktualizowany z częstotliwością co 20 sekund </w:t>
            </w:r>
          </w:p>
          <w:p w14:paraId="07670348" w14:textId="77777777" w:rsidR="00721103" w:rsidRPr="0029760C" w:rsidRDefault="00721103" w:rsidP="00E0654B">
            <w:pPr>
              <w:rPr>
                <w:rFonts w:asciiTheme="minorHAnsi" w:hAnsiTheme="minorHAnsi" w:cstheme="minorHAnsi"/>
                <w:bCs/>
              </w:rPr>
            </w:pPr>
            <w:r w:rsidRPr="0029760C">
              <w:rPr>
                <w:rFonts w:asciiTheme="minorHAnsi" w:hAnsiTheme="minorHAnsi" w:cstheme="minorHAnsi"/>
                <w:b/>
              </w:rPr>
              <w:t>-</w:t>
            </w:r>
            <w:r w:rsidRPr="0029760C">
              <w:rPr>
                <w:rFonts w:asciiTheme="minorHAnsi" w:hAnsiTheme="minorHAnsi" w:cstheme="minorHAnsi"/>
              </w:rPr>
              <w:t xml:space="preserve"> </w:t>
            </w:r>
            <w:r w:rsidRPr="0029760C">
              <w:rPr>
                <w:rFonts w:asciiTheme="minorHAnsi" w:hAnsiTheme="minorHAnsi" w:cstheme="minorHAnsi"/>
                <w:bCs/>
              </w:rPr>
              <w:t>wskaźnik obwodowy kurczliwości lewej komory (</w:t>
            </w:r>
            <w:proofErr w:type="spellStart"/>
            <w:r w:rsidRPr="0029760C">
              <w:rPr>
                <w:rFonts w:asciiTheme="minorHAnsi" w:hAnsiTheme="minorHAnsi" w:cstheme="minorHAnsi"/>
                <w:bCs/>
              </w:rPr>
              <w:t>dP</w:t>
            </w:r>
            <w:proofErr w:type="spellEnd"/>
            <w:r w:rsidRPr="0029760C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29760C">
              <w:rPr>
                <w:rFonts w:asciiTheme="minorHAnsi" w:hAnsiTheme="minorHAnsi" w:cstheme="minorHAnsi"/>
                <w:bCs/>
              </w:rPr>
              <w:t>dt</w:t>
            </w:r>
            <w:proofErr w:type="spellEnd"/>
            <w:r w:rsidRPr="0029760C">
              <w:rPr>
                <w:rFonts w:asciiTheme="minorHAnsi" w:hAnsiTheme="minorHAnsi" w:cstheme="minorHAnsi"/>
                <w:bCs/>
              </w:rPr>
              <w:t xml:space="preserve">) aktualizowany z częstotliwością co 20 sekund </w:t>
            </w:r>
          </w:p>
          <w:p w14:paraId="15F58D5E" w14:textId="77777777" w:rsidR="00721103" w:rsidRPr="0029760C" w:rsidRDefault="00721103" w:rsidP="00E0654B">
            <w:pPr>
              <w:rPr>
                <w:rFonts w:asciiTheme="minorHAnsi" w:hAnsiTheme="minorHAnsi" w:cstheme="minorHAnsi"/>
                <w:bCs/>
              </w:rPr>
            </w:pPr>
            <w:r w:rsidRPr="0029760C">
              <w:rPr>
                <w:rFonts w:asciiTheme="minorHAnsi" w:hAnsiTheme="minorHAnsi" w:cstheme="minorHAnsi"/>
              </w:rPr>
              <w:t xml:space="preserve">- trend względnej zmiany stężenia hemoglobiny całkowitej — </w:t>
            </w:r>
            <w:proofErr w:type="spellStart"/>
            <w:r w:rsidRPr="0029760C">
              <w:rPr>
                <w:rFonts w:asciiTheme="minorHAnsi" w:hAnsiTheme="minorHAnsi" w:cstheme="minorHAnsi"/>
              </w:rPr>
              <w:t>ΔctHb</w:t>
            </w:r>
            <w:proofErr w:type="spellEnd"/>
          </w:p>
        </w:tc>
        <w:tc>
          <w:tcPr>
            <w:tcW w:w="1418" w:type="dxa"/>
            <w:vAlign w:val="center"/>
          </w:tcPr>
          <w:p w14:paraId="34FD6378" w14:textId="65DC35E8" w:rsidR="00721103" w:rsidRPr="00760A7D" w:rsidRDefault="00B661E5" w:rsidP="00B66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3F3C20A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20039C9B" w14:textId="3967B760" w:rsidTr="0029760C">
        <w:trPr>
          <w:trHeight w:val="2060"/>
        </w:trPr>
        <w:tc>
          <w:tcPr>
            <w:tcW w:w="681" w:type="dxa"/>
            <w:vAlign w:val="center"/>
          </w:tcPr>
          <w:p w14:paraId="2891BAAD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6407" w:type="dxa"/>
            <w:vAlign w:val="center"/>
          </w:tcPr>
          <w:p w14:paraId="79B34F18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Wyświetlanie danych w postaci ekranów:</w:t>
            </w:r>
          </w:p>
          <w:p w14:paraId="6EEE3A29" w14:textId="77777777" w:rsidR="00721103" w:rsidRPr="0029760C" w:rsidRDefault="00721103" w:rsidP="007211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kokpit wyświetlany jako ekran z dużymi kołami parametrów wskazujące granicznie zakresy i wartości alarmowe</w:t>
            </w:r>
          </w:p>
          <w:p w14:paraId="443A2D35" w14:textId="77777777" w:rsidR="00721103" w:rsidRPr="0029760C" w:rsidRDefault="00721103" w:rsidP="007211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ekran stanu </w:t>
            </w:r>
            <w:proofErr w:type="spellStart"/>
            <w:r w:rsidRPr="0029760C">
              <w:rPr>
                <w:rFonts w:asciiTheme="minorHAnsi" w:hAnsiTheme="minorHAnsi" w:cstheme="minorHAnsi"/>
              </w:rPr>
              <w:t>fzjologicznego</w:t>
            </w:r>
            <w:proofErr w:type="spellEnd"/>
            <w:r w:rsidRPr="0029760C">
              <w:rPr>
                <w:rFonts w:asciiTheme="minorHAnsi" w:hAnsiTheme="minorHAnsi" w:cstheme="minorHAnsi"/>
              </w:rPr>
              <w:t xml:space="preserve"> jako animacja obrazująca wzajemne interakcje między sercem, krwią a układem krwionośnym</w:t>
            </w:r>
          </w:p>
          <w:p w14:paraId="06E51CE7" w14:textId="77777777" w:rsidR="00721103" w:rsidRPr="0029760C" w:rsidRDefault="00721103" w:rsidP="007211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ekran zogniskowany umożliwia obserwację wartości ciśnienia tętniczego krwi wraz z monitorowanymi danymi z maksymalnie trzema parametrami kluczowymi</w:t>
            </w:r>
          </w:p>
          <w:p w14:paraId="1E928ACF" w14:textId="12CE9148" w:rsidR="00721103" w:rsidRPr="0029760C" w:rsidRDefault="00721103" w:rsidP="007211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ekran graficzny/ tabelaryczny umożliwia równoczesne przeglądanie bieżącego statusu i historii wybranych monitorowanych parametrów w formie graf</w:t>
            </w:r>
            <w:r w:rsidR="0029760C" w:rsidRPr="0029760C">
              <w:rPr>
                <w:rFonts w:asciiTheme="minorHAnsi" w:hAnsiTheme="minorHAnsi" w:cstheme="minorHAnsi"/>
              </w:rPr>
              <w:t>i</w:t>
            </w:r>
            <w:r w:rsidRPr="0029760C">
              <w:rPr>
                <w:rFonts w:asciiTheme="minorHAnsi" w:hAnsiTheme="minorHAnsi" w:cstheme="minorHAnsi"/>
              </w:rPr>
              <w:t>cznej oraz innych wybranych monitorowanych parametrów w formie tabelarycznej.</w:t>
            </w:r>
          </w:p>
          <w:p w14:paraId="76E3E636" w14:textId="77777777" w:rsidR="00721103" w:rsidRPr="0029760C" w:rsidRDefault="00721103" w:rsidP="007211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dodatkowy ekran ze wskaźnikiem informującym o HPI (wskaźnik ryzyka wystąpienia </w:t>
            </w:r>
            <w:proofErr w:type="spellStart"/>
            <w:r w:rsidRPr="0029760C">
              <w:rPr>
                <w:rFonts w:asciiTheme="minorHAnsi" w:hAnsiTheme="minorHAnsi" w:cstheme="minorHAnsi"/>
              </w:rPr>
              <w:t>hipotennsji</w:t>
            </w:r>
            <w:proofErr w:type="spellEnd"/>
            <w:r w:rsidRPr="0029760C">
              <w:rPr>
                <w:rFonts w:asciiTheme="minorHAnsi" w:hAnsiTheme="minorHAnsi" w:cstheme="minorHAnsi"/>
              </w:rPr>
              <w:t>), który wyświetla informacje na temat przyczyn wysokiego prawdopodobieństwa niedociśnienia lub przyczyn wystąpienia niedociśnienia</w:t>
            </w:r>
          </w:p>
        </w:tc>
        <w:tc>
          <w:tcPr>
            <w:tcW w:w="1418" w:type="dxa"/>
            <w:vAlign w:val="center"/>
          </w:tcPr>
          <w:p w14:paraId="10CDC8F6" w14:textId="4C0CE6D6" w:rsidR="00721103" w:rsidRPr="00760A7D" w:rsidRDefault="00B661E5" w:rsidP="00B66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61E5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AF2AB20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3E36FFC3" w14:textId="2A9BCEE1" w:rsidTr="0029760C">
        <w:trPr>
          <w:trHeight w:val="245"/>
        </w:trPr>
        <w:tc>
          <w:tcPr>
            <w:tcW w:w="681" w:type="dxa"/>
            <w:vAlign w:val="center"/>
          </w:tcPr>
          <w:p w14:paraId="459BAADE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14:paraId="7FF6E834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Ekran dotykowy o przekątnej min 12 cali i rozdzielczości min 1024x768 </w:t>
            </w:r>
          </w:p>
        </w:tc>
        <w:tc>
          <w:tcPr>
            <w:tcW w:w="1418" w:type="dxa"/>
          </w:tcPr>
          <w:p w14:paraId="2C305A82" w14:textId="7E1F39F3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65C68ED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0C50F0A6" w14:textId="1232281D" w:rsidTr="0029760C">
        <w:trPr>
          <w:trHeight w:val="466"/>
        </w:trPr>
        <w:tc>
          <w:tcPr>
            <w:tcW w:w="681" w:type="dxa"/>
            <w:vAlign w:val="center"/>
          </w:tcPr>
          <w:p w14:paraId="5EFEB2D4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14:paraId="6C1F6ACB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Wejścia/wyjścia transmisyjne: RS232, USB 2.0, USB3.0, RJ-45, HDMI, analogowe 2 </w:t>
            </w:r>
            <w:proofErr w:type="spellStart"/>
            <w:r w:rsidRPr="0029760C">
              <w:rPr>
                <w:rFonts w:asciiTheme="minorHAnsi" w:hAnsiTheme="minorHAnsi" w:cstheme="minorHAnsi"/>
              </w:rPr>
              <w:t>szt</w:t>
            </w:r>
            <w:proofErr w:type="spellEnd"/>
            <w:r w:rsidRPr="0029760C">
              <w:rPr>
                <w:rFonts w:asciiTheme="minorHAnsi" w:hAnsiTheme="minorHAnsi" w:cstheme="minorHAnsi"/>
              </w:rPr>
              <w:t>, EKG</w:t>
            </w:r>
          </w:p>
        </w:tc>
        <w:tc>
          <w:tcPr>
            <w:tcW w:w="1418" w:type="dxa"/>
          </w:tcPr>
          <w:p w14:paraId="48799B07" w14:textId="0EFF1418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939961C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35F26A8A" w14:textId="21408525" w:rsidTr="0029760C">
        <w:trPr>
          <w:trHeight w:val="466"/>
        </w:trPr>
        <w:tc>
          <w:tcPr>
            <w:tcW w:w="681" w:type="dxa"/>
            <w:vAlign w:val="center"/>
          </w:tcPr>
          <w:p w14:paraId="182CD05F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14:paraId="0A428B9B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Dodatkowe zasilanie akumulatorowe z możliwością wymiany bez interwencji serwisu</w:t>
            </w:r>
          </w:p>
        </w:tc>
        <w:tc>
          <w:tcPr>
            <w:tcW w:w="1418" w:type="dxa"/>
          </w:tcPr>
          <w:p w14:paraId="514D1842" w14:textId="6AB29716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3408F2B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7B9FFD71" w14:textId="1EC13D57" w:rsidTr="0029760C">
        <w:trPr>
          <w:trHeight w:val="466"/>
        </w:trPr>
        <w:tc>
          <w:tcPr>
            <w:tcW w:w="681" w:type="dxa"/>
            <w:vAlign w:val="center"/>
          </w:tcPr>
          <w:p w14:paraId="2FEDF093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407" w:type="dxa"/>
            <w:vAlign w:val="center"/>
          </w:tcPr>
          <w:p w14:paraId="5632F2F8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Możliwość transferu danych przez port USB w postaci pliku Excel (do dalszej obróbki) </w:t>
            </w:r>
          </w:p>
        </w:tc>
        <w:tc>
          <w:tcPr>
            <w:tcW w:w="1418" w:type="dxa"/>
          </w:tcPr>
          <w:p w14:paraId="7C2C940A" w14:textId="605B13F0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65AE87A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2CE4531D" w14:textId="1895812A" w:rsidTr="0029760C">
        <w:trPr>
          <w:trHeight w:val="220"/>
        </w:trPr>
        <w:tc>
          <w:tcPr>
            <w:tcW w:w="681" w:type="dxa"/>
            <w:vAlign w:val="center"/>
          </w:tcPr>
          <w:p w14:paraId="43CAC0BA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407" w:type="dxa"/>
            <w:vAlign w:val="center"/>
          </w:tcPr>
          <w:p w14:paraId="54506FF8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Menu w języku polskim</w:t>
            </w:r>
          </w:p>
        </w:tc>
        <w:tc>
          <w:tcPr>
            <w:tcW w:w="1418" w:type="dxa"/>
          </w:tcPr>
          <w:p w14:paraId="6BEDEAB5" w14:textId="2118BC13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A88F104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4D56ABED" w14:textId="3292E83E" w:rsidTr="0029760C">
        <w:trPr>
          <w:trHeight w:val="245"/>
        </w:trPr>
        <w:tc>
          <w:tcPr>
            <w:tcW w:w="681" w:type="dxa"/>
            <w:vAlign w:val="center"/>
          </w:tcPr>
          <w:p w14:paraId="4E554717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407" w:type="dxa"/>
            <w:vAlign w:val="center"/>
          </w:tcPr>
          <w:p w14:paraId="3895291A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>Waga aparatu nie więcej niż 5 kg</w:t>
            </w:r>
          </w:p>
        </w:tc>
        <w:tc>
          <w:tcPr>
            <w:tcW w:w="1418" w:type="dxa"/>
          </w:tcPr>
          <w:p w14:paraId="674C6168" w14:textId="4CF3EF3B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8E4586E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1103" w:rsidRPr="00760A7D" w14:paraId="2DCA6DB6" w14:textId="7B215FDB" w:rsidTr="0029760C">
        <w:trPr>
          <w:trHeight w:val="245"/>
        </w:trPr>
        <w:tc>
          <w:tcPr>
            <w:tcW w:w="681" w:type="dxa"/>
            <w:vAlign w:val="center"/>
          </w:tcPr>
          <w:p w14:paraId="110E8901" w14:textId="77777777" w:rsidR="00721103" w:rsidRPr="00760A7D" w:rsidRDefault="00721103" w:rsidP="00E06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0A7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407" w:type="dxa"/>
            <w:vAlign w:val="center"/>
          </w:tcPr>
          <w:p w14:paraId="75AAA009" w14:textId="77777777" w:rsidR="00721103" w:rsidRPr="0029760C" w:rsidRDefault="00721103" w:rsidP="00E0654B">
            <w:pPr>
              <w:rPr>
                <w:rFonts w:asciiTheme="minorHAnsi" w:hAnsiTheme="minorHAnsi" w:cstheme="minorHAnsi"/>
              </w:rPr>
            </w:pPr>
            <w:r w:rsidRPr="0029760C">
              <w:rPr>
                <w:rFonts w:asciiTheme="minorHAnsi" w:hAnsiTheme="minorHAnsi" w:cstheme="minorHAnsi"/>
              </w:rPr>
              <w:t xml:space="preserve">Statyw do zamontowania monitora. </w:t>
            </w:r>
          </w:p>
        </w:tc>
        <w:tc>
          <w:tcPr>
            <w:tcW w:w="1418" w:type="dxa"/>
          </w:tcPr>
          <w:p w14:paraId="0D14A414" w14:textId="452D8B77" w:rsidR="00721103" w:rsidRPr="00760A7D" w:rsidRDefault="00B661E5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A6743FA" w14:textId="77777777" w:rsidR="00721103" w:rsidRPr="00760A7D" w:rsidRDefault="00721103" w:rsidP="00E065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5976E9" w14:textId="77777777" w:rsidR="00721103" w:rsidRPr="00377F82" w:rsidRDefault="00721103" w:rsidP="00721103">
      <w:pPr>
        <w:rPr>
          <w:rFonts w:ascii="Garamond" w:hAnsi="Garamond"/>
        </w:rPr>
      </w:pPr>
    </w:p>
    <w:p w14:paraId="52F92EF6" w14:textId="77777777" w:rsidR="0029760C" w:rsidRPr="0029760C" w:rsidRDefault="0029760C" w:rsidP="0029760C">
      <w:pPr>
        <w:spacing w:after="0" w:line="240" w:lineRule="auto"/>
        <w:jc w:val="both"/>
        <w:rPr>
          <w:rFonts w:eastAsia="Times New Roman" w:cs="Calibri"/>
          <w:b/>
          <w:bCs/>
          <w:color w:val="A50021"/>
          <w:lang w:eastAsia="pl-PL"/>
        </w:rPr>
      </w:pPr>
      <w:r w:rsidRPr="0029760C">
        <w:rPr>
          <w:rFonts w:eastAsia="Times New Roman" w:cs="Calibri"/>
          <w:b/>
          <w:bCs/>
          <w:color w:val="A50021"/>
          <w:lang w:eastAsia="pl-PL"/>
        </w:rPr>
        <w:t>OPZ – Załącznik nr 2 do SWZ musi być podpisany kwalifikowanym podpisem elektronicznym lub podpisem zaufanym lub podpisem osobistym.</w:t>
      </w:r>
    </w:p>
    <w:p w14:paraId="4DD6F4BC" w14:textId="77777777" w:rsidR="009D5BA1" w:rsidRPr="00A25AE2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D5BA1" w:rsidRPr="00A25AE2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704C" w14:textId="77777777" w:rsidR="009B7512" w:rsidRDefault="009B7512" w:rsidP="00DC0D4D">
      <w:pPr>
        <w:spacing w:after="0" w:line="240" w:lineRule="auto"/>
      </w:pPr>
      <w:r>
        <w:separator/>
      </w:r>
    </w:p>
  </w:endnote>
  <w:endnote w:type="continuationSeparator" w:id="0">
    <w:p w14:paraId="2C897C70" w14:textId="77777777" w:rsidR="009B7512" w:rsidRDefault="009B7512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1FBD7A7F" w:rsidR="00CB2CB0" w:rsidRDefault="00CB2C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1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1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C8251B" w:rsidRDefault="00C8251B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702B" w14:textId="77777777" w:rsidR="009B7512" w:rsidRDefault="009B7512" w:rsidP="00DC0D4D">
      <w:pPr>
        <w:spacing w:after="0" w:line="240" w:lineRule="auto"/>
      </w:pPr>
      <w:r>
        <w:separator/>
      </w:r>
    </w:p>
  </w:footnote>
  <w:footnote w:type="continuationSeparator" w:id="0">
    <w:p w14:paraId="17F8C41F" w14:textId="77777777" w:rsidR="009B7512" w:rsidRDefault="009B7512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0B4EB1" w:rsidRPr="000B4EB1" w14:paraId="54462BAC" w14:textId="77777777" w:rsidTr="002D204D">
      <w:tc>
        <w:tcPr>
          <w:tcW w:w="6264" w:type="dxa"/>
          <w:shd w:val="clear" w:color="auto" w:fill="auto"/>
        </w:tcPr>
        <w:p w14:paraId="25CFA33F" w14:textId="77777777" w:rsidR="000B4EB1" w:rsidRPr="000B4EB1" w:rsidRDefault="000B4EB1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0B4EB1" w:rsidRPr="000B4EB1" w:rsidRDefault="000B4EB1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C8251B" w:rsidRDefault="00C8251B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6EF1"/>
    <w:multiLevelType w:val="hybridMultilevel"/>
    <w:tmpl w:val="4BBE3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AE26E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3F32"/>
    <w:multiLevelType w:val="hybridMultilevel"/>
    <w:tmpl w:val="2D7C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0085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827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007282">
    <w:abstractNumId w:val="5"/>
  </w:num>
  <w:num w:numId="4" w16cid:durableId="746346158">
    <w:abstractNumId w:val="9"/>
  </w:num>
  <w:num w:numId="5" w16cid:durableId="1366952820">
    <w:abstractNumId w:val="6"/>
  </w:num>
  <w:num w:numId="6" w16cid:durableId="1088886930">
    <w:abstractNumId w:val="11"/>
  </w:num>
  <w:num w:numId="7" w16cid:durableId="1697929321">
    <w:abstractNumId w:val="7"/>
  </w:num>
  <w:num w:numId="8" w16cid:durableId="736779521">
    <w:abstractNumId w:val="1"/>
  </w:num>
  <w:num w:numId="9" w16cid:durableId="2143304625">
    <w:abstractNumId w:val="3"/>
  </w:num>
  <w:num w:numId="10" w16cid:durableId="241331412">
    <w:abstractNumId w:val="2"/>
  </w:num>
  <w:num w:numId="11" w16cid:durableId="1789812985">
    <w:abstractNumId w:val="8"/>
  </w:num>
  <w:num w:numId="12" w16cid:durableId="1392802458">
    <w:abstractNumId w:val="12"/>
  </w:num>
  <w:num w:numId="13" w16cid:durableId="625938900">
    <w:abstractNumId w:val="0"/>
  </w:num>
  <w:num w:numId="14" w16cid:durableId="1644700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677C"/>
    <w:rsid w:val="00030C93"/>
    <w:rsid w:val="000B3832"/>
    <w:rsid w:val="000B4EB1"/>
    <w:rsid w:val="000C3C03"/>
    <w:rsid w:val="000C5A89"/>
    <w:rsid w:val="00111893"/>
    <w:rsid w:val="001122E2"/>
    <w:rsid w:val="001146B3"/>
    <w:rsid w:val="001314C8"/>
    <w:rsid w:val="00145AC3"/>
    <w:rsid w:val="0018368D"/>
    <w:rsid w:val="00203187"/>
    <w:rsid w:val="00227B60"/>
    <w:rsid w:val="00280232"/>
    <w:rsid w:val="0029760C"/>
    <w:rsid w:val="002A2757"/>
    <w:rsid w:val="002A6863"/>
    <w:rsid w:val="002B060A"/>
    <w:rsid w:val="00321CB5"/>
    <w:rsid w:val="0032302D"/>
    <w:rsid w:val="00327C88"/>
    <w:rsid w:val="003450A0"/>
    <w:rsid w:val="00367B0E"/>
    <w:rsid w:val="003800A8"/>
    <w:rsid w:val="003873F4"/>
    <w:rsid w:val="003B1AAD"/>
    <w:rsid w:val="00411F45"/>
    <w:rsid w:val="00454D2A"/>
    <w:rsid w:val="004620CC"/>
    <w:rsid w:val="00471236"/>
    <w:rsid w:val="004768FC"/>
    <w:rsid w:val="005243CA"/>
    <w:rsid w:val="00530E9B"/>
    <w:rsid w:val="00533E2A"/>
    <w:rsid w:val="0059736E"/>
    <w:rsid w:val="005A6625"/>
    <w:rsid w:val="005D13CF"/>
    <w:rsid w:val="0061196C"/>
    <w:rsid w:val="006209E4"/>
    <w:rsid w:val="00624EBE"/>
    <w:rsid w:val="006B0EDA"/>
    <w:rsid w:val="006C36A0"/>
    <w:rsid w:val="007079A9"/>
    <w:rsid w:val="00721103"/>
    <w:rsid w:val="00732545"/>
    <w:rsid w:val="00760A7D"/>
    <w:rsid w:val="00777FEA"/>
    <w:rsid w:val="0078087D"/>
    <w:rsid w:val="007B2E6E"/>
    <w:rsid w:val="007C1556"/>
    <w:rsid w:val="007D534F"/>
    <w:rsid w:val="007D5E5C"/>
    <w:rsid w:val="007D6DDC"/>
    <w:rsid w:val="008202B9"/>
    <w:rsid w:val="00867740"/>
    <w:rsid w:val="00883B03"/>
    <w:rsid w:val="008B6A88"/>
    <w:rsid w:val="008C450C"/>
    <w:rsid w:val="00997AF1"/>
    <w:rsid w:val="009B7512"/>
    <w:rsid w:val="009D5BA1"/>
    <w:rsid w:val="009F79F5"/>
    <w:rsid w:val="00A237D9"/>
    <w:rsid w:val="00A25AE2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64B5C"/>
    <w:rsid w:val="00B661E5"/>
    <w:rsid w:val="00B84FE4"/>
    <w:rsid w:val="00B90250"/>
    <w:rsid w:val="00B96A59"/>
    <w:rsid w:val="00BB6848"/>
    <w:rsid w:val="00BE1D6C"/>
    <w:rsid w:val="00C2000E"/>
    <w:rsid w:val="00C44BF5"/>
    <w:rsid w:val="00C8251B"/>
    <w:rsid w:val="00C87810"/>
    <w:rsid w:val="00C97505"/>
    <w:rsid w:val="00CB2CB0"/>
    <w:rsid w:val="00CB57AB"/>
    <w:rsid w:val="00CD7F68"/>
    <w:rsid w:val="00CF58A2"/>
    <w:rsid w:val="00D0007D"/>
    <w:rsid w:val="00D22DBF"/>
    <w:rsid w:val="00D62203"/>
    <w:rsid w:val="00D6507E"/>
    <w:rsid w:val="00DC0D4D"/>
    <w:rsid w:val="00DC4F5E"/>
    <w:rsid w:val="00E17A9C"/>
    <w:rsid w:val="00E2581E"/>
    <w:rsid w:val="00E60ACD"/>
    <w:rsid w:val="00ED37B8"/>
    <w:rsid w:val="00ED3AC9"/>
    <w:rsid w:val="00EF244C"/>
    <w:rsid w:val="00EF7FF2"/>
    <w:rsid w:val="00F239D1"/>
    <w:rsid w:val="00F301E4"/>
    <w:rsid w:val="00F411C5"/>
    <w:rsid w:val="00F63474"/>
    <w:rsid w:val="00F71496"/>
    <w:rsid w:val="00F939B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basedOn w:val="Normalny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uiPriority w:val="59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customStyle="1" w:styleId="Default">
    <w:name w:val="Default"/>
    <w:rsid w:val="0072110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PFAX22JPUVXR-1-17052</_dlc_DocId>
    <_dlc_DocIdUrl xmlns="618bfc8a-bf33-4875-b0fc-ab121a7aaba7">
      <Url>https://intranet.local.umed.pl/bpm/app05_medicalapparatus/_layouts/15/DocIdRedir.aspx?ID=PFAX22JPUVXR-1-17052</Url>
      <Description>PFAX22JPUVXR-1-17052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2024-06-18T11:23:36+00:00</dateOfGenerated>
    <Autor xmlns="618bfc8a-bf33-4875-b0fc-ab121a7aaba7">"Justyna Cisło"</Autor>
    <idProcessBPM xmlns="618bfc8a-bf33-4875-b0fc-ab121a7aaba7">"1612888"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";AP/2024/06/00027;"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11F1C7-AC3E-4BB2-B2D6-F618C2B04B78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2.xml><?xml version="1.0" encoding="utf-8"?>
<ds:datastoreItem xmlns:ds="http://schemas.openxmlformats.org/officeDocument/2006/customXml" ds:itemID="{47F3095B-10D3-4092-A0A2-127F93F79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B159A-0674-4C98-999D-3FFD4A896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84644-E92A-4DC1-9390-423B229860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DA86AF-1CCB-420A-BD52-C658AB031A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10</cp:revision>
  <cp:lastPrinted>2019-12-13T08:06:00Z</cp:lastPrinted>
  <dcterms:created xsi:type="dcterms:W3CDTF">2024-06-18T13:02:00Z</dcterms:created>
  <dcterms:modified xsi:type="dcterms:W3CDTF">2024-07-18T09:19:00Z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9e516e0c-da58-4373-ac31-acb4951ae2ca</vt:lpwstr>
  </property>
</Properties>
</file>