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0F" w:rsidRDefault="00E514DC" w:rsidP="002A320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2A320F" w:rsidRDefault="002A320F" w:rsidP="002A320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umowy </w:t>
      </w:r>
    </w:p>
    <w:p w:rsidR="002E7242" w:rsidRDefault="00F85A87" w:rsidP="002E724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Nr GN.6641.1</w:t>
      </w:r>
      <w:r w:rsidR="00646B2B">
        <w:rPr>
          <w:b/>
          <w:sz w:val="22"/>
          <w:szCs w:val="22"/>
        </w:rPr>
        <w:t>/      /</w:t>
      </w:r>
      <w:r>
        <w:rPr>
          <w:b/>
          <w:sz w:val="22"/>
          <w:szCs w:val="22"/>
        </w:rPr>
        <w:t>2023</w:t>
      </w:r>
    </w:p>
    <w:p w:rsidR="002E7242" w:rsidRDefault="00F85A87" w:rsidP="002E724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 dnia ……. 2023</w:t>
      </w:r>
      <w:r w:rsidR="002A320F">
        <w:rPr>
          <w:b/>
          <w:sz w:val="22"/>
          <w:szCs w:val="22"/>
        </w:rPr>
        <w:t xml:space="preserve"> r. </w:t>
      </w:r>
    </w:p>
    <w:p w:rsidR="002E7242" w:rsidRDefault="002E7242" w:rsidP="002E7242"/>
    <w:p w:rsidR="002E7242" w:rsidRPr="002A320F" w:rsidRDefault="002E7242" w:rsidP="002E7242">
      <w:pPr>
        <w:rPr>
          <w:sz w:val="22"/>
          <w:szCs w:val="22"/>
        </w:rPr>
      </w:pPr>
    </w:p>
    <w:p w:rsidR="00EB75EC" w:rsidRPr="002A320F" w:rsidRDefault="00C06F33">
      <w:pPr>
        <w:ind w:left="703" w:hanging="703"/>
        <w:jc w:val="center"/>
        <w:rPr>
          <w:b/>
          <w:sz w:val="22"/>
          <w:szCs w:val="22"/>
        </w:rPr>
      </w:pPr>
      <w:r w:rsidRPr="002A320F">
        <w:rPr>
          <w:b/>
          <w:sz w:val="22"/>
          <w:szCs w:val="22"/>
        </w:rPr>
        <w:t xml:space="preserve">UMOWA </w:t>
      </w:r>
    </w:p>
    <w:p w:rsidR="00EB75EC" w:rsidRPr="002A320F" w:rsidRDefault="00C06F33">
      <w:pPr>
        <w:spacing w:after="240"/>
        <w:ind w:left="703" w:hanging="703"/>
        <w:jc w:val="center"/>
        <w:rPr>
          <w:b/>
          <w:sz w:val="22"/>
          <w:szCs w:val="22"/>
        </w:rPr>
      </w:pPr>
      <w:r w:rsidRPr="002A320F">
        <w:rPr>
          <w:b/>
          <w:sz w:val="22"/>
          <w:szCs w:val="22"/>
        </w:rPr>
        <w:t>POWIERZENIA PRZETWARZANIA DANYCH OSOBOWYCH</w:t>
      </w:r>
    </w:p>
    <w:p w:rsidR="00892871" w:rsidRPr="002A320F" w:rsidRDefault="00892871" w:rsidP="0089287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2A320F">
        <w:rPr>
          <w:rFonts w:eastAsia="Calibri"/>
          <w:sz w:val="22"/>
          <w:szCs w:val="22"/>
          <w:lang w:eastAsia="en-US"/>
        </w:rPr>
        <w:t xml:space="preserve">zwana dalej „Umową”, </w:t>
      </w:r>
    </w:p>
    <w:p w:rsidR="00892871" w:rsidRPr="002A320F" w:rsidRDefault="00F85A87" w:rsidP="0089287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zawarta dnia …… ………….2023 </w:t>
      </w:r>
      <w:r w:rsidR="00892871" w:rsidRPr="002A320F">
        <w:rPr>
          <w:rFonts w:eastAsia="Calibri"/>
          <w:sz w:val="22"/>
          <w:szCs w:val="22"/>
          <w:lang w:eastAsia="en-US"/>
        </w:rPr>
        <w:t>r. pomiędzy:</w:t>
      </w:r>
    </w:p>
    <w:p w:rsidR="00892871" w:rsidRPr="002A320F" w:rsidRDefault="00892871" w:rsidP="00892871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2A320F">
        <w:rPr>
          <w:rFonts w:eastAsia="Calibri"/>
          <w:b/>
          <w:sz w:val="22"/>
          <w:szCs w:val="22"/>
          <w:lang w:eastAsia="en-US"/>
        </w:rPr>
        <w:t xml:space="preserve">Powiatem Nowosolskim </w:t>
      </w:r>
      <w:r w:rsidRPr="002A320F">
        <w:rPr>
          <w:rFonts w:eastAsia="Calibri"/>
          <w:sz w:val="22"/>
          <w:szCs w:val="22"/>
          <w:lang w:eastAsia="en-US"/>
        </w:rPr>
        <w:t>z siedzibą w Nowej Soli przy ul. Moniuszki 3,</w:t>
      </w:r>
    </w:p>
    <w:p w:rsidR="00892871" w:rsidRPr="002A320F" w:rsidRDefault="00892871" w:rsidP="00892871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2A320F">
        <w:rPr>
          <w:rFonts w:eastAsia="Calibri"/>
          <w:sz w:val="22"/>
          <w:szCs w:val="22"/>
          <w:lang w:eastAsia="en-US"/>
        </w:rPr>
        <w:t xml:space="preserve"> </w:t>
      </w:r>
      <w:r w:rsidRPr="002A320F">
        <w:rPr>
          <w:rFonts w:eastAsia="Calibri"/>
          <w:b/>
          <w:sz w:val="22"/>
          <w:szCs w:val="22"/>
          <w:lang w:eastAsia="en-US"/>
        </w:rPr>
        <w:t>NIP: 9251972202</w:t>
      </w:r>
      <w:r w:rsidRPr="002A320F">
        <w:rPr>
          <w:rFonts w:eastAsia="Calibri"/>
          <w:sz w:val="22"/>
          <w:szCs w:val="22"/>
          <w:lang w:eastAsia="en-US"/>
        </w:rPr>
        <w:t xml:space="preserve">,  </w:t>
      </w:r>
      <w:r w:rsidR="002E7242" w:rsidRPr="002A320F">
        <w:rPr>
          <w:rFonts w:eastAsia="Calibri"/>
          <w:sz w:val="22"/>
          <w:szCs w:val="22"/>
          <w:lang w:eastAsia="en-US"/>
        </w:rPr>
        <w:t>w imieniu i na rzecz którego działają</w:t>
      </w:r>
      <w:r w:rsidRPr="002A320F">
        <w:rPr>
          <w:rFonts w:eastAsia="Calibri"/>
          <w:sz w:val="22"/>
          <w:szCs w:val="22"/>
          <w:lang w:eastAsia="en-US"/>
        </w:rPr>
        <w:t>:</w:t>
      </w:r>
    </w:p>
    <w:p w:rsidR="00892871" w:rsidRPr="002A320F" w:rsidRDefault="00892871" w:rsidP="00892871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2A320F">
        <w:rPr>
          <w:rFonts w:eastAsia="Calibri"/>
          <w:b/>
          <w:sz w:val="22"/>
          <w:szCs w:val="22"/>
          <w:lang w:eastAsia="en-US"/>
        </w:rPr>
        <w:t xml:space="preserve">- Pani Iwona Brzozowska </w:t>
      </w:r>
      <w:r w:rsidR="00646B2B">
        <w:rPr>
          <w:rFonts w:eastAsia="Calibri"/>
          <w:b/>
          <w:sz w:val="22"/>
          <w:szCs w:val="22"/>
          <w:lang w:eastAsia="en-US"/>
        </w:rPr>
        <w:t>–</w:t>
      </w:r>
      <w:r w:rsidRPr="002A320F">
        <w:rPr>
          <w:rFonts w:eastAsia="Calibri"/>
          <w:b/>
          <w:sz w:val="22"/>
          <w:szCs w:val="22"/>
          <w:lang w:eastAsia="en-US"/>
        </w:rPr>
        <w:t xml:space="preserve"> Starosta</w:t>
      </w:r>
      <w:r w:rsidR="00646B2B">
        <w:rPr>
          <w:rFonts w:eastAsia="Calibri"/>
          <w:b/>
          <w:sz w:val="22"/>
          <w:szCs w:val="22"/>
          <w:lang w:eastAsia="en-US"/>
        </w:rPr>
        <w:t xml:space="preserve"> Nowosolski</w:t>
      </w:r>
      <w:r w:rsidRPr="002A320F">
        <w:rPr>
          <w:rFonts w:eastAsia="Calibri"/>
          <w:b/>
          <w:sz w:val="22"/>
          <w:szCs w:val="22"/>
          <w:lang w:eastAsia="en-US"/>
        </w:rPr>
        <w:t xml:space="preserve">, </w:t>
      </w:r>
    </w:p>
    <w:p w:rsidR="00892871" w:rsidRPr="002A320F" w:rsidRDefault="00892871" w:rsidP="00892871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2A320F">
        <w:rPr>
          <w:rFonts w:eastAsia="Calibri"/>
          <w:b/>
          <w:sz w:val="22"/>
          <w:szCs w:val="22"/>
          <w:lang w:eastAsia="en-US"/>
        </w:rPr>
        <w:t>- Pan</w:t>
      </w:r>
      <w:r w:rsidR="00646B2B">
        <w:rPr>
          <w:rFonts w:eastAsia="Calibri"/>
          <w:b/>
          <w:sz w:val="22"/>
          <w:szCs w:val="22"/>
          <w:lang w:eastAsia="en-US"/>
        </w:rPr>
        <w:t xml:space="preserve"> Waldemar Wrześniak – Wicestarosta</w:t>
      </w:r>
      <w:r w:rsidRPr="002A320F">
        <w:rPr>
          <w:rFonts w:eastAsia="Calibri"/>
          <w:b/>
          <w:sz w:val="22"/>
          <w:szCs w:val="22"/>
          <w:lang w:eastAsia="en-US"/>
        </w:rPr>
        <w:t>,</w:t>
      </w:r>
    </w:p>
    <w:p w:rsidR="00892871" w:rsidRPr="002A320F" w:rsidRDefault="00892871" w:rsidP="0089287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2A320F">
        <w:rPr>
          <w:rFonts w:eastAsia="Calibri"/>
          <w:b/>
          <w:sz w:val="22"/>
          <w:szCs w:val="22"/>
          <w:lang w:eastAsia="en-US"/>
        </w:rPr>
        <w:t>przy kontrasygnaci</w:t>
      </w:r>
      <w:r w:rsidR="002D4801">
        <w:rPr>
          <w:rFonts w:eastAsia="Calibri"/>
          <w:b/>
          <w:sz w:val="22"/>
          <w:szCs w:val="22"/>
          <w:lang w:eastAsia="en-US"/>
        </w:rPr>
        <w:t>e Skarbnika Powiatu – Emila Chwiałkowskiego</w:t>
      </w:r>
      <w:r w:rsidR="00AE55D8" w:rsidRPr="002A320F">
        <w:rPr>
          <w:rFonts w:eastAsia="Calibri"/>
          <w:sz w:val="22"/>
          <w:szCs w:val="22"/>
          <w:lang w:eastAsia="en-US"/>
        </w:rPr>
        <w:t>,</w:t>
      </w:r>
    </w:p>
    <w:p w:rsidR="00892871" w:rsidRPr="002A320F" w:rsidRDefault="00892871" w:rsidP="0089287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2A320F">
        <w:rPr>
          <w:rFonts w:eastAsia="Calibri"/>
          <w:sz w:val="22"/>
          <w:szCs w:val="22"/>
          <w:lang w:eastAsia="en-US"/>
        </w:rPr>
        <w:t xml:space="preserve">zwanym dalej </w:t>
      </w:r>
      <w:r w:rsidRPr="002A320F">
        <w:rPr>
          <w:rFonts w:eastAsia="Calibri"/>
          <w:b/>
          <w:sz w:val="22"/>
          <w:szCs w:val="22"/>
          <w:lang w:eastAsia="en-US"/>
        </w:rPr>
        <w:t>Powierzającym</w:t>
      </w:r>
    </w:p>
    <w:p w:rsidR="00892871" w:rsidRPr="002A320F" w:rsidRDefault="00892871" w:rsidP="00892871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2A320F">
        <w:rPr>
          <w:rFonts w:eastAsia="Calibri"/>
          <w:sz w:val="22"/>
          <w:szCs w:val="22"/>
          <w:lang w:eastAsia="en-US"/>
        </w:rPr>
        <w:t>a</w:t>
      </w:r>
    </w:p>
    <w:p w:rsidR="002D4801" w:rsidRPr="00F85A87" w:rsidRDefault="00F85A87" w:rsidP="001B4BD5">
      <w:pPr>
        <w:spacing w:after="160" w:line="25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BD5" w:rsidRPr="001B4BD5">
        <w:rPr>
          <w:rFonts w:eastAsia="Calibri"/>
          <w:b/>
          <w:sz w:val="22"/>
          <w:szCs w:val="22"/>
          <w:lang w:eastAsia="en-US"/>
        </w:rPr>
        <w:t>,</w:t>
      </w:r>
    </w:p>
    <w:p w:rsidR="00892871" w:rsidRPr="002A320F" w:rsidRDefault="00892871" w:rsidP="002A320F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2A320F">
        <w:rPr>
          <w:rFonts w:eastAsia="Calibri"/>
          <w:sz w:val="22"/>
          <w:szCs w:val="22"/>
          <w:lang w:eastAsia="en-US"/>
        </w:rPr>
        <w:t>zwaną dalej</w:t>
      </w:r>
      <w:r w:rsidRPr="002A320F">
        <w:rPr>
          <w:rFonts w:eastAsia="Calibri"/>
          <w:b/>
          <w:sz w:val="22"/>
          <w:szCs w:val="22"/>
          <w:lang w:eastAsia="en-US"/>
        </w:rPr>
        <w:t xml:space="preserve"> „Procesorem”</w:t>
      </w:r>
    </w:p>
    <w:p w:rsidR="001B4BD5" w:rsidRDefault="001B4BD5" w:rsidP="002A320F">
      <w:pPr>
        <w:ind w:left="703" w:hanging="703"/>
        <w:jc w:val="both"/>
        <w:rPr>
          <w:sz w:val="22"/>
          <w:szCs w:val="22"/>
        </w:rPr>
      </w:pPr>
    </w:p>
    <w:p w:rsidR="00EB75EC" w:rsidRPr="002A320F" w:rsidRDefault="00C06F33" w:rsidP="002A320F">
      <w:pPr>
        <w:ind w:left="703" w:hanging="703"/>
        <w:jc w:val="both"/>
        <w:rPr>
          <w:sz w:val="22"/>
          <w:szCs w:val="22"/>
        </w:rPr>
      </w:pPr>
      <w:r w:rsidRPr="002A320F">
        <w:rPr>
          <w:sz w:val="22"/>
          <w:szCs w:val="22"/>
        </w:rPr>
        <w:t>zwanymi dalej również łącznie "</w:t>
      </w:r>
      <w:r w:rsidRPr="002A320F">
        <w:rPr>
          <w:b/>
          <w:sz w:val="22"/>
          <w:szCs w:val="22"/>
        </w:rPr>
        <w:t>Stronami"</w:t>
      </w:r>
      <w:r w:rsidRPr="002A320F">
        <w:rPr>
          <w:sz w:val="22"/>
          <w:szCs w:val="22"/>
        </w:rPr>
        <w:t xml:space="preserve"> lub każda z osobna "</w:t>
      </w:r>
      <w:r w:rsidRPr="002A320F">
        <w:rPr>
          <w:b/>
          <w:sz w:val="22"/>
          <w:szCs w:val="22"/>
        </w:rPr>
        <w:t>Stroną</w:t>
      </w:r>
      <w:r w:rsidRPr="002A320F">
        <w:rPr>
          <w:sz w:val="22"/>
          <w:szCs w:val="22"/>
        </w:rPr>
        <w:t>".</w:t>
      </w:r>
    </w:p>
    <w:p w:rsidR="00892871" w:rsidRDefault="00892871" w:rsidP="001B4BD5">
      <w:pPr>
        <w:jc w:val="both"/>
        <w:rPr>
          <w:sz w:val="22"/>
          <w:szCs w:val="22"/>
        </w:rPr>
      </w:pPr>
    </w:p>
    <w:p w:rsidR="00892871" w:rsidRPr="00AB306D" w:rsidRDefault="00892871" w:rsidP="00AE55D8">
      <w:pPr>
        <w:spacing w:before="240" w:after="240"/>
        <w:jc w:val="center"/>
        <w:rPr>
          <w:b/>
          <w:sz w:val="22"/>
          <w:szCs w:val="22"/>
        </w:rPr>
      </w:pPr>
      <w:r w:rsidRPr="00AB306D">
        <w:rPr>
          <w:b/>
          <w:sz w:val="22"/>
          <w:szCs w:val="22"/>
        </w:rPr>
        <w:t>Preambuła</w:t>
      </w:r>
    </w:p>
    <w:p w:rsidR="00892871" w:rsidRPr="00AB306D" w:rsidRDefault="00892871" w:rsidP="00F85A87">
      <w:pPr>
        <w:ind w:firstLine="720"/>
        <w:jc w:val="both"/>
        <w:rPr>
          <w:sz w:val="22"/>
          <w:szCs w:val="22"/>
        </w:rPr>
      </w:pPr>
      <w:r w:rsidRPr="00AB306D">
        <w:rPr>
          <w:sz w:val="22"/>
          <w:szCs w:val="22"/>
        </w:rPr>
        <w:t xml:space="preserve">Mając na uwadze, iż Procesor zawarł </w:t>
      </w:r>
      <w:r w:rsidR="002E7242">
        <w:rPr>
          <w:sz w:val="22"/>
          <w:szCs w:val="22"/>
        </w:rPr>
        <w:t>z Powierzającym umowę</w:t>
      </w:r>
      <w:r w:rsidRPr="00AB306D">
        <w:rPr>
          <w:sz w:val="22"/>
          <w:szCs w:val="22"/>
        </w:rPr>
        <w:t xml:space="preserve"> nr </w:t>
      </w:r>
      <w:r w:rsidR="00F85A87">
        <w:rPr>
          <w:sz w:val="22"/>
          <w:szCs w:val="22"/>
        </w:rPr>
        <w:t>GN.6641.1</w:t>
      </w:r>
      <w:r w:rsidR="002A320F">
        <w:rPr>
          <w:sz w:val="22"/>
          <w:szCs w:val="22"/>
        </w:rPr>
        <w:t>/</w:t>
      </w:r>
      <w:r w:rsidR="00646B2B">
        <w:rPr>
          <w:sz w:val="22"/>
          <w:szCs w:val="22"/>
        </w:rPr>
        <w:t xml:space="preserve">     </w:t>
      </w:r>
      <w:r w:rsidR="00F85A87">
        <w:rPr>
          <w:sz w:val="22"/>
          <w:szCs w:val="22"/>
        </w:rPr>
        <w:t>/2023</w:t>
      </w:r>
      <w:r w:rsidR="002A320F">
        <w:rPr>
          <w:sz w:val="22"/>
          <w:szCs w:val="22"/>
        </w:rPr>
        <w:t xml:space="preserve"> </w:t>
      </w:r>
      <w:r w:rsidRPr="00AB306D">
        <w:rPr>
          <w:sz w:val="22"/>
          <w:szCs w:val="22"/>
        </w:rPr>
        <w:t xml:space="preserve">z dnia </w:t>
      </w:r>
      <w:r w:rsidR="00F85A87">
        <w:rPr>
          <w:sz w:val="22"/>
          <w:szCs w:val="22"/>
        </w:rPr>
        <w:t>…………2023</w:t>
      </w:r>
      <w:r w:rsidRPr="00AB306D">
        <w:rPr>
          <w:sz w:val="22"/>
          <w:szCs w:val="22"/>
        </w:rPr>
        <w:t xml:space="preserve"> r., </w:t>
      </w:r>
      <w:r w:rsidR="002E7242">
        <w:rPr>
          <w:sz w:val="22"/>
          <w:szCs w:val="22"/>
        </w:rPr>
        <w:t xml:space="preserve">przedmiotem której </w:t>
      </w:r>
      <w:r w:rsidRPr="00AB306D">
        <w:rPr>
          <w:sz w:val="22"/>
          <w:szCs w:val="22"/>
        </w:rPr>
        <w:t>jest</w:t>
      </w:r>
      <w:r w:rsidR="00F85A87">
        <w:rPr>
          <w:sz w:val="22"/>
          <w:szCs w:val="22"/>
        </w:rPr>
        <w:t xml:space="preserve"> usługa geodezyjna polegająca</w:t>
      </w:r>
      <w:r w:rsidR="00F85A87" w:rsidRPr="00F85A87">
        <w:rPr>
          <w:sz w:val="22"/>
          <w:szCs w:val="22"/>
        </w:rPr>
        <w:t xml:space="preserve"> na  utworzeniu bazy danych BDOT500, zgodnej z pojęciowym modelem danych BDOT500, dla wybranych obrębów ewidencyjnych</w:t>
      </w:r>
      <w:r w:rsidR="00F85A87">
        <w:rPr>
          <w:sz w:val="22"/>
          <w:szCs w:val="22"/>
        </w:rPr>
        <w:t xml:space="preserve"> Miasta Nowa Sól</w:t>
      </w:r>
      <w:r w:rsidR="00646B2B">
        <w:rPr>
          <w:sz w:val="22"/>
          <w:szCs w:val="22"/>
        </w:rPr>
        <w:t xml:space="preserve">, </w:t>
      </w:r>
      <w:r w:rsidR="002E7242">
        <w:rPr>
          <w:sz w:val="22"/>
          <w:szCs w:val="22"/>
        </w:rPr>
        <w:t>w trakcie wykonywania której</w:t>
      </w:r>
      <w:r w:rsidRPr="00AB306D">
        <w:rPr>
          <w:sz w:val="22"/>
          <w:szCs w:val="22"/>
        </w:rPr>
        <w:t xml:space="preserve"> przetwarzane są dane osobo</w:t>
      </w:r>
      <w:r w:rsidR="003E6847" w:rsidRPr="00AB306D">
        <w:rPr>
          <w:sz w:val="22"/>
          <w:szCs w:val="22"/>
        </w:rPr>
        <w:t>we, Strony zgodnie postanowił</w:t>
      </w:r>
      <w:r w:rsidR="00AB306D" w:rsidRPr="00AB306D">
        <w:rPr>
          <w:sz w:val="22"/>
          <w:szCs w:val="22"/>
        </w:rPr>
        <w:t>y co </w:t>
      </w:r>
      <w:r w:rsidR="003E6847" w:rsidRPr="00AB306D">
        <w:rPr>
          <w:sz w:val="22"/>
          <w:szCs w:val="22"/>
        </w:rPr>
        <w:t>następuje:</w:t>
      </w:r>
    </w:p>
    <w:p w:rsidR="00EB75EC" w:rsidRDefault="00C06F3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Powierzający</w:t>
      </w:r>
      <w:r>
        <w:rPr>
          <w:color w:val="000000"/>
          <w:sz w:val="22"/>
          <w:szCs w:val="22"/>
        </w:rPr>
        <w:t xml:space="preserve"> oświadcza, że jest administratorem danych osobowych w rozumieniu przepisów Rozporządzenia Parlamentu Europejskiego i Rady UE z dnia 27 kwietnia 2016r. w sprawie ochrony osób fizycznych w związku z przetwarzaniem danych osobowych i w sprawie swobodnego przepływu takich danych oraz uchylenia dyrektywy 95/46/WE (dalej "Rozporządzenie" lub "RODO") w stosunku do danych powierzonych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>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oświadcza, że może przetwarzać dane osobowe wyłącznie na udokumentowane polecenie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, co dotyczy również przekazywania danych do państwa trzeciego lub organizacji międzynarodowej.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Ust. 2 nie stosuje się, jeżeli obowiązek przetwarzania danych osobowych nakładają na </w:t>
      </w:r>
      <w:r w:rsidR="003E6847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przepisy prawa. W takiej sytuacji informuje on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 xml:space="preserve"> przed rozpoczęciem przetwarzania o tym obowiązku, chyba że przepisy te zabraniają udzielania takiej informacji z uwagi na ważny interes publiczny.</w:t>
      </w:r>
    </w:p>
    <w:p w:rsidR="00EB75EC" w:rsidRDefault="00C06F3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 2</w:t>
      </w:r>
    </w:p>
    <w:p w:rsidR="00EB75EC" w:rsidRPr="00AB306D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892871" w:rsidRPr="00AB306D">
        <w:rPr>
          <w:sz w:val="22"/>
          <w:szCs w:val="22"/>
        </w:rPr>
        <w:t>Procesor</w:t>
      </w:r>
      <w:r w:rsidRPr="00AB306D">
        <w:rPr>
          <w:sz w:val="22"/>
          <w:szCs w:val="22"/>
        </w:rPr>
        <w:t xml:space="preserve"> może przetwarzać dane osobowe wyłącznie w celu </w:t>
      </w:r>
      <w:r w:rsidR="003E6847" w:rsidRPr="00AB306D">
        <w:rPr>
          <w:sz w:val="22"/>
          <w:szCs w:val="22"/>
        </w:rPr>
        <w:t>realizacji umowy głównej</w:t>
      </w:r>
      <w:r w:rsidR="003E6847" w:rsidRPr="00AB306D">
        <w:t xml:space="preserve"> </w:t>
      </w:r>
      <w:r w:rsidR="00F85A87">
        <w:t>GN.6641.1</w:t>
      </w:r>
      <w:r w:rsidR="00646B2B">
        <w:t xml:space="preserve">/    </w:t>
      </w:r>
      <w:r w:rsidR="00F85A87">
        <w:t>/2023</w:t>
      </w:r>
      <w:r w:rsidR="002A320F" w:rsidRPr="002A320F">
        <w:t xml:space="preserve"> </w:t>
      </w:r>
      <w:r w:rsidR="00F85A87">
        <w:rPr>
          <w:sz w:val="22"/>
          <w:szCs w:val="22"/>
        </w:rPr>
        <w:t>z dnia ………</w:t>
      </w:r>
      <w:r w:rsidR="001B4BD5">
        <w:rPr>
          <w:sz w:val="22"/>
          <w:szCs w:val="22"/>
        </w:rPr>
        <w:t xml:space="preserve"> </w:t>
      </w:r>
      <w:r w:rsidR="00F85A87">
        <w:rPr>
          <w:sz w:val="22"/>
          <w:szCs w:val="22"/>
        </w:rPr>
        <w:t>2023</w:t>
      </w:r>
      <w:r w:rsidR="003E6847" w:rsidRPr="00AB306D">
        <w:rPr>
          <w:sz w:val="22"/>
          <w:szCs w:val="22"/>
        </w:rPr>
        <w:t xml:space="preserve"> r</w:t>
      </w:r>
      <w:r w:rsidR="002E7242">
        <w:rPr>
          <w:sz w:val="22"/>
          <w:szCs w:val="22"/>
        </w:rPr>
        <w:t>.</w:t>
      </w:r>
      <w:r w:rsidRPr="00AB306D">
        <w:rPr>
          <w:sz w:val="22"/>
          <w:szCs w:val="22"/>
        </w:rPr>
        <w:t xml:space="preserve"> a także wykonania pozostałych operacji przetwarzania danych osobowych wskazanych w niniejszej Umowie, nieobjętych wprost przedmiotem usług. </w:t>
      </w:r>
    </w:p>
    <w:p w:rsidR="00EB75EC" w:rsidRPr="00AB306D" w:rsidRDefault="00C06F33">
      <w:pPr>
        <w:ind w:left="426" w:hanging="426"/>
        <w:jc w:val="both"/>
        <w:rPr>
          <w:sz w:val="22"/>
          <w:szCs w:val="22"/>
        </w:rPr>
      </w:pPr>
      <w:r w:rsidRPr="00AB306D">
        <w:rPr>
          <w:sz w:val="22"/>
          <w:szCs w:val="22"/>
        </w:rPr>
        <w:t>2.</w:t>
      </w:r>
      <w:r w:rsidRPr="00AB306D">
        <w:rPr>
          <w:sz w:val="22"/>
          <w:szCs w:val="22"/>
        </w:rPr>
        <w:tab/>
      </w:r>
      <w:r w:rsidR="00892871" w:rsidRPr="00AB306D">
        <w:rPr>
          <w:sz w:val="22"/>
          <w:szCs w:val="22"/>
        </w:rPr>
        <w:t>Procesor</w:t>
      </w:r>
      <w:r w:rsidRPr="00AB306D">
        <w:rPr>
          <w:sz w:val="22"/>
          <w:szCs w:val="22"/>
        </w:rPr>
        <w:t xml:space="preserve"> może przetwarzać dane osobowe następujących kategorii osób: </w:t>
      </w:r>
      <w:r w:rsidR="003E6847" w:rsidRPr="00AB306D">
        <w:rPr>
          <w:sz w:val="22"/>
          <w:szCs w:val="22"/>
        </w:rPr>
        <w:t>podmioty będące klientami, potencjalnymi klientami, pracownikami, podwykonawcami lub innymi współpracownikami Powierzającego,</w:t>
      </w:r>
      <w:r w:rsidRPr="00AB306D">
        <w:rPr>
          <w:sz w:val="22"/>
          <w:szCs w:val="22"/>
        </w:rPr>
        <w:t xml:space="preserve"> które </w:t>
      </w:r>
      <w:r w:rsidR="00892871" w:rsidRPr="00AB306D">
        <w:rPr>
          <w:sz w:val="22"/>
          <w:szCs w:val="22"/>
        </w:rPr>
        <w:t>Powierzający</w:t>
      </w:r>
      <w:r w:rsidRPr="00AB306D">
        <w:rPr>
          <w:sz w:val="22"/>
          <w:szCs w:val="22"/>
        </w:rPr>
        <w:t xml:space="preserve"> przetwarza jako administrator</w:t>
      </w:r>
      <w:r w:rsidRPr="00AB306D">
        <w:rPr>
          <w:i/>
          <w:sz w:val="22"/>
          <w:szCs w:val="22"/>
        </w:rPr>
        <w:t xml:space="preserve">. </w:t>
      </w:r>
    </w:p>
    <w:p w:rsidR="00EB75EC" w:rsidRDefault="00C06F33" w:rsidP="002D4801">
      <w:pPr>
        <w:ind w:left="426" w:hanging="426"/>
        <w:jc w:val="both"/>
        <w:rPr>
          <w:sz w:val="22"/>
          <w:szCs w:val="22"/>
        </w:rPr>
      </w:pPr>
      <w:r w:rsidRPr="00AB306D">
        <w:rPr>
          <w:sz w:val="22"/>
          <w:szCs w:val="22"/>
        </w:rPr>
        <w:t>3.</w:t>
      </w:r>
      <w:r w:rsidRPr="00AB306D">
        <w:rPr>
          <w:sz w:val="22"/>
          <w:szCs w:val="22"/>
        </w:rPr>
        <w:tab/>
      </w:r>
      <w:r w:rsidR="00892871" w:rsidRPr="00AB306D">
        <w:rPr>
          <w:sz w:val="22"/>
          <w:szCs w:val="22"/>
        </w:rPr>
        <w:t>Procesor</w:t>
      </w:r>
      <w:r w:rsidRPr="00AB306D">
        <w:rPr>
          <w:sz w:val="22"/>
          <w:szCs w:val="22"/>
        </w:rPr>
        <w:t xml:space="preserve"> może przetwarzać następujące kategorie danych osobowych: </w:t>
      </w:r>
      <w:r w:rsidR="003E6847" w:rsidRPr="00AB306D">
        <w:rPr>
          <w:sz w:val="22"/>
          <w:szCs w:val="22"/>
        </w:rPr>
        <w:t>dane osobowe znajdujące się w zbiorach Powier</w:t>
      </w:r>
      <w:r w:rsidR="00646B2B">
        <w:rPr>
          <w:sz w:val="22"/>
          <w:szCs w:val="22"/>
        </w:rPr>
        <w:t xml:space="preserve">zającego: </w:t>
      </w:r>
      <w:r w:rsidR="00F85A87" w:rsidRPr="00F85A87">
        <w:rPr>
          <w:sz w:val="22"/>
          <w:szCs w:val="22"/>
        </w:rPr>
        <w:t xml:space="preserve">GEO-INFO Mapa, GEO-INFO Ośrodek z </w:t>
      </w:r>
      <w:proofErr w:type="spellStart"/>
      <w:r w:rsidR="00F85A87" w:rsidRPr="00F85A87">
        <w:rPr>
          <w:sz w:val="22"/>
          <w:szCs w:val="22"/>
        </w:rPr>
        <w:t>Zudp</w:t>
      </w:r>
      <w:proofErr w:type="spellEnd"/>
      <w:r w:rsidR="00F85A87" w:rsidRPr="00F85A87">
        <w:rPr>
          <w:sz w:val="22"/>
          <w:szCs w:val="22"/>
        </w:rPr>
        <w:t xml:space="preserve">, GEO-INFO </w:t>
      </w:r>
      <w:proofErr w:type="spellStart"/>
      <w:r w:rsidR="00F85A87" w:rsidRPr="00F85A87">
        <w:rPr>
          <w:sz w:val="22"/>
          <w:szCs w:val="22"/>
        </w:rPr>
        <w:t>EGiB</w:t>
      </w:r>
      <w:proofErr w:type="spellEnd"/>
      <w:r w:rsidR="00F85A87" w:rsidRPr="00F85A87">
        <w:rPr>
          <w:sz w:val="22"/>
          <w:szCs w:val="22"/>
        </w:rPr>
        <w:t>, GEO-INFO Delta, operatach technicznych,</w:t>
      </w:r>
      <w:r w:rsidR="00F85A87">
        <w:rPr>
          <w:sz w:val="22"/>
          <w:szCs w:val="22"/>
        </w:rPr>
        <w:t xml:space="preserve"> </w:t>
      </w:r>
      <w:r w:rsidR="003E6847" w:rsidRPr="00AB306D">
        <w:rPr>
          <w:sz w:val="22"/>
          <w:szCs w:val="22"/>
        </w:rPr>
        <w:t>kategorie danych: zwykłe</w:t>
      </w:r>
      <w:r w:rsidR="00AE55D8" w:rsidRPr="00AB306D">
        <w:rPr>
          <w:sz w:val="22"/>
          <w:szCs w:val="22"/>
        </w:rPr>
        <w:t xml:space="preserve">. Powierzone Procesorowi przez Powierzającego do przetwarzania dane osobowe nie obejmują danych </w:t>
      </w:r>
      <w:r w:rsidR="006C1B54">
        <w:rPr>
          <w:sz w:val="22"/>
          <w:szCs w:val="22"/>
        </w:rPr>
        <w:t xml:space="preserve">               </w:t>
      </w:r>
      <w:r w:rsidR="00AE55D8" w:rsidRPr="00AB306D">
        <w:rPr>
          <w:sz w:val="22"/>
          <w:szCs w:val="22"/>
        </w:rPr>
        <w:t>o których mowa w art. 9</w:t>
      </w:r>
      <w:r w:rsidR="006C1B54">
        <w:rPr>
          <w:sz w:val="22"/>
          <w:szCs w:val="22"/>
        </w:rPr>
        <w:t xml:space="preserve"> </w:t>
      </w:r>
      <w:r w:rsidR="00AE55D8" w:rsidRPr="00AB306D">
        <w:rPr>
          <w:sz w:val="22"/>
          <w:szCs w:val="22"/>
        </w:rPr>
        <w:t xml:space="preserve"> i art. 10 RODO (szczególne kategorie danych osobowych oraz dane osobowe dotyczące wyroków skazujących i naruszeń prawa).</w:t>
      </w:r>
    </w:p>
    <w:p w:rsidR="00EB75EC" w:rsidRDefault="00C06F33" w:rsidP="006E36E1">
      <w:pPr>
        <w:spacing w:before="240" w:after="240"/>
        <w:ind w:left="3969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 3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Powierzający</w:t>
      </w:r>
      <w:r>
        <w:rPr>
          <w:color w:val="000000"/>
          <w:sz w:val="22"/>
          <w:szCs w:val="22"/>
        </w:rPr>
        <w:t xml:space="preserve"> ma prawo do kontroli sposobu wykonywania niniejszej Umowy przez </w:t>
      </w:r>
      <w:r w:rsidR="003E6847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odnośnie zobowiązań, o których mowa w niniejszej Umowie. Warunkiem przeprowadzenia kontroli jest zawiadomienie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w terminie nie krótszym niż 7 dni przed planowanym terminem jej przeprowadzenia.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udostępni </w:t>
      </w:r>
      <w:r w:rsidR="003E6847">
        <w:rPr>
          <w:color w:val="000000"/>
          <w:sz w:val="22"/>
          <w:szCs w:val="22"/>
        </w:rPr>
        <w:t>Powierzającego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wszelkie informacje niezbędne do wykazania spełnienia nałożonych na niego niniejszą Umową zobowiązań.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umożliwia </w:t>
      </w:r>
      <w:r w:rsidR="003E6847">
        <w:rPr>
          <w:color w:val="000000"/>
          <w:sz w:val="22"/>
          <w:szCs w:val="22"/>
        </w:rPr>
        <w:t>Powierzającego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lub audytorowi przez niego upoważnionemu przeprowadzanie audytów, w tym inspekcji, i przyczynia się do nich.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Uprawnienia określone w powyższych ustępach niniejszego paragrafu przysługują </w:t>
      </w:r>
      <w:r w:rsidR="003E6847">
        <w:rPr>
          <w:color w:val="000000"/>
          <w:sz w:val="22"/>
          <w:szCs w:val="22"/>
        </w:rPr>
        <w:t xml:space="preserve">Powierzającego </w:t>
      </w:r>
      <w:r>
        <w:rPr>
          <w:color w:val="000000"/>
          <w:sz w:val="22"/>
          <w:szCs w:val="22"/>
        </w:rPr>
        <w:t xml:space="preserve">odpowiednio w stosunku do Podwykonawców, o których mowa w § 7 ust. 1 niniejszej Umowy, w przypadku powierzenia przez </w:t>
      </w:r>
      <w:r w:rsidR="003E6847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przetwarzania danych Podwykonawcom, zgodnie z § 7 Umowy.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 xml:space="preserve">W związku z obowiązkiem określonym w ustępach powyżej,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niezwłocznie informuje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, jeżeli jego zdaniem wydane mu polecenie stanowi naruszenie Rozporządzenia lub innych przepisów powszechnie obowiązujących, które dotyczą ochrony danych osobowych.</w:t>
      </w:r>
    </w:p>
    <w:p w:rsidR="00EB75EC" w:rsidRDefault="00C06F3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4</w:t>
      </w:r>
    </w:p>
    <w:p w:rsidR="00EB75EC" w:rsidRPr="00AE55D8" w:rsidRDefault="00892871" w:rsidP="00AE55D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E55D8">
        <w:rPr>
          <w:color w:val="000000"/>
          <w:sz w:val="22"/>
          <w:szCs w:val="22"/>
        </w:rPr>
        <w:t>Procesor</w:t>
      </w:r>
      <w:r w:rsidR="00C06F33" w:rsidRPr="00AE55D8">
        <w:rPr>
          <w:color w:val="000000"/>
          <w:sz w:val="22"/>
          <w:szCs w:val="22"/>
        </w:rPr>
        <w:t xml:space="preserve"> zobowiązuje się do</w:t>
      </w:r>
      <w:r w:rsidR="00C11570" w:rsidRPr="00AE55D8">
        <w:rPr>
          <w:color w:val="000000"/>
          <w:sz w:val="22"/>
          <w:szCs w:val="22"/>
        </w:rPr>
        <w:t xml:space="preserve"> wdrożenia </w:t>
      </w:r>
      <w:r w:rsidR="00C06F33" w:rsidRPr="00AE55D8">
        <w:rPr>
          <w:color w:val="000000"/>
          <w:sz w:val="22"/>
          <w:szCs w:val="22"/>
        </w:rPr>
        <w:t>odpowiednich środków technicznych i organizacyjnych zapewniających stopień bezpieczeństwa przetwarzania danych uwzględniający stan wiedzy technicznej, koszt wdrażania oraz charakter, zakres, kontekst i cele przetwarzania oraz ryzyko naruszenia praw lub wolności osób fizycznych o różnym pr</w:t>
      </w:r>
      <w:r w:rsidR="00AB306D">
        <w:rPr>
          <w:color w:val="000000"/>
          <w:sz w:val="22"/>
          <w:szCs w:val="22"/>
        </w:rPr>
        <w:t>awdopodobieństwie wystąpienia i </w:t>
      </w:r>
      <w:r w:rsidR="00C06F33" w:rsidRPr="00AE55D8">
        <w:rPr>
          <w:color w:val="000000"/>
          <w:sz w:val="22"/>
          <w:szCs w:val="22"/>
        </w:rPr>
        <w:t xml:space="preserve">wadze zagrożenia. </w:t>
      </w:r>
    </w:p>
    <w:p w:rsidR="00EB75EC" w:rsidRPr="00AE55D8" w:rsidRDefault="00C06F33" w:rsidP="00AE55D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E55D8">
        <w:rPr>
          <w:sz w:val="22"/>
          <w:szCs w:val="22"/>
        </w:rPr>
        <w:t xml:space="preserve">Strony definiują w załączniku </w:t>
      </w:r>
      <w:r w:rsidR="00381BFA" w:rsidRPr="00AE55D8">
        <w:rPr>
          <w:sz w:val="22"/>
          <w:szCs w:val="22"/>
        </w:rPr>
        <w:t>A</w:t>
      </w:r>
      <w:r w:rsidRPr="00AE55D8">
        <w:rPr>
          <w:sz w:val="22"/>
          <w:szCs w:val="22"/>
        </w:rPr>
        <w:t xml:space="preserve"> odpowiednie środki techniczne i organizacyjne, które podmiot przetwarzający podejmuje w celu wspierania Administratora.</w:t>
      </w:r>
    </w:p>
    <w:p w:rsidR="00EB75EC" w:rsidRDefault="00C06F33" w:rsidP="006E36E1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5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Biorąc pod uwagę charakter przetwarzania danych,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zobowiązuje się od dnia stosowania Rozporządzenia do pomocy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, poprzez odpowiednie środki techniczne i</w:t>
      </w:r>
      <w:r w:rsidR="00AE55D8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organizacyjne, w wywiązaniu się z obowiązku odpowiedzi na żądania osoby, której dane dotyczą, w szczególności w zakresie wykonywania jej praw określonych w Rozdziale III Rozporządzenia.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Biorąc pod uwagę charakter przetwarzania danych oraz posiadane informacje,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zobowiązuje się do pomocy </w:t>
      </w:r>
      <w:r w:rsidR="002E7242">
        <w:rPr>
          <w:color w:val="000000"/>
          <w:sz w:val="22"/>
          <w:szCs w:val="22"/>
        </w:rPr>
        <w:t>Powierzającemu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zakresie wywiązywania się z obowiązków wymienionych w art. 32-34 w Sekcji 2 i art. 35-36 Sekcji 3 Roz</w:t>
      </w:r>
      <w:r w:rsidR="00AB306D">
        <w:rPr>
          <w:color w:val="000000"/>
          <w:sz w:val="22"/>
          <w:szCs w:val="22"/>
        </w:rPr>
        <w:t>działu IV Rozporządzenia, tj. w </w:t>
      </w:r>
      <w:r>
        <w:rPr>
          <w:color w:val="000000"/>
          <w:sz w:val="22"/>
          <w:szCs w:val="22"/>
        </w:rPr>
        <w:t>szczególności dotyczących wdrażania odpowiednich środków technicznych i</w:t>
      </w:r>
      <w:r w:rsidR="00AB306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organizacyjnych, zgłaszania naruszenia ochrony danych osobowych przez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 xml:space="preserve"> organowi nadzorczemu oraz osobie, której dane dotyczą, co oznacza udzielenie </w:t>
      </w:r>
      <w:r w:rsidR="002E7242">
        <w:rPr>
          <w:color w:val="000000"/>
          <w:sz w:val="22"/>
          <w:szCs w:val="22"/>
        </w:rPr>
        <w:t xml:space="preserve">Powierzającemu </w:t>
      </w:r>
      <w:r>
        <w:rPr>
          <w:color w:val="000000"/>
          <w:sz w:val="22"/>
          <w:szCs w:val="22"/>
        </w:rPr>
        <w:lastRenderedPageBreak/>
        <w:t xml:space="preserve">na każde jego żądanie i we wskazanym przez niego terminie, wszelkich wyjaśnień i innych form wsparcia, w tym informacji o stanie faktycznym, które pomogą </w:t>
      </w:r>
      <w:r w:rsidR="002E7242">
        <w:rPr>
          <w:color w:val="000000"/>
          <w:sz w:val="22"/>
          <w:szCs w:val="22"/>
        </w:rPr>
        <w:t>Powierzając</w:t>
      </w:r>
      <w:r w:rsidR="006C1B54">
        <w:rPr>
          <w:color w:val="000000"/>
          <w:sz w:val="22"/>
          <w:szCs w:val="22"/>
        </w:rPr>
        <w:t>e</w:t>
      </w:r>
      <w:r w:rsidR="002E7242">
        <w:rPr>
          <w:color w:val="000000"/>
          <w:sz w:val="22"/>
          <w:szCs w:val="22"/>
        </w:rPr>
        <w:t>mu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spełnieniu jego obowiązków wynikających z RODO, o których mowa. </w:t>
      </w:r>
    </w:p>
    <w:p w:rsidR="00EB75EC" w:rsidRDefault="00C06F33" w:rsidP="006E36E1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6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zobowiązuje się do prowadzenia rejestru wszystkich kategorii czynności przetwarzania danych osobowych (dalej "Rejestr") dokonywanych w imieniu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.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Rejestr zawiera następujące informacje: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  <w:t xml:space="preserve">imię i nazwisko / nazwa i dane kontaktowe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oraz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, a także ich przedstawicieli, jeżeli ma to zastosowanie zgodnie z RODO oraz inspektora ochrony danych, jeśli został wyznaczony;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 xml:space="preserve">kategorie przetwarzań dokonywanych w imieniu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ogólny opis środków technicznych i organizacyjnych mających na celu zabezpieczenie powierzonych danych osobowych;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informacje o przekazaniu danych osobowych do państwa trzeciego lub organizacji międzynarodowej oraz nazwy tych państw lub podmiotów, a w przypadku przekazań, o których mowa w art. 49 ust. 1 akapit drugi RODO, dokumentację odpowiednich zabezpieczeń.</w:t>
      </w:r>
    </w:p>
    <w:p w:rsidR="00EB75EC" w:rsidRDefault="00C06F33">
      <w:pPr>
        <w:spacing w:before="240" w:after="240"/>
        <w:ind w:left="703" w:hanging="7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7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892871">
        <w:rPr>
          <w:sz w:val="22"/>
          <w:szCs w:val="22"/>
        </w:rPr>
        <w:t>Powierzający</w:t>
      </w:r>
      <w:r>
        <w:rPr>
          <w:sz w:val="22"/>
          <w:szCs w:val="22"/>
        </w:rPr>
        <w:t xml:space="preserve"> wyraża zgodę, aby </w:t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powierzył dalej przetwarzanie danych osobowych (dalej "Podpowierzenie") i wykonywanie zadań wynikających z Umowy podmiotowi trzeciemu (dalej "Podwykonawca"), pod warunkiem, że: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powiadomi uprzednio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, mailem lub w formie pisemnej, o swoim zamiarze Podpowierzenia;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Powierzający</w:t>
      </w:r>
      <w:r>
        <w:rPr>
          <w:color w:val="000000"/>
          <w:sz w:val="22"/>
          <w:szCs w:val="22"/>
        </w:rPr>
        <w:t xml:space="preserve"> zachowuje prawo sprzeciwu wobec zamiaru Podpowierzenia lub zmiany jego warunków przez </w:t>
      </w:r>
      <w:r w:rsidR="003E6847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>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cel Podpowierzenia nie będzie szerszy niż wynikający z Umowy;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 xml:space="preserve">przedmiot i czas trwania przetwarzania, charakter i cel przetwarzania, rodzaj danych osobowych oraz kategorie osób, których dane dotyczą, obowiązki i prawa </w:t>
      </w:r>
      <w:r w:rsidR="003E6847">
        <w:rPr>
          <w:color w:val="000000"/>
          <w:sz w:val="22"/>
          <w:szCs w:val="22"/>
        </w:rPr>
        <w:t>Powierzającego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zostaną zachowane w umowie Podpowierzenia odpowiednio do warunków, opisanych w niniejszej Umowie;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</w:t>
      </w:r>
      <w:r>
        <w:rPr>
          <w:color w:val="000000"/>
          <w:sz w:val="22"/>
          <w:szCs w:val="22"/>
        </w:rPr>
        <w:tab/>
        <w:t>Podpowierzenie będzie niezbędne dla realizacji celów związanych z procesami lub projektami wynikającymi z Umowy;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f)</w:t>
      </w:r>
      <w:r>
        <w:rPr>
          <w:color w:val="000000"/>
          <w:sz w:val="22"/>
          <w:szCs w:val="22"/>
        </w:rPr>
        <w:tab/>
        <w:t xml:space="preserve">Podpowierzenie nie naruszy interesów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g)</w:t>
      </w:r>
      <w:r>
        <w:rPr>
          <w:color w:val="000000"/>
          <w:sz w:val="22"/>
          <w:szCs w:val="22"/>
        </w:rPr>
        <w:tab/>
        <w:t>umowa Podpowierzenia zostanie zawarta z Po</w:t>
      </w:r>
      <w:r w:rsidR="00AB306D">
        <w:rPr>
          <w:color w:val="000000"/>
          <w:sz w:val="22"/>
          <w:szCs w:val="22"/>
        </w:rPr>
        <w:t>dwykonawcą na piśmie, zgodnie z </w:t>
      </w:r>
      <w:r>
        <w:rPr>
          <w:color w:val="000000"/>
          <w:sz w:val="22"/>
          <w:szCs w:val="22"/>
        </w:rPr>
        <w:t>obowiązującymi przepisami dotyczącymi powierzania p</w:t>
      </w:r>
      <w:r w:rsidR="00AB306D">
        <w:rPr>
          <w:color w:val="000000"/>
          <w:sz w:val="22"/>
          <w:szCs w:val="22"/>
        </w:rPr>
        <w:t>rzetwarzania danych osobowych z </w:t>
      </w:r>
      <w:r>
        <w:rPr>
          <w:color w:val="000000"/>
          <w:sz w:val="22"/>
          <w:szCs w:val="22"/>
        </w:rPr>
        <w:t xml:space="preserve">zastrzeżeniem, że wszelkie obowiązki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, wynikające z niniejszej Umowy,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zastosuje odpowiednio do Podwykonawcy w umowie Podpowierzenia;</w:t>
      </w:r>
    </w:p>
    <w:p w:rsidR="00AE55D8" w:rsidRDefault="00C06F33" w:rsidP="00AE55D8">
      <w:pPr>
        <w:pBdr>
          <w:top w:val="nil"/>
          <w:left w:val="nil"/>
          <w:bottom w:val="nil"/>
          <w:right w:val="nil"/>
          <w:between w:val="nil"/>
        </w:pBdr>
        <w:ind w:left="715" w:hanging="27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h)</w:t>
      </w:r>
      <w:r>
        <w:rPr>
          <w:color w:val="000000"/>
          <w:sz w:val="22"/>
          <w:szCs w:val="22"/>
        </w:rPr>
        <w:tab/>
        <w:t>Podwykonawca spełnia obowiązki wynikające z Rozporządzenia, nakładane bezpośrednio na podmiot przetwarzający w rozumieniu Rozporządzenia, w tym w szczególności obowiązek prowadzenia rejestru czynności przetwarzania oraz w</w:t>
      </w:r>
      <w:r w:rsidR="00AB306D">
        <w:rPr>
          <w:color w:val="000000"/>
          <w:sz w:val="22"/>
          <w:szCs w:val="22"/>
        </w:rPr>
        <w:t>drożenia środków technicznych i </w:t>
      </w:r>
      <w:r>
        <w:rPr>
          <w:color w:val="000000"/>
          <w:sz w:val="22"/>
          <w:szCs w:val="22"/>
        </w:rPr>
        <w:t>organizacyjnych zapewniających bezpieczeństwo przetwa</w:t>
      </w:r>
      <w:r w:rsidR="00AB306D">
        <w:rPr>
          <w:color w:val="000000"/>
          <w:sz w:val="22"/>
          <w:szCs w:val="22"/>
        </w:rPr>
        <w:t>rzania danych, o których mowa w </w:t>
      </w:r>
      <w:r>
        <w:rPr>
          <w:color w:val="000000"/>
          <w:sz w:val="22"/>
          <w:szCs w:val="22"/>
        </w:rPr>
        <w:t>Rozporządzeniu;</w:t>
      </w:r>
    </w:p>
    <w:p w:rsidR="00EB75EC" w:rsidRPr="00AE55D8" w:rsidRDefault="00C06F33" w:rsidP="00AE55D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5" w:hanging="278"/>
        <w:jc w:val="both"/>
        <w:rPr>
          <w:color w:val="000000"/>
          <w:sz w:val="22"/>
          <w:szCs w:val="22"/>
        </w:rPr>
      </w:pPr>
      <w:r w:rsidRPr="00AE55D8">
        <w:rPr>
          <w:color w:val="000000"/>
          <w:sz w:val="22"/>
          <w:szCs w:val="22"/>
        </w:rPr>
        <w:t>Lista podmiotów, którym</w:t>
      </w:r>
      <w:r w:rsidRPr="00AE55D8">
        <w:rPr>
          <w:color w:val="000000"/>
        </w:rPr>
        <w:t xml:space="preserve"> </w:t>
      </w:r>
      <w:r w:rsidR="00892871" w:rsidRPr="00AE55D8">
        <w:rPr>
          <w:color w:val="000000"/>
          <w:sz w:val="22"/>
          <w:szCs w:val="22"/>
        </w:rPr>
        <w:t>Procesor</w:t>
      </w:r>
      <w:r w:rsidRPr="00AE55D8">
        <w:rPr>
          <w:color w:val="000000"/>
          <w:sz w:val="22"/>
          <w:szCs w:val="22"/>
        </w:rPr>
        <w:t xml:space="preserve"> powierzył dalej przetwarzanie danych osobowych już upoważnionych przez Administratora znajduje się w załączniku </w:t>
      </w:r>
      <w:r w:rsidR="00381BFA" w:rsidRPr="00AE55D8">
        <w:rPr>
          <w:color w:val="000000"/>
          <w:sz w:val="22"/>
          <w:szCs w:val="22"/>
        </w:rPr>
        <w:t>B</w:t>
      </w:r>
      <w:r w:rsidRPr="00AE55D8">
        <w:rPr>
          <w:color w:val="000000"/>
          <w:sz w:val="22"/>
          <w:szCs w:val="22"/>
        </w:rPr>
        <w:t>.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w umowie Podpowierzenia zobowiąże Podwykonawców do przestrzegania przy przetwarzaniu powierzonych danych obowiązków dotyczących ochrony danych na poziomie, co najmniej określonym w niniejszej Umowie oraz Rozporządzeniu.</w:t>
      </w:r>
    </w:p>
    <w:p w:rsidR="00AB306D" w:rsidRDefault="00C06F33" w:rsidP="002A320F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Jeżeli Podwykonawca nie wywiąże się ze spoczywających na</w:t>
      </w:r>
      <w:r w:rsidR="00AB306D">
        <w:rPr>
          <w:sz w:val="22"/>
          <w:szCs w:val="22"/>
        </w:rPr>
        <w:t xml:space="preserve"> nim obowiązków określonych w </w:t>
      </w:r>
      <w:r>
        <w:rPr>
          <w:sz w:val="22"/>
          <w:szCs w:val="22"/>
        </w:rPr>
        <w:t xml:space="preserve">niniejszej Umowie lub RODO, pełna odpowiedzialność wobec </w:t>
      </w:r>
      <w:r w:rsidR="003E6847">
        <w:rPr>
          <w:sz w:val="22"/>
          <w:szCs w:val="22"/>
        </w:rPr>
        <w:t>Powierzającego</w:t>
      </w:r>
      <w:r w:rsidR="00AE55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wypełnienie tych obowiązków spoczywa na </w:t>
      </w:r>
      <w:r w:rsidR="00AE55D8">
        <w:rPr>
          <w:sz w:val="22"/>
          <w:szCs w:val="22"/>
        </w:rPr>
        <w:t>Procesora</w:t>
      </w:r>
      <w:r>
        <w:rPr>
          <w:sz w:val="22"/>
          <w:szCs w:val="22"/>
        </w:rPr>
        <w:t>.</w:t>
      </w:r>
    </w:p>
    <w:p w:rsidR="00EB75EC" w:rsidRDefault="00C06F33">
      <w:pPr>
        <w:spacing w:before="240" w:after="240"/>
        <w:ind w:left="703" w:hanging="7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8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>
        <w:rPr>
          <w:sz w:val="22"/>
          <w:szCs w:val="22"/>
        </w:rPr>
        <w:tab/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oświadcza, że każda osoba (np. pracownik etatowy, osoba świadcząca czynności na podstawie umów cywilnoprawnych, inne osoby pracujące na rzecz </w:t>
      </w:r>
      <w:r w:rsidR="00AE55D8">
        <w:rPr>
          <w:sz w:val="22"/>
          <w:szCs w:val="22"/>
        </w:rPr>
        <w:t>Procesora</w:t>
      </w:r>
      <w:r>
        <w:rPr>
          <w:sz w:val="22"/>
          <w:szCs w:val="22"/>
        </w:rPr>
        <w:t xml:space="preserve">), która zostanie dopuszczona do przetwarzania powierzonych przez </w:t>
      </w:r>
      <w:r w:rsidR="00DC3EF4">
        <w:rPr>
          <w:sz w:val="22"/>
          <w:szCs w:val="22"/>
        </w:rPr>
        <w:t>Powierzającego</w:t>
      </w:r>
      <w:r>
        <w:rPr>
          <w:sz w:val="22"/>
          <w:szCs w:val="22"/>
        </w:rPr>
        <w:t xml:space="preserve"> danych osobowych zostanie zobowiązana do zachowania tych danych w tajemnicy. Tajemnica ta obejmuje również wszelkie informacje dotyczące sposobów zabezpieczenia powierzonych do przetwarzania danych osobowych. Do zachowania w tajemnicy danych osobowych oraz sposobów ich zabezpieczenia zobowiązany jest także </w:t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>, a samo zobowiązanie obejmu</w:t>
      </w:r>
      <w:r w:rsidR="00AB306D">
        <w:rPr>
          <w:sz w:val="22"/>
          <w:szCs w:val="22"/>
        </w:rPr>
        <w:t>je podmioty, wymienione w </w:t>
      </w:r>
      <w:r>
        <w:rPr>
          <w:sz w:val="22"/>
          <w:szCs w:val="22"/>
        </w:rPr>
        <w:t xml:space="preserve">niniejszym ustępie bezterminowo, tj. także po zakończeniu obowiązywania niniejszej Umowy. Postanowienia dotyczące zachowania tajemnicy, o której mowa w niniejszym ustępie, </w:t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ma obowiązek stosować odpowiednio także wobec swoich Podwykonawców i osób dopuszczonych przez Podwykonawców do przetwarzania danych osobowych.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oświadcza, że każda osoba mająca dostęp do danych osobowych będzie je przetwarzała wyłącznie na polecenie </w:t>
      </w:r>
      <w:r w:rsidR="00AE55D8">
        <w:rPr>
          <w:sz w:val="22"/>
          <w:szCs w:val="22"/>
        </w:rPr>
        <w:t>Powierzającego</w:t>
      </w:r>
      <w:r>
        <w:rPr>
          <w:sz w:val="22"/>
          <w:szCs w:val="22"/>
        </w:rPr>
        <w:t>, chyba że obowiązek taki wynika z przepisów prawa.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po zakończeniu realizacji usług, o których mowa w §2 ust. 1 Umowy zobowiązany jest do niezwłocznego zwrotu powierzonych mu danych oraz do usunięcia wszystkich ich istniejących kopii, sporządzonych na potrzeby bieżącej pracy, bądź na wyraźne żądanie </w:t>
      </w:r>
      <w:r w:rsidR="00AE55D8">
        <w:rPr>
          <w:sz w:val="22"/>
          <w:szCs w:val="22"/>
        </w:rPr>
        <w:t>Procesora</w:t>
      </w:r>
      <w:r>
        <w:rPr>
          <w:sz w:val="22"/>
          <w:szCs w:val="22"/>
        </w:rPr>
        <w:t xml:space="preserve"> - dokonać usunięcia powierzonych danych osobowych, zamiast ich zwrotu, chyba, że przepisy prawa nakazują przechowywanie danych osobowych. Na każde życzenie </w:t>
      </w:r>
      <w:r w:rsidR="00AE55D8">
        <w:rPr>
          <w:sz w:val="22"/>
          <w:szCs w:val="22"/>
        </w:rPr>
        <w:t>Powierzającego</w:t>
      </w:r>
      <w:r>
        <w:rPr>
          <w:sz w:val="22"/>
          <w:szCs w:val="22"/>
        </w:rPr>
        <w:t xml:space="preserve">, </w:t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ma obowiązek przedstawić w terminie 14 dni pisemny protokół potwierdzający fakt zniszczenia danych osobowych. Sposób zakończenia przetwarzania danych osobowych po sfinalizowaniu realizacji usług na rzecz </w:t>
      </w:r>
      <w:r w:rsidR="00AE55D8">
        <w:rPr>
          <w:sz w:val="22"/>
          <w:szCs w:val="22"/>
        </w:rPr>
        <w:t>Powierzającego</w:t>
      </w:r>
      <w:r>
        <w:rPr>
          <w:sz w:val="22"/>
          <w:szCs w:val="22"/>
        </w:rPr>
        <w:t xml:space="preserve">, opisany w niniejszym ustępie, </w:t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 powinien wskazać odpowiednio swoim Podwykonawcom, w przypadku Podpowierzenia. Czas trwania przetwarzania danych osobowych w imieniu </w:t>
      </w:r>
      <w:r w:rsidR="003E6847">
        <w:rPr>
          <w:sz w:val="22"/>
          <w:szCs w:val="22"/>
        </w:rPr>
        <w:t>Powierzającego</w:t>
      </w:r>
      <w:r w:rsidR="00AE55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</w:t>
      </w:r>
      <w:r w:rsidR="003E6847">
        <w:rPr>
          <w:sz w:val="22"/>
          <w:szCs w:val="22"/>
        </w:rPr>
        <w:t>Procesora</w:t>
      </w:r>
      <w:r>
        <w:rPr>
          <w:sz w:val="22"/>
          <w:szCs w:val="22"/>
        </w:rPr>
        <w:t xml:space="preserve"> (oraz odpowiednio - Podwykonawców) trwa do dnia zrealizowania obowiązku zwrotu lub usunięcia danych, o którym mowa w zdaniu pierwszym.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9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oświadcza, że w razie stwierdzenia naruszenia ochrony danych osobowych niezwłocznie, jednak nie później niż w terminie 48 godzin od wykrycia naruszenia, poinformuje o tym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 xml:space="preserve">.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Zgłoszenie, o którym mowa w ust. 1 musi co najmniej: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  <w:t>opisywać charakter naruszenia ochrony danych osobowych, w tym w miarę możliwości wskazywać kategorie i przybliżoną liczbę osób, których</w:t>
      </w:r>
      <w:r w:rsidR="00AB306D">
        <w:rPr>
          <w:color w:val="000000"/>
          <w:sz w:val="22"/>
          <w:szCs w:val="22"/>
        </w:rPr>
        <w:t xml:space="preserve"> dane dotyczą, oraz kategorie i </w:t>
      </w:r>
      <w:r>
        <w:rPr>
          <w:color w:val="000000"/>
          <w:sz w:val="22"/>
          <w:szCs w:val="22"/>
        </w:rPr>
        <w:t>przybliżoną liczbę wpisów danych osobowych, których dotyczy naruszenie;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 xml:space="preserve">zawierać imię i nazwisko oraz dane kontaktowe inspektora ochrony danych lub oznaczenie innego punktu kontaktowego, od którego można uzyskać więcej informacji;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opisywać możliwe konsekwencje naruszenia ochrony danych osobowych;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 xml:space="preserve">opisywać środki zastosowane lub proponowane przez </w:t>
      </w:r>
      <w:r w:rsidR="003E6847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w celu zaradzenia naruszeniu ochrony danych osobowych, w tym w stosownych przypadkach środki w celu zminimalizowania jego ewentualnych negatywnych skutków.</w:t>
      </w:r>
    </w:p>
    <w:p w:rsidR="002E7242" w:rsidRPr="002A320F" w:rsidRDefault="00C06F33" w:rsidP="002A320F">
      <w:pPr>
        <w:pBdr>
          <w:top w:val="nil"/>
          <w:left w:val="nil"/>
          <w:bottom w:val="nil"/>
          <w:right w:val="nil"/>
          <w:between w:val="nil"/>
        </w:pBdr>
        <w:ind w:left="502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W celu realizacji obowiązków, o których mowa w ust. 1 i 2 powyżej,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jest zobowiązany do dokumentowania wszelkich okoliczności i zebrania wszelkich dowodów, które pomogą </w:t>
      </w:r>
      <w:r w:rsidR="003E6847">
        <w:rPr>
          <w:color w:val="000000"/>
          <w:sz w:val="22"/>
          <w:szCs w:val="22"/>
        </w:rPr>
        <w:t>Powierzającego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wyjaśnić szczegóły naruszenia, w tym jego charakter, skalę, skutki, czas zdarzenia, osoby odpowiedzialne, osoby poszkodowane.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10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odpowiada za szkody majątkowe lub niemajątkowe jakie powstały wobec </w:t>
      </w:r>
      <w:r w:rsidR="003E6847">
        <w:rPr>
          <w:color w:val="000000"/>
          <w:sz w:val="22"/>
          <w:szCs w:val="22"/>
        </w:rPr>
        <w:t>Powierzającego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lub osób trzecich w wyniku przetwarzania danych osobowych niezgodnego z Umową lub obowiązkami nałożonymi przez Rozporządzenie, a także inne powszechnie obowiązujące przepisy prawa w zakresie ochrony danych osobowych bezpośrednio na </w:t>
      </w:r>
      <w:r w:rsidR="003E6847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oraz w wyniku działania poza zgodnymi z prawem instrukcjami </w:t>
      </w:r>
      <w:r w:rsidR="003E6847">
        <w:rPr>
          <w:color w:val="000000"/>
          <w:sz w:val="22"/>
          <w:szCs w:val="22"/>
        </w:rPr>
        <w:t>Powierzającego</w:t>
      </w:r>
      <w:r w:rsidR="00AE55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lub wbrew tym instrukcjom.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Powierzający</w:t>
      </w:r>
      <w:r>
        <w:rPr>
          <w:color w:val="000000"/>
          <w:sz w:val="22"/>
          <w:szCs w:val="22"/>
        </w:rPr>
        <w:t xml:space="preserve"> odpowiada za szkody majątkowe lub niemajątkowe, jakie powstały wobec osób trzecich w wyniku przetwarzania danych naruszającego Rozporządzenie lub inne przepisy dotyczące ochrony danych osobowych.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</w:t>
      </w:r>
      <w:r>
        <w:rPr>
          <w:color w:val="000000"/>
          <w:sz w:val="22"/>
          <w:szCs w:val="22"/>
        </w:rPr>
        <w:tab/>
        <w:t>Strony są zwolnione z odpowiedzialności wynikającej z ust. 1 i 2, jeżeli udowodnią, że zdarzenie, które doprowadziło do powstania szkody, jest przez nie niezawinione.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Jeżeli w tym samym przetwarzaniu biorą udział obie Strony i są odpowiedzialne za szkodę spowodowaną przetwarzaniem zgodnie z ust. 1 i ust. 2, ponoszą one odpowiedzialność solidarną.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ust. 1 i ust. 2.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ponosi odpowiedzialność za działania lub zaniechania Podwykonawcy, dotyczące przetwarzania powierzonych danych osobowych, jak za działania lub zaniechania własne, przez co postanowienia dotyczące odpowiedzialności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na warunkach opisanych powyżej obejmują także odpowiedzialność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za działania lub zaniechania jego Podwykonawców.</w:t>
      </w:r>
    </w:p>
    <w:p w:rsidR="00EB75EC" w:rsidRDefault="00C06F33">
      <w:pPr>
        <w:spacing w:before="240" w:after="240"/>
        <w:ind w:left="703" w:hanging="7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11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Strony oświadczają, że zawierają niniejszą Umowę na czas </w:t>
      </w:r>
      <w:r w:rsidR="00DC3EF4">
        <w:rPr>
          <w:sz w:val="22"/>
          <w:szCs w:val="22"/>
        </w:rPr>
        <w:t xml:space="preserve">obowiązywania umów głównych. </w:t>
      </w:r>
      <w:r w:rsidR="00AB306D">
        <w:rPr>
          <w:sz w:val="22"/>
          <w:szCs w:val="22"/>
        </w:rPr>
        <w:t>W </w:t>
      </w:r>
      <w:r w:rsidR="00DC3EF4" w:rsidRPr="00DC3EF4">
        <w:rPr>
          <w:sz w:val="22"/>
          <w:szCs w:val="22"/>
        </w:rPr>
        <w:t>celu uniknięcia wątpliwości, rozwiązanie Umów głównych dla poszczególnych części skutkuje rozwiązaniem niniejszej Umowy.</w:t>
      </w:r>
    </w:p>
    <w:p w:rsidR="00EB75EC" w:rsidRDefault="00C06F3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892871">
        <w:rPr>
          <w:sz w:val="22"/>
          <w:szCs w:val="22"/>
        </w:rPr>
        <w:t>Powierzający</w:t>
      </w:r>
      <w:r>
        <w:rPr>
          <w:sz w:val="22"/>
          <w:szCs w:val="22"/>
        </w:rPr>
        <w:t xml:space="preserve"> ma prawo wypowiedzieć Umowę w trybie natychmiastowym, gdy </w:t>
      </w:r>
      <w:r w:rsidR="00892871">
        <w:rPr>
          <w:sz w:val="22"/>
          <w:szCs w:val="22"/>
        </w:rPr>
        <w:t>Procesor</w:t>
      </w:r>
      <w:r>
        <w:rPr>
          <w:sz w:val="22"/>
          <w:szCs w:val="22"/>
        </w:rPr>
        <w:t xml:space="preserve">: 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  <w:t xml:space="preserve">wykorzystuje dane osobowe w sposób niezgodny z Umową, na co </w:t>
      </w:r>
      <w:r w:rsidR="00892871">
        <w:rPr>
          <w:color w:val="000000"/>
          <w:sz w:val="22"/>
          <w:szCs w:val="22"/>
        </w:rPr>
        <w:t>Powierzający</w:t>
      </w:r>
      <w:r>
        <w:rPr>
          <w:color w:val="000000"/>
          <w:sz w:val="22"/>
          <w:szCs w:val="22"/>
        </w:rPr>
        <w:t xml:space="preserve"> zwróci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uwagę na piśmie, a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w wyznaczonych przez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 xml:space="preserve"> terminie nie usunie wskazanych naruszeń,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710" w:hanging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 xml:space="preserve">nie zaprzestanie niewłaściwego przetwarzania danych osobowych, na co </w:t>
      </w:r>
      <w:r w:rsidR="00892871">
        <w:rPr>
          <w:color w:val="000000"/>
          <w:sz w:val="22"/>
          <w:szCs w:val="22"/>
        </w:rPr>
        <w:t>Powierzający</w:t>
      </w:r>
      <w:r>
        <w:rPr>
          <w:color w:val="000000"/>
          <w:sz w:val="22"/>
          <w:szCs w:val="22"/>
        </w:rPr>
        <w:t xml:space="preserve"> zwróci </w:t>
      </w:r>
      <w:r w:rsidR="00AE55D8">
        <w:rPr>
          <w:color w:val="000000"/>
          <w:sz w:val="22"/>
          <w:szCs w:val="22"/>
        </w:rPr>
        <w:t>Procesora</w:t>
      </w:r>
      <w:r>
        <w:rPr>
          <w:color w:val="000000"/>
          <w:sz w:val="22"/>
          <w:szCs w:val="22"/>
        </w:rPr>
        <w:t xml:space="preserve"> uwagę na piśmie, a </w:t>
      </w:r>
      <w:r w:rsidR="00892871">
        <w:rPr>
          <w:color w:val="000000"/>
          <w:sz w:val="22"/>
          <w:szCs w:val="22"/>
        </w:rPr>
        <w:t>Procesor</w:t>
      </w:r>
      <w:r>
        <w:rPr>
          <w:color w:val="000000"/>
          <w:sz w:val="22"/>
          <w:szCs w:val="22"/>
        </w:rPr>
        <w:t xml:space="preserve"> w wyznaczonych przez </w:t>
      </w:r>
      <w:r w:rsidR="00DC3EF4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 xml:space="preserve"> terminie nie usunie wskazanych naruszeń.</w:t>
      </w:r>
    </w:p>
    <w:p w:rsidR="00EB75EC" w:rsidRDefault="00C06F33" w:rsidP="006E36E1">
      <w:pPr>
        <w:spacing w:before="240" w:after="240"/>
        <w:ind w:left="561" w:hanging="56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12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Na wniosek </w:t>
      </w:r>
      <w:r w:rsidR="00AE55D8">
        <w:rPr>
          <w:color w:val="000000"/>
          <w:sz w:val="22"/>
          <w:szCs w:val="22"/>
        </w:rPr>
        <w:t>Powierzającego</w:t>
      </w:r>
      <w:r>
        <w:rPr>
          <w:color w:val="000000"/>
          <w:sz w:val="22"/>
          <w:szCs w:val="22"/>
        </w:rPr>
        <w:t>, treść umowy powierzeni</w:t>
      </w:r>
      <w:r w:rsidR="00825CD5">
        <w:rPr>
          <w:color w:val="000000"/>
          <w:sz w:val="22"/>
          <w:szCs w:val="22"/>
        </w:rPr>
        <w:t>a podlega zmianom wynikającym z </w:t>
      </w:r>
      <w:r>
        <w:rPr>
          <w:color w:val="000000"/>
          <w:sz w:val="22"/>
          <w:szCs w:val="22"/>
        </w:rPr>
        <w:t xml:space="preserve">aktualnych przepisów o ochronie danych osobowych, przy czym wszelkie zmiany </w:t>
      </w:r>
      <w:r w:rsidR="00FC6D08"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>i uzupełnienia postanowień Umowy wymagają formy pisemnej pod rygorem nieważności.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420244">
        <w:rPr>
          <w:color w:val="000000"/>
          <w:sz w:val="22"/>
          <w:szCs w:val="22"/>
        </w:rPr>
        <w:t>W sprawach nieuregulowanych niniejszą umową mają zastosowania p</w:t>
      </w:r>
      <w:r w:rsidR="00420244" w:rsidRPr="00420244">
        <w:rPr>
          <w:color w:val="000000"/>
          <w:sz w:val="22"/>
          <w:szCs w:val="22"/>
        </w:rPr>
        <w:t xml:space="preserve">rzepisy kodeksu cywilnego </w:t>
      </w:r>
      <w:r w:rsidRPr="00420244">
        <w:rPr>
          <w:color w:val="000000"/>
          <w:sz w:val="22"/>
          <w:szCs w:val="22"/>
        </w:rPr>
        <w:t>oraz Rozporządzenia.</w:t>
      </w:r>
    </w:p>
    <w:p w:rsidR="00EB75EC" w:rsidRDefault="00C06F3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Umowę sporządzono w dwóch jednobrzmiących egzemplarzach, po jednym dla każdej ze Stron.</w:t>
      </w:r>
    </w:p>
    <w:p w:rsidR="002A320F" w:rsidRPr="001B4BD5" w:rsidRDefault="00C06F33" w:rsidP="001B4BD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Umowa wchodzi w życie z dniem </w:t>
      </w:r>
      <w:r w:rsidR="00F85A87">
        <w:rPr>
          <w:color w:val="000000"/>
          <w:sz w:val="22"/>
          <w:szCs w:val="22"/>
        </w:rPr>
        <w:t>……</w:t>
      </w:r>
      <w:r w:rsidR="001B4BD5">
        <w:rPr>
          <w:color w:val="000000"/>
          <w:sz w:val="22"/>
          <w:szCs w:val="22"/>
        </w:rPr>
        <w:t xml:space="preserve"> </w:t>
      </w:r>
      <w:r w:rsidR="00F85A87">
        <w:rPr>
          <w:color w:val="000000"/>
          <w:sz w:val="22"/>
          <w:szCs w:val="22"/>
        </w:rPr>
        <w:t>2023</w:t>
      </w:r>
      <w:r w:rsidR="00DC3EF4">
        <w:rPr>
          <w:color w:val="000000"/>
          <w:sz w:val="22"/>
          <w:szCs w:val="22"/>
        </w:rPr>
        <w:t xml:space="preserve"> roku</w:t>
      </w:r>
      <w:r w:rsidR="00FC6D08">
        <w:rPr>
          <w:color w:val="000000"/>
          <w:sz w:val="22"/>
          <w:szCs w:val="22"/>
        </w:rPr>
        <w:t>.</w:t>
      </w:r>
    </w:p>
    <w:p w:rsidR="00EB75EC" w:rsidRDefault="00892871">
      <w:pPr>
        <w:tabs>
          <w:tab w:val="right" w:pos="7952"/>
        </w:tabs>
        <w:spacing w:before="240"/>
        <w:ind w:left="1136"/>
        <w:jc w:val="both"/>
        <w:rPr>
          <w:sz w:val="22"/>
          <w:szCs w:val="22"/>
        </w:rPr>
      </w:pPr>
      <w:r>
        <w:rPr>
          <w:b/>
          <w:sz w:val="22"/>
          <w:szCs w:val="22"/>
        </w:rPr>
        <w:t>Powierzający</w:t>
      </w:r>
      <w:r w:rsidR="00C06F33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Procesor</w:t>
      </w:r>
    </w:p>
    <w:p w:rsidR="00EB75EC" w:rsidRDefault="00EB75EC">
      <w:pPr>
        <w:pStyle w:val="Nagwek1"/>
        <w:spacing w:after="60" w:line="240" w:lineRule="auto"/>
        <w:rPr>
          <w:sz w:val="22"/>
          <w:szCs w:val="22"/>
        </w:rPr>
      </w:pPr>
    </w:p>
    <w:p w:rsidR="002E7242" w:rsidRDefault="002E7242" w:rsidP="002E7242"/>
    <w:p w:rsidR="002D4801" w:rsidRPr="002E7242" w:rsidRDefault="002D4801" w:rsidP="002E7242"/>
    <w:p w:rsidR="004D1D80" w:rsidRDefault="004D1D80"/>
    <w:p w:rsidR="001B4BD5" w:rsidRDefault="001B4BD5"/>
    <w:p w:rsidR="00EB75EC" w:rsidRDefault="00EB75EC"/>
    <w:p w:rsidR="001B4BD5" w:rsidRDefault="001B4BD5"/>
    <w:p w:rsidR="00646B2B" w:rsidRDefault="00646B2B"/>
    <w:p w:rsidR="00646B2B" w:rsidRDefault="00646B2B"/>
    <w:p w:rsidR="00646B2B" w:rsidRDefault="00646B2B"/>
    <w:p w:rsidR="00646B2B" w:rsidRDefault="00646B2B"/>
    <w:p w:rsidR="001B4BD5" w:rsidRDefault="001B4BD5"/>
    <w:p w:rsidR="00EB75EC" w:rsidRDefault="00C06F33">
      <w:r>
        <w:t>Załączniki:</w:t>
      </w:r>
    </w:p>
    <w:p w:rsidR="00381BFA" w:rsidRDefault="00381BFA">
      <w:r>
        <w:t>1. załącznik A - Instrukcja dotycząca wykorzystania danych osobowych</w:t>
      </w:r>
    </w:p>
    <w:p w:rsidR="00EB75EC" w:rsidRDefault="00381BFA">
      <w:r>
        <w:t>2</w:t>
      </w:r>
      <w:r w:rsidR="00C06F33">
        <w:t xml:space="preserve">. załącznik </w:t>
      </w:r>
      <w:r>
        <w:t>B</w:t>
      </w:r>
      <w:r w:rsidR="00C06F33">
        <w:t xml:space="preserve"> - Zatwierdzanie dalszego powierzenia danych</w:t>
      </w:r>
    </w:p>
    <w:p w:rsidR="00EB75EC" w:rsidRDefault="00EB75EC"/>
    <w:p w:rsidR="00EB75EC" w:rsidRDefault="00EB75EC">
      <w:pPr>
        <w:rPr>
          <w:b/>
          <w:sz w:val="22"/>
          <w:szCs w:val="22"/>
        </w:rPr>
      </w:pPr>
      <w:bookmarkStart w:id="0" w:name="_heading=h.gjdgxs" w:colFirst="0" w:colLast="0"/>
      <w:bookmarkEnd w:id="0"/>
    </w:p>
    <w:p w:rsidR="001B4BD5" w:rsidRDefault="001B4BD5">
      <w:pPr>
        <w:rPr>
          <w:b/>
          <w:sz w:val="22"/>
          <w:szCs w:val="22"/>
        </w:rPr>
      </w:pPr>
    </w:p>
    <w:p w:rsidR="00381BFA" w:rsidRDefault="00381BFA">
      <w:pPr>
        <w:rPr>
          <w:b/>
          <w:sz w:val="22"/>
          <w:szCs w:val="22"/>
        </w:rPr>
      </w:pPr>
    </w:p>
    <w:p w:rsidR="004D1D80" w:rsidRDefault="004D1D80">
      <w:pPr>
        <w:rPr>
          <w:b/>
          <w:sz w:val="22"/>
          <w:szCs w:val="22"/>
        </w:rPr>
      </w:pPr>
    </w:p>
    <w:p w:rsidR="00EB75EC" w:rsidRDefault="00C06F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2E7242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Instrukcja dotycząca wykorzystania danych osobowych</w:t>
      </w:r>
    </w:p>
    <w:p w:rsidR="00EB75EC" w:rsidRDefault="00EB75EC">
      <w:pPr>
        <w:rPr>
          <w:sz w:val="22"/>
          <w:szCs w:val="22"/>
        </w:rPr>
      </w:pPr>
    </w:p>
    <w:p w:rsidR="00EB75EC" w:rsidRDefault="00C06F33">
      <w:pPr>
        <w:rPr>
          <w:sz w:val="22"/>
          <w:szCs w:val="22"/>
        </w:rPr>
      </w:pPr>
      <w:r>
        <w:rPr>
          <w:sz w:val="22"/>
          <w:szCs w:val="22"/>
        </w:rPr>
        <w:t>Poziom stosowanych zabezpieczeń będzie wynikał z następujących czynników:</w:t>
      </w:r>
    </w:p>
    <w:p w:rsidR="00EB75EC" w:rsidRDefault="00EB75EC">
      <w:pPr>
        <w:rPr>
          <w:sz w:val="22"/>
          <w:szCs w:val="22"/>
        </w:rPr>
      </w:pPr>
    </w:p>
    <w:p w:rsidR="00EB75EC" w:rsidRDefault="00C06F33">
      <w:pPr>
        <w:rPr>
          <w:sz w:val="22"/>
          <w:szCs w:val="22"/>
        </w:rPr>
      </w:pPr>
      <w:r>
        <w:rPr>
          <w:sz w:val="22"/>
          <w:szCs w:val="22"/>
        </w:rPr>
        <w:t xml:space="preserve">Podmiot przetwarzający będzie odtąd uprawniony i zobowiązany do podejmowania decyzji w sprawie technicznych i organizacyjnych środków bezpieczeństwa, które mają być zastosowane w celu utworzenia niezbędnego (i uzgodnionego) poziomu bezpieczeństwa danych. </w:t>
      </w:r>
    </w:p>
    <w:p w:rsidR="00EB75EC" w:rsidRDefault="00EB75EC">
      <w:pPr>
        <w:rPr>
          <w:sz w:val="22"/>
          <w:szCs w:val="22"/>
        </w:rPr>
      </w:pPr>
    </w:p>
    <w:p w:rsidR="00EB75EC" w:rsidRDefault="00C06F33">
      <w:pPr>
        <w:rPr>
          <w:sz w:val="22"/>
          <w:szCs w:val="22"/>
        </w:rPr>
      </w:pPr>
      <w:r>
        <w:rPr>
          <w:sz w:val="22"/>
          <w:szCs w:val="22"/>
        </w:rPr>
        <w:t>Podmiot przetwarzający musi jednak - w każdym przypadku wdrożyć poniższe</w:t>
      </w:r>
    </w:p>
    <w:p w:rsidR="00EB75EC" w:rsidRDefault="00C06F33">
      <w:pPr>
        <w:rPr>
          <w:sz w:val="22"/>
          <w:szCs w:val="22"/>
        </w:rPr>
      </w:pPr>
      <w:r>
        <w:rPr>
          <w:sz w:val="22"/>
          <w:szCs w:val="22"/>
        </w:rPr>
        <w:t>środki, które zostały uzgodnione z Administratorem:</w:t>
      </w:r>
    </w:p>
    <w:p w:rsidR="00EB75EC" w:rsidRDefault="00EB75EC">
      <w:pPr>
        <w:rPr>
          <w:sz w:val="22"/>
          <w:szCs w:val="22"/>
        </w:rPr>
      </w:pPr>
    </w:p>
    <w:tbl>
      <w:tblPr>
        <w:tblStyle w:val="a0"/>
        <w:tblW w:w="90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B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Wymaganie</w:t>
            </w:r>
          </w:p>
        </w:tc>
        <w:tc>
          <w:tcPr>
            <w:tcW w:w="4530" w:type="dxa"/>
          </w:tcPr>
          <w:p w:rsidR="00EB75EC" w:rsidRDefault="00C06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Pseudonimizacja</w:t>
            </w:r>
            <w:proofErr w:type="spellEnd"/>
            <w:r>
              <w:rPr>
                <w:sz w:val="22"/>
                <w:szCs w:val="22"/>
              </w:rPr>
              <w:t xml:space="preserve"> i szyfrowanie danych osobowych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w których podmiot przetwarzający będzie przetwarzał dane osobowe zapewniają odpowiedni poziom szyfrowania danych, wykorzystywane do tego celu są połączenia SSL lub TLS.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Zapewnienie ciągłej poufności, integralność, dostępności systemów przetwarzania oraz usług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w których podmiot przetwarzający będzie przetwarzał dane osobowe posiadają zdolność do ciągłego zapewnienia poufności, integralności, dostępności i odporności systemów i usług przetwarzania; zdolność do szybkiego przywrócenia dostępności danych osobowych i dostępu do nich w razie incydentu fizycznego lub technicznego.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Zapewnienie możliwości przywrócenia dostępności oraz dostępu do danych osobowych w przypadku wystąpienia fizycznego lub technicznego incydentu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w których podmiot przetwarzający będzie przetwarzał dane osobowe wyposażone są w mechanizmy cyklicznego tworzenia kopii zapasowych. Na wypadek braku takiej możliwości kopiowanie danych osobowych będzie następować manualnie.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Regularne testowanie i ocena skuteczności wdrożonych technicznych i organizacyjnych środków służących zapewnieniu bezpieczeństwa przetwarzania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Całość zaimplementowanych środków bezpieczeństwa poddawana jest regularnym testom i wymaganym aktualizacjom.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Dostęp do danych online i ochrona danych w trakcie ich przekazywania 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Serwer poczty wychodzącej i innych narzędzi komunikacyjnych  zapewniają odpowiedni poziom szyfrowania danych </w:t>
            </w:r>
            <w:r>
              <w:rPr>
                <w:i/>
                <w:sz w:val="20"/>
                <w:szCs w:val="20"/>
              </w:rPr>
              <w:t>in transit</w:t>
            </w:r>
            <w:r>
              <w:rPr>
                <w:sz w:val="20"/>
                <w:szCs w:val="20"/>
              </w:rPr>
              <w:t>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danych w ramach ich przechowywania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Systemy w których podmiot przetwarzający będzie przetwarzał dane osobowe zapewniają odpowiedni poziom szyfrowania danych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zabezpieczenia przed złośliwym oprogramowaniem. Dostęp do urządzeń zabezpieczony jest cyklicznie aktualizowanymi kodami dostępu/hasłami.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Zabezpieczenia miejsc w których dane osobowe są przetwarzane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miejsc w których dane są przetwarzane ograniczony jest mechanizmami kontroli dostępu (np. kody dostępu, karty dostępu, legitymacje)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danych w ramach pracy zdalnej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urządzeń i narzędzi służących przetwarzaniu danych osobowych zabezpieczony jest hasłem (zabezpieczenie telefonu na poziomie blokady ekranu, hasło na poziomie wygaszacza ekranu). Dostęp do miejsca, w którym dane są przetwarzane jest ograniczony dla osób trzecich.</w:t>
            </w:r>
          </w:p>
        </w:tc>
      </w:tr>
      <w:tr w:rsidR="00EB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B75EC" w:rsidRDefault="00C0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Logowanie i autentykacja</w:t>
            </w:r>
          </w:p>
        </w:tc>
        <w:tc>
          <w:tcPr>
            <w:tcW w:w="4530" w:type="dxa"/>
          </w:tcPr>
          <w:p w:rsidR="00EB75EC" w:rsidRDefault="00C06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Uwierzytelnienie użytkownika następuje po wprowadzeniu indywidualnego i cyklicznie aktualizowanego hasła.</w:t>
            </w:r>
          </w:p>
        </w:tc>
      </w:tr>
    </w:tbl>
    <w:p w:rsidR="00EB75EC" w:rsidRDefault="00EB75EC" w:rsidP="00B263F5">
      <w:pPr>
        <w:rPr>
          <w:sz w:val="22"/>
          <w:szCs w:val="22"/>
        </w:rPr>
      </w:pPr>
    </w:p>
    <w:p w:rsidR="00381BFA" w:rsidRDefault="00381BFA" w:rsidP="00B263F5">
      <w:pPr>
        <w:rPr>
          <w:sz w:val="22"/>
          <w:szCs w:val="22"/>
        </w:rPr>
      </w:pPr>
    </w:p>
    <w:p w:rsidR="00381BFA" w:rsidRDefault="00381BFA" w:rsidP="00B263F5">
      <w:pPr>
        <w:rPr>
          <w:sz w:val="22"/>
          <w:szCs w:val="22"/>
        </w:rPr>
      </w:pPr>
    </w:p>
    <w:p w:rsidR="00AB306D" w:rsidRDefault="00AB306D" w:rsidP="00381BFA">
      <w:pPr>
        <w:rPr>
          <w:b/>
          <w:sz w:val="22"/>
          <w:szCs w:val="22"/>
        </w:rPr>
      </w:pPr>
    </w:p>
    <w:p w:rsidR="00AB306D" w:rsidRDefault="00AB306D" w:rsidP="00381BFA">
      <w:pPr>
        <w:rPr>
          <w:b/>
          <w:sz w:val="22"/>
          <w:szCs w:val="22"/>
        </w:rPr>
      </w:pPr>
    </w:p>
    <w:p w:rsidR="00AB306D" w:rsidRDefault="00AB306D" w:rsidP="00381BFA">
      <w:pPr>
        <w:rPr>
          <w:b/>
          <w:sz w:val="22"/>
          <w:szCs w:val="22"/>
        </w:rPr>
      </w:pPr>
    </w:p>
    <w:p w:rsidR="00381BFA" w:rsidRDefault="00381BFA" w:rsidP="00381BFA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B Zatwierdzanie dalszego powierzenia danych</w:t>
      </w:r>
    </w:p>
    <w:p w:rsidR="00381BFA" w:rsidRDefault="00381BFA" w:rsidP="00381BFA">
      <w:pPr>
        <w:rPr>
          <w:b/>
          <w:sz w:val="22"/>
          <w:szCs w:val="22"/>
        </w:rPr>
      </w:pPr>
    </w:p>
    <w:p w:rsidR="00381BFA" w:rsidRDefault="00381BFA" w:rsidP="00381BFA">
      <w:pPr>
        <w:rPr>
          <w:b/>
          <w:sz w:val="22"/>
          <w:szCs w:val="22"/>
        </w:rPr>
      </w:pPr>
    </w:p>
    <w:p w:rsidR="00381BFA" w:rsidRDefault="00381BFA" w:rsidP="00381BFA">
      <w:pPr>
        <w:rPr>
          <w:sz w:val="22"/>
          <w:szCs w:val="22"/>
        </w:rPr>
      </w:pPr>
      <w:r>
        <w:rPr>
          <w:sz w:val="22"/>
          <w:szCs w:val="22"/>
        </w:rPr>
        <w:t>W odniesieniu do niniejszej umowy, Administrator zatwierdza zaangażowanie następujących dalszych podmiotów przetwarzających:</w:t>
      </w:r>
    </w:p>
    <w:p w:rsidR="00381BFA" w:rsidRDefault="00381BFA" w:rsidP="00381BFA">
      <w:pPr>
        <w:rPr>
          <w:sz w:val="22"/>
          <w:szCs w:val="22"/>
        </w:rPr>
      </w:pPr>
    </w:p>
    <w:tbl>
      <w:tblPr>
        <w:tblStyle w:val="Tabelasiatki1jasn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C3EF4" w:rsidRPr="00E975F1" w:rsidTr="0010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C3EF4" w:rsidRPr="00E975F1" w:rsidRDefault="00DC3EF4" w:rsidP="001006A0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E975F1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265" w:type="dxa"/>
            <w:vAlign w:val="center"/>
          </w:tcPr>
          <w:p w:rsidR="00DC3EF4" w:rsidRPr="00E975F1" w:rsidRDefault="00DC3EF4" w:rsidP="001006A0">
            <w:pPr>
              <w:spacing w:line="257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75F1">
              <w:rPr>
                <w:rFonts w:ascii="Times New Roman" w:hAnsi="Times New Roman" w:cs="Times New Roman"/>
              </w:rPr>
              <w:t>Numer NIP</w:t>
            </w:r>
          </w:p>
        </w:tc>
        <w:tc>
          <w:tcPr>
            <w:tcW w:w="2265" w:type="dxa"/>
            <w:vAlign w:val="center"/>
          </w:tcPr>
          <w:p w:rsidR="00DC3EF4" w:rsidRPr="00E975F1" w:rsidRDefault="00DC3EF4" w:rsidP="001006A0">
            <w:pPr>
              <w:spacing w:line="257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75F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265" w:type="dxa"/>
            <w:vAlign w:val="center"/>
          </w:tcPr>
          <w:p w:rsidR="00DC3EF4" w:rsidRPr="00E975F1" w:rsidRDefault="00DC3EF4" w:rsidP="001006A0">
            <w:pPr>
              <w:spacing w:line="257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75F1">
              <w:rPr>
                <w:rFonts w:ascii="Times New Roman" w:hAnsi="Times New Roman" w:cs="Times New Roman"/>
              </w:rPr>
              <w:t>Opis przetwarzania</w:t>
            </w: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EF4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C3EF4" w:rsidRPr="00E975F1" w:rsidRDefault="00DC3EF4" w:rsidP="0010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C3EF4" w:rsidRPr="00E975F1" w:rsidRDefault="00DC3EF4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6D" w:rsidRPr="00E975F1" w:rsidTr="00100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B306D" w:rsidRPr="00E975F1" w:rsidRDefault="00AB306D" w:rsidP="001006A0"/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AB306D" w:rsidRPr="00E975F1" w:rsidRDefault="00AB306D" w:rsidP="0010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1BFA" w:rsidRDefault="00381BFA" w:rsidP="00381BFA">
      <w:pPr>
        <w:rPr>
          <w:sz w:val="22"/>
          <w:szCs w:val="22"/>
        </w:rPr>
      </w:pPr>
    </w:p>
    <w:p w:rsidR="00381BFA" w:rsidRDefault="00381BFA" w:rsidP="00381BFA">
      <w:pPr>
        <w:rPr>
          <w:sz w:val="22"/>
          <w:szCs w:val="22"/>
        </w:rPr>
      </w:pPr>
    </w:p>
    <w:p w:rsidR="00F85A87" w:rsidRPr="00F85A87" w:rsidRDefault="00F85A87" w:rsidP="00F85A87">
      <w:pPr>
        <w:rPr>
          <w:sz w:val="22"/>
          <w:szCs w:val="22"/>
        </w:rPr>
      </w:pPr>
      <w:bookmarkStart w:id="1" w:name="_GoBack"/>
      <w:bookmarkEnd w:id="1"/>
    </w:p>
    <w:p w:rsidR="00F85A87" w:rsidRPr="00F85A87" w:rsidRDefault="00F85A87" w:rsidP="00F85A87">
      <w:pPr>
        <w:jc w:val="both"/>
        <w:rPr>
          <w:i/>
          <w:sz w:val="22"/>
          <w:szCs w:val="22"/>
        </w:rPr>
      </w:pPr>
      <w:r w:rsidRPr="00F85A87">
        <w:rPr>
          <w:i/>
          <w:sz w:val="22"/>
          <w:szCs w:val="22"/>
        </w:rPr>
        <w:t>Treść umowy została sporządzona na bazie dokumentu stanowiącego Załącznik Nr 4 do Polityki Bezpieczeństwa Danych Osobowych obowiązującej w Starostwie Powiatowym w Nowej Soli, wprowadzonej Zarządzeniem Nr 6/2021 Starosty Nowosolskiego z dnia 8 lutego 2021 roku.</w:t>
      </w:r>
    </w:p>
    <w:p w:rsidR="00F85A87" w:rsidRPr="00F85A87" w:rsidRDefault="00F85A87" w:rsidP="00F85A87">
      <w:pPr>
        <w:jc w:val="both"/>
        <w:rPr>
          <w:i/>
          <w:sz w:val="22"/>
          <w:szCs w:val="22"/>
        </w:rPr>
      </w:pPr>
    </w:p>
    <w:p w:rsidR="00F85A87" w:rsidRPr="00F85A87" w:rsidRDefault="00F85A87" w:rsidP="00F85A87">
      <w:pPr>
        <w:jc w:val="both"/>
        <w:rPr>
          <w:i/>
          <w:sz w:val="22"/>
          <w:szCs w:val="22"/>
        </w:rPr>
      </w:pPr>
      <w:r w:rsidRPr="00F85A87">
        <w:rPr>
          <w:i/>
          <w:sz w:val="22"/>
          <w:szCs w:val="22"/>
        </w:rPr>
        <w:t>Umowa zawiera wszystkie zapisy wymagane art. 28 Rozporządzeni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85A87" w:rsidRPr="00F85A87" w:rsidRDefault="00F85A87" w:rsidP="00F85A87">
      <w:pPr>
        <w:jc w:val="both"/>
        <w:rPr>
          <w:i/>
          <w:sz w:val="22"/>
          <w:szCs w:val="22"/>
        </w:rPr>
      </w:pPr>
    </w:p>
    <w:p w:rsidR="00F85A87" w:rsidRPr="00F85A87" w:rsidRDefault="00F85A87" w:rsidP="00F85A87">
      <w:pPr>
        <w:jc w:val="right"/>
        <w:rPr>
          <w:i/>
          <w:sz w:val="22"/>
          <w:szCs w:val="22"/>
        </w:rPr>
      </w:pPr>
      <w:r w:rsidRPr="00F85A87">
        <w:rPr>
          <w:i/>
          <w:sz w:val="22"/>
          <w:szCs w:val="22"/>
        </w:rPr>
        <w:t>Inspektor Ochrony Danych</w:t>
      </w:r>
    </w:p>
    <w:p w:rsidR="00381BFA" w:rsidRPr="00F85A87" w:rsidRDefault="00F85A87" w:rsidP="00F85A87">
      <w:pPr>
        <w:jc w:val="right"/>
        <w:rPr>
          <w:i/>
          <w:sz w:val="22"/>
          <w:szCs w:val="22"/>
          <w:highlight w:val="yellow"/>
        </w:rPr>
      </w:pPr>
      <w:r w:rsidRPr="00F85A87">
        <w:rPr>
          <w:i/>
          <w:sz w:val="22"/>
          <w:szCs w:val="22"/>
        </w:rPr>
        <w:t>/-/ Mirosław Górski</w:t>
      </w:r>
    </w:p>
    <w:sectPr w:rsidR="00381BFA" w:rsidRPr="00F85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61" w:rsidRDefault="00A82461">
      <w:r>
        <w:separator/>
      </w:r>
    </w:p>
  </w:endnote>
  <w:endnote w:type="continuationSeparator" w:id="0">
    <w:p w:rsidR="00A82461" w:rsidRDefault="00A8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EC" w:rsidRDefault="00EB7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25781620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0244" w:rsidRPr="00420244" w:rsidRDefault="00420244">
            <w:pPr>
              <w:pStyle w:val="Stopka"/>
              <w:jc w:val="right"/>
              <w:rPr>
                <w:sz w:val="22"/>
                <w:szCs w:val="22"/>
              </w:rPr>
            </w:pPr>
            <w:r w:rsidRPr="00420244">
              <w:rPr>
                <w:sz w:val="22"/>
                <w:szCs w:val="22"/>
              </w:rPr>
              <w:t xml:space="preserve">Strona </w:t>
            </w:r>
            <w:r w:rsidRPr="00420244">
              <w:rPr>
                <w:b/>
                <w:bCs/>
                <w:sz w:val="22"/>
                <w:szCs w:val="22"/>
              </w:rPr>
              <w:fldChar w:fldCharType="begin"/>
            </w:r>
            <w:r w:rsidRPr="00420244">
              <w:rPr>
                <w:b/>
                <w:bCs/>
                <w:sz w:val="22"/>
                <w:szCs w:val="22"/>
              </w:rPr>
              <w:instrText>PAGE</w:instrText>
            </w:r>
            <w:r w:rsidRPr="00420244">
              <w:rPr>
                <w:b/>
                <w:bCs/>
                <w:sz w:val="22"/>
                <w:szCs w:val="22"/>
              </w:rPr>
              <w:fldChar w:fldCharType="separate"/>
            </w:r>
            <w:r w:rsidR="002C0206">
              <w:rPr>
                <w:b/>
                <w:bCs/>
                <w:noProof/>
                <w:sz w:val="22"/>
                <w:szCs w:val="22"/>
              </w:rPr>
              <w:t>7</w:t>
            </w:r>
            <w:r w:rsidRPr="00420244">
              <w:rPr>
                <w:b/>
                <w:bCs/>
                <w:sz w:val="22"/>
                <w:szCs w:val="22"/>
              </w:rPr>
              <w:fldChar w:fldCharType="end"/>
            </w:r>
            <w:r w:rsidRPr="00420244">
              <w:rPr>
                <w:sz w:val="22"/>
                <w:szCs w:val="22"/>
              </w:rPr>
              <w:t xml:space="preserve"> z </w:t>
            </w:r>
            <w:r w:rsidRPr="00420244">
              <w:rPr>
                <w:b/>
                <w:bCs/>
                <w:sz w:val="22"/>
                <w:szCs w:val="22"/>
              </w:rPr>
              <w:fldChar w:fldCharType="begin"/>
            </w:r>
            <w:r w:rsidRPr="00420244">
              <w:rPr>
                <w:b/>
                <w:bCs/>
                <w:sz w:val="22"/>
                <w:szCs w:val="22"/>
              </w:rPr>
              <w:instrText>NUMPAGES</w:instrText>
            </w:r>
            <w:r w:rsidRPr="00420244">
              <w:rPr>
                <w:b/>
                <w:bCs/>
                <w:sz w:val="22"/>
                <w:szCs w:val="22"/>
              </w:rPr>
              <w:fldChar w:fldCharType="separate"/>
            </w:r>
            <w:r w:rsidR="002C0206">
              <w:rPr>
                <w:b/>
                <w:bCs/>
                <w:noProof/>
                <w:sz w:val="22"/>
                <w:szCs w:val="22"/>
              </w:rPr>
              <w:t>7</w:t>
            </w:r>
            <w:r w:rsidRPr="0042024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B75EC" w:rsidRPr="00420244" w:rsidRDefault="00EB7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EC" w:rsidRDefault="00EB7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61" w:rsidRDefault="00A82461">
      <w:r>
        <w:separator/>
      </w:r>
    </w:p>
  </w:footnote>
  <w:footnote w:type="continuationSeparator" w:id="0">
    <w:p w:rsidR="00A82461" w:rsidRDefault="00A8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EC" w:rsidRDefault="00EB7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EC" w:rsidRDefault="00EB7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EC" w:rsidRDefault="00EB7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107"/>
    <w:multiLevelType w:val="hybridMultilevel"/>
    <w:tmpl w:val="9A181AA0"/>
    <w:lvl w:ilvl="0" w:tplc="DFE4ED7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52A59"/>
    <w:multiLevelType w:val="hybridMultilevel"/>
    <w:tmpl w:val="9CE0A950"/>
    <w:lvl w:ilvl="0" w:tplc="AFF012CC">
      <w:start w:val="9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AB6402"/>
    <w:multiLevelType w:val="hybridMultilevel"/>
    <w:tmpl w:val="FC9CB83E"/>
    <w:lvl w:ilvl="0" w:tplc="0415001B">
      <w:start w:val="1"/>
      <w:numFmt w:val="lowerRoman"/>
      <w:lvlText w:val="%1."/>
      <w:lvlJc w:val="right"/>
      <w:pPr>
        <w:ind w:left="1625" w:hanging="360"/>
      </w:pPr>
    </w:lvl>
    <w:lvl w:ilvl="1" w:tplc="04150019" w:tentative="1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3065" w:hanging="180"/>
      </w:pPr>
    </w:lvl>
    <w:lvl w:ilvl="3" w:tplc="0415000F" w:tentative="1">
      <w:start w:val="1"/>
      <w:numFmt w:val="decimal"/>
      <w:lvlText w:val="%4."/>
      <w:lvlJc w:val="left"/>
      <w:pPr>
        <w:ind w:left="3785" w:hanging="360"/>
      </w:pPr>
    </w:lvl>
    <w:lvl w:ilvl="4" w:tplc="04150019" w:tentative="1">
      <w:start w:val="1"/>
      <w:numFmt w:val="lowerLetter"/>
      <w:lvlText w:val="%5."/>
      <w:lvlJc w:val="left"/>
      <w:pPr>
        <w:ind w:left="4505" w:hanging="360"/>
      </w:pPr>
    </w:lvl>
    <w:lvl w:ilvl="5" w:tplc="0415001B" w:tentative="1">
      <w:start w:val="1"/>
      <w:numFmt w:val="lowerRoman"/>
      <w:lvlText w:val="%6."/>
      <w:lvlJc w:val="right"/>
      <w:pPr>
        <w:ind w:left="5225" w:hanging="180"/>
      </w:pPr>
    </w:lvl>
    <w:lvl w:ilvl="6" w:tplc="0415000F" w:tentative="1">
      <w:start w:val="1"/>
      <w:numFmt w:val="decimal"/>
      <w:lvlText w:val="%7."/>
      <w:lvlJc w:val="left"/>
      <w:pPr>
        <w:ind w:left="5945" w:hanging="360"/>
      </w:pPr>
    </w:lvl>
    <w:lvl w:ilvl="7" w:tplc="04150019" w:tentative="1">
      <w:start w:val="1"/>
      <w:numFmt w:val="lowerLetter"/>
      <w:lvlText w:val="%8."/>
      <w:lvlJc w:val="left"/>
      <w:pPr>
        <w:ind w:left="6665" w:hanging="360"/>
      </w:pPr>
    </w:lvl>
    <w:lvl w:ilvl="8" w:tplc="0415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">
    <w:nsid w:val="6AD94B91"/>
    <w:multiLevelType w:val="hybridMultilevel"/>
    <w:tmpl w:val="741A7FD2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EC"/>
    <w:rsid w:val="00002807"/>
    <w:rsid w:val="00150A8C"/>
    <w:rsid w:val="001B4BD5"/>
    <w:rsid w:val="00294735"/>
    <w:rsid w:val="002A320F"/>
    <w:rsid w:val="002C0206"/>
    <w:rsid w:val="002D4801"/>
    <w:rsid w:val="002E7242"/>
    <w:rsid w:val="00381BFA"/>
    <w:rsid w:val="003E6847"/>
    <w:rsid w:val="00420244"/>
    <w:rsid w:val="00465517"/>
    <w:rsid w:val="004D1D80"/>
    <w:rsid w:val="00646B2B"/>
    <w:rsid w:val="00684A9C"/>
    <w:rsid w:val="006A42F8"/>
    <w:rsid w:val="006C1B54"/>
    <w:rsid w:val="006C4DF0"/>
    <w:rsid w:val="006E36E1"/>
    <w:rsid w:val="006F1018"/>
    <w:rsid w:val="007050B6"/>
    <w:rsid w:val="007B4458"/>
    <w:rsid w:val="00800F73"/>
    <w:rsid w:val="00825CD5"/>
    <w:rsid w:val="00857954"/>
    <w:rsid w:val="00867AD4"/>
    <w:rsid w:val="00892871"/>
    <w:rsid w:val="008A353D"/>
    <w:rsid w:val="0090024D"/>
    <w:rsid w:val="0090213F"/>
    <w:rsid w:val="00A82461"/>
    <w:rsid w:val="00AB306D"/>
    <w:rsid w:val="00AE55D8"/>
    <w:rsid w:val="00B263F5"/>
    <w:rsid w:val="00B547A0"/>
    <w:rsid w:val="00B565C4"/>
    <w:rsid w:val="00C06F33"/>
    <w:rsid w:val="00C11570"/>
    <w:rsid w:val="00C13D71"/>
    <w:rsid w:val="00D22E9C"/>
    <w:rsid w:val="00D33C34"/>
    <w:rsid w:val="00D541E1"/>
    <w:rsid w:val="00D933C0"/>
    <w:rsid w:val="00DC3EF4"/>
    <w:rsid w:val="00E514DC"/>
    <w:rsid w:val="00EB75EC"/>
    <w:rsid w:val="00F340C2"/>
    <w:rsid w:val="00F85A87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1D3"/>
  </w:style>
  <w:style w:type="paragraph" w:styleId="Nagwek1">
    <w:name w:val="heading 1"/>
    <w:basedOn w:val="Normalny"/>
    <w:next w:val="Normalny"/>
    <w:link w:val="Nagwek1Znak"/>
    <w:qFormat/>
    <w:rsid w:val="003761D3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3761D3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3761D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761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761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76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6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76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1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3761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761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1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D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B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6F774C"/>
    <w:rPr>
      <w:rFonts w:ascii="Arial" w:eastAsia="Times New Roman" w:hAnsi="Arial" w:cs="Arial"/>
      <w:sz w:val="24"/>
      <w:szCs w:val="24"/>
      <w:lang w:eastAsia="pl-PL"/>
    </w:rPr>
  </w:style>
  <w:style w:type="table" w:customStyle="1" w:styleId="GridTable1Light">
    <w:name w:val="Grid Table 1 Light"/>
    <w:basedOn w:val="Standardowy"/>
    <w:uiPriority w:val="46"/>
    <w:rsid w:val="00DD45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DC3EF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1D3"/>
  </w:style>
  <w:style w:type="paragraph" w:styleId="Nagwek1">
    <w:name w:val="heading 1"/>
    <w:basedOn w:val="Normalny"/>
    <w:next w:val="Normalny"/>
    <w:link w:val="Nagwek1Znak"/>
    <w:qFormat/>
    <w:rsid w:val="003761D3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3761D3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3761D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761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761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76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6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76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1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3761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761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1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D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B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6F774C"/>
    <w:rPr>
      <w:rFonts w:ascii="Arial" w:eastAsia="Times New Roman" w:hAnsi="Arial" w:cs="Arial"/>
      <w:sz w:val="24"/>
      <w:szCs w:val="24"/>
      <w:lang w:eastAsia="pl-PL"/>
    </w:rPr>
  </w:style>
  <w:style w:type="table" w:customStyle="1" w:styleId="GridTable1Light">
    <w:name w:val="Grid Table 1 Light"/>
    <w:basedOn w:val="Standardowy"/>
    <w:uiPriority w:val="46"/>
    <w:rsid w:val="00DD45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DC3EF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bKMXm8uSWahKDgaUD+HSrnKvQ==">AMUW2mX3son0zE9P529tGknZG0FHZ8J+AvPGm65EHkUEh1ZFrR+C/jY1KQy3WIxanIw9I9HsJHBOof1CZON8jI8f5eoVi4MDCFfuB9zgdmT2J+lhp1BMoPIy1WCK/Qrl5AahvMTRsnQC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2763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MartaBaranowicz</dc:creator>
  <cp:lastModifiedBy>Agnieszka Foltyn-Kupny</cp:lastModifiedBy>
  <cp:revision>3</cp:revision>
  <cp:lastPrinted>2023-06-13T06:08:00Z</cp:lastPrinted>
  <dcterms:created xsi:type="dcterms:W3CDTF">2023-06-13T06:08:00Z</dcterms:created>
  <dcterms:modified xsi:type="dcterms:W3CDTF">2023-06-13T07:08:00Z</dcterms:modified>
</cp:coreProperties>
</file>