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E2" w:rsidRPr="00AD1091" w:rsidRDefault="00B63711" w:rsidP="00AD1091">
      <w:pPr>
        <w:spacing w:line="360" w:lineRule="auto"/>
        <w:rPr>
          <w:rFonts w:cstheme="minorHAnsi"/>
          <w:b/>
        </w:rPr>
      </w:pPr>
      <w:r w:rsidRPr="00AD1091">
        <w:rPr>
          <w:rFonts w:cstheme="minorHAnsi"/>
          <w:b/>
        </w:rPr>
        <w:t>Załącznik nr 2 do SWZ – OPIS PRZEDMIOTU ZAMÓWIENIA</w:t>
      </w:r>
    </w:p>
    <w:p w:rsidR="00B63711" w:rsidRPr="00AD1091" w:rsidRDefault="00B63711" w:rsidP="00AD1091">
      <w:pPr>
        <w:pStyle w:val="Akapitzlist"/>
        <w:numPr>
          <w:ilvl w:val="0"/>
          <w:numId w:val="3"/>
        </w:numPr>
        <w:tabs>
          <w:tab w:val="clear" w:pos="1080"/>
        </w:tabs>
        <w:spacing w:line="360" w:lineRule="auto"/>
        <w:ind w:hanging="1080"/>
        <w:jc w:val="both"/>
        <w:rPr>
          <w:rFonts w:cstheme="minorHAnsi"/>
          <w:u w:val="single"/>
        </w:rPr>
      </w:pPr>
      <w:r w:rsidRPr="00AD1091">
        <w:rPr>
          <w:rFonts w:cstheme="minorHAnsi"/>
          <w:u w:val="single"/>
        </w:rPr>
        <w:t>Szczegółowe wymagania stawiane Wykonawcom:</w:t>
      </w:r>
    </w:p>
    <w:p w:rsidR="00B63711" w:rsidRPr="00AD1091" w:rsidRDefault="00B63711" w:rsidP="00AD109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AD1091">
        <w:rPr>
          <w:rFonts w:cstheme="minorHAnsi"/>
        </w:rPr>
        <w:t>Wykonawca musi posiadać posiadający Certyfikat systemu zarządzania jakością PN-EN ISO 9001:2009 w zakresie diagnostyki laboratoryjnej oraz spełniający wymagania określone w:</w:t>
      </w:r>
    </w:p>
    <w:p w:rsidR="00B63711" w:rsidRPr="00AD1091" w:rsidRDefault="00B63711" w:rsidP="00AD1091">
      <w:pPr>
        <w:pStyle w:val="Akapitzlist"/>
        <w:numPr>
          <w:ilvl w:val="0"/>
          <w:numId w:val="5"/>
        </w:numPr>
        <w:tabs>
          <w:tab w:val="num" w:pos="1080"/>
        </w:tabs>
        <w:spacing w:after="0" w:line="360" w:lineRule="auto"/>
        <w:jc w:val="both"/>
        <w:rPr>
          <w:rFonts w:cstheme="minorHAnsi"/>
        </w:rPr>
      </w:pPr>
      <w:r w:rsidRPr="00AD1091">
        <w:rPr>
          <w:rFonts w:cstheme="minorHAnsi"/>
        </w:rPr>
        <w:t>Ustawie z dnia 27 lipca 2001 r. o diagnostyce laboratoryjnej (Dz.U. z 2004 r. poz. 1384),</w:t>
      </w:r>
    </w:p>
    <w:p w:rsidR="00B63711" w:rsidRPr="00AD1091" w:rsidRDefault="00B63711" w:rsidP="00AD1091">
      <w:pPr>
        <w:pStyle w:val="Akapitzlist"/>
        <w:numPr>
          <w:ilvl w:val="0"/>
          <w:numId w:val="5"/>
        </w:numPr>
        <w:tabs>
          <w:tab w:val="num" w:pos="1080"/>
        </w:tabs>
        <w:spacing w:after="0" w:line="360" w:lineRule="auto"/>
        <w:jc w:val="both"/>
        <w:rPr>
          <w:rFonts w:cstheme="minorHAnsi"/>
        </w:rPr>
      </w:pPr>
      <w:r w:rsidRPr="00AD1091">
        <w:rPr>
          <w:rFonts w:cstheme="minorHAnsi"/>
        </w:rPr>
        <w:t xml:space="preserve">Rozporządzeniu Ministra Zdrowia z dnia 3 marca 2004r. w sprawie wymagań, jakim powinno odpowiadać medyczne laboratorium diagnostyczne (Dz.U. z 2004 r. nr 43, poz. 408 z </w:t>
      </w:r>
      <w:proofErr w:type="spellStart"/>
      <w:r w:rsidRPr="00AD1091">
        <w:rPr>
          <w:rFonts w:cstheme="minorHAnsi"/>
        </w:rPr>
        <w:t>późn</w:t>
      </w:r>
      <w:proofErr w:type="spellEnd"/>
      <w:r w:rsidRPr="00AD1091">
        <w:rPr>
          <w:rFonts w:cstheme="minorHAnsi"/>
        </w:rPr>
        <w:t xml:space="preserve">. Zm.), </w:t>
      </w:r>
    </w:p>
    <w:p w:rsidR="00B63711" w:rsidRPr="00AD1091" w:rsidRDefault="00B63711" w:rsidP="00AD1091">
      <w:pPr>
        <w:pStyle w:val="Akapitzlist"/>
        <w:numPr>
          <w:ilvl w:val="0"/>
          <w:numId w:val="5"/>
        </w:numPr>
        <w:tabs>
          <w:tab w:val="num" w:pos="1080"/>
        </w:tabs>
        <w:spacing w:after="0" w:line="360" w:lineRule="auto"/>
        <w:jc w:val="both"/>
        <w:rPr>
          <w:rFonts w:cstheme="minorHAnsi"/>
        </w:rPr>
      </w:pPr>
      <w:r w:rsidRPr="00AD1091">
        <w:rPr>
          <w:rFonts w:cstheme="minorHAnsi"/>
        </w:rPr>
        <w:t>Rozporządzeniu Ministra Zdrowia z dnia 23 marca 2006r. w sprawie standardów jakości dla medycznych laboratoriów diagnostycznych i mikrobiologicznych (Dz.U. 2016 poz. 1665)</w:t>
      </w:r>
    </w:p>
    <w:p w:rsidR="00B63711" w:rsidRPr="00AD1091" w:rsidRDefault="00B63711" w:rsidP="00AD109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AD1091">
        <w:rPr>
          <w:rFonts w:cstheme="minorHAnsi"/>
          <w:b/>
        </w:rPr>
        <w:t>Wykonawca</w:t>
      </w:r>
      <w:r w:rsidRPr="00AD1091">
        <w:rPr>
          <w:rFonts w:cstheme="minorHAnsi"/>
        </w:rPr>
        <w:t xml:space="preserve"> musi być uprawniony do występowania w obrocie prawnym zgodnie z wymaganiami ustawowymi, w szczególności musi być wpisany do ewidencji medycznych laboratoriów diagnostycznych prowadzonej przez Krajową Radę Diagnostów Laboratoryjnych oraz musi posiadać nadany numer REGON i NIP.</w:t>
      </w:r>
    </w:p>
    <w:p w:rsidR="00525B9E" w:rsidRDefault="00B63711" w:rsidP="00AD109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AD1091">
        <w:rPr>
          <w:rFonts w:cstheme="minorHAnsi"/>
          <w:b/>
        </w:rPr>
        <w:t xml:space="preserve">Wykonawca </w:t>
      </w:r>
      <w:r w:rsidRPr="00AD1091">
        <w:rPr>
          <w:rFonts w:cstheme="minorHAnsi"/>
        </w:rPr>
        <w:t>musi zatrudniać personel medyczny posiad</w:t>
      </w:r>
      <w:r w:rsidR="00525B9E">
        <w:rPr>
          <w:rFonts w:cstheme="minorHAnsi"/>
        </w:rPr>
        <w:t xml:space="preserve">ający odpowiednie kwalifikacje, </w:t>
      </w:r>
      <w:proofErr w:type="spellStart"/>
      <w:r w:rsidR="00525B9E">
        <w:rPr>
          <w:rFonts w:cstheme="minorHAnsi"/>
        </w:rPr>
        <w:t>tj</w:t>
      </w:r>
      <w:proofErr w:type="spellEnd"/>
      <w:r w:rsidR="00525B9E">
        <w:rPr>
          <w:rFonts w:cstheme="minorHAnsi"/>
        </w:rPr>
        <w:t>:</w:t>
      </w:r>
    </w:p>
    <w:p w:rsidR="00525B9E" w:rsidRPr="00525B9E" w:rsidRDefault="00525B9E" w:rsidP="00525B9E">
      <w:pPr>
        <w:pStyle w:val="Akapitzlist"/>
        <w:numPr>
          <w:ilvl w:val="3"/>
          <w:numId w:val="3"/>
        </w:numPr>
        <w:spacing w:after="0" w:line="360" w:lineRule="auto"/>
        <w:ind w:left="851" w:hanging="284"/>
        <w:jc w:val="both"/>
        <w:rPr>
          <w:rFonts w:cstheme="minorHAnsi"/>
        </w:rPr>
      </w:pPr>
      <w:r w:rsidRPr="00525B9E">
        <w:rPr>
          <w:rFonts w:cstheme="minorHAnsi"/>
        </w:rPr>
        <w:t xml:space="preserve">co najmniej jednego specjalistę z laboratoryjnej diagnostyki medycznej, </w:t>
      </w:r>
    </w:p>
    <w:p w:rsidR="00B63711" w:rsidRPr="00AD1091" w:rsidRDefault="00525B9E" w:rsidP="00525B9E">
      <w:pPr>
        <w:tabs>
          <w:tab w:val="num" w:pos="1080"/>
        </w:tabs>
        <w:spacing w:after="0" w:line="360" w:lineRule="auto"/>
        <w:ind w:left="851" w:hanging="284"/>
        <w:jc w:val="both"/>
        <w:rPr>
          <w:rFonts w:cstheme="minorHAnsi"/>
        </w:rPr>
      </w:pPr>
      <w:r w:rsidRPr="00525B9E">
        <w:rPr>
          <w:rFonts w:cstheme="minorHAnsi"/>
        </w:rPr>
        <w:t>b)</w:t>
      </w:r>
      <w:r w:rsidRPr="00525B9E">
        <w:rPr>
          <w:rFonts w:cstheme="minorHAnsi"/>
        </w:rPr>
        <w:tab/>
        <w:t>co najmniej jednego specjalistę z laboratoryjnej hematologii medycznej</w:t>
      </w:r>
      <w:r w:rsidR="00B63711" w:rsidRPr="00AD1091">
        <w:rPr>
          <w:rFonts w:cstheme="minorHAnsi"/>
        </w:rPr>
        <w:t>.</w:t>
      </w:r>
    </w:p>
    <w:p w:rsidR="00B63711" w:rsidRPr="00AD1091" w:rsidRDefault="00B63711" w:rsidP="00AD109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AD1091">
        <w:rPr>
          <w:rFonts w:cstheme="minorHAnsi"/>
          <w:b/>
        </w:rPr>
        <w:t xml:space="preserve">Wykonawca </w:t>
      </w:r>
      <w:r w:rsidRPr="00AD1091">
        <w:rPr>
          <w:rFonts w:cstheme="minorHAnsi"/>
        </w:rPr>
        <w:t>zobowiązuje się w okresie obowiązywania umowy udostępniać do wglądu, na prośbę Zamawiającego, raporty kontroli jakości oznaczanych parametrów laboratoryjnych.</w:t>
      </w:r>
      <w:r w:rsidRPr="00AD1091">
        <w:rPr>
          <w:rFonts w:cstheme="minorHAnsi"/>
          <w:highlight w:val="green"/>
        </w:rPr>
        <w:t xml:space="preserve"> </w:t>
      </w:r>
    </w:p>
    <w:p w:rsidR="00B63711" w:rsidRPr="00AD1091" w:rsidRDefault="00B63711" w:rsidP="00AD109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AD1091">
        <w:rPr>
          <w:rFonts w:cstheme="minorHAnsi"/>
          <w:b/>
        </w:rPr>
        <w:t>Wykonawca</w:t>
      </w:r>
      <w:r w:rsidRPr="00AD1091">
        <w:rPr>
          <w:rFonts w:cstheme="minorHAnsi"/>
        </w:rPr>
        <w:t xml:space="preserve"> zobowiązuje się, że badania wykonywane przez niego na rzecz innych podmiotów, nie będą miały wpływu na rzetelność, jakość oraz dostępność do świadczeń, których wykonywanie jest przedmiotem niniejszego postępowania przetargowego. </w:t>
      </w:r>
    </w:p>
    <w:p w:rsidR="00B63711" w:rsidRPr="00AD1091" w:rsidRDefault="00B63711" w:rsidP="00AD109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AD1091">
        <w:rPr>
          <w:rFonts w:cstheme="minorHAnsi"/>
        </w:rPr>
        <w:t xml:space="preserve">Badania stanowiące przedmiot niniejszego postępowania zlecane będą przez </w:t>
      </w:r>
      <w:r w:rsidRPr="00AD1091">
        <w:rPr>
          <w:rFonts w:cstheme="minorHAnsi"/>
          <w:b/>
        </w:rPr>
        <w:t xml:space="preserve">Udzielającego zamówienia </w:t>
      </w:r>
      <w:r w:rsidRPr="00AD1091">
        <w:rPr>
          <w:rFonts w:cstheme="minorHAnsi"/>
        </w:rPr>
        <w:t>w ilościach uzależnionych od jego aktualnych potrzeb.</w:t>
      </w:r>
    </w:p>
    <w:p w:rsidR="00B63711" w:rsidRPr="00AD1091" w:rsidRDefault="00B63711" w:rsidP="00AD1091">
      <w:pPr>
        <w:spacing w:line="360" w:lineRule="auto"/>
        <w:ind w:left="720"/>
        <w:jc w:val="both"/>
        <w:rPr>
          <w:rFonts w:cstheme="minorHAnsi"/>
          <w:i/>
          <w:color w:val="2F5496"/>
        </w:rPr>
      </w:pPr>
    </w:p>
    <w:p w:rsidR="00B63711" w:rsidRPr="00AD1091" w:rsidRDefault="00AD1091" w:rsidP="00AD1091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rFonts w:cstheme="minorHAnsi"/>
          <w:u w:val="single"/>
        </w:rPr>
      </w:pPr>
      <w:r w:rsidRPr="00AD1091">
        <w:rPr>
          <w:rFonts w:cstheme="minorHAnsi"/>
          <w:u w:val="single"/>
        </w:rPr>
        <w:t>Warunki realizacji zamówienia:</w:t>
      </w:r>
    </w:p>
    <w:p w:rsidR="00B63711" w:rsidRPr="00AD1091" w:rsidRDefault="00B63711" w:rsidP="00AD109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091">
        <w:rPr>
          <w:rFonts w:cstheme="minorHAnsi"/>
          <w:b/>
        </w:rPr>
        <w:t>Zamawiający</w:t>
      </w:r>
      <w:r w:rsidRPr="00AD1091">
        <w:rPr>
          <w:rFonts w:cstheme="minorHAnsi"/>
        </w:rPr>
        <w:t xml:space="preserve"> będzie zlecał Wykonawcy badania drogą elektroniczną. </w:t>
      </w:r>
      <w:r w:rsidRPr="00AD1091">
        <w:rPr>
          <w:rFonts w:cstheme="minorHAnsi"/>
          <w:b/>
        </w:rPr>
        <w:t>Zamawiający</w:t>
      </w:r>
      <w:r w:rsidRPr="00AD1091">
        <w:rPr>
          <w:rFonts w:cstheme="minorHAnsi"/>
        </w:rPr>
        <w:t xml:space="preserve"> zastrzega sobie prawo do dokonywania zleceń od poniedziałku do soboty w godzinach od 7:00 do 15:00</w:t>
      </w:r>
    </w:p>
    <w:p w:rsidR="00B63711" w:rsidRPr="00AD1091" w:rsidRDefault="00B63711" w:rsidP="00AD1091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FF0000"/>
        </w:rPr>
      </w:pPr>
      <w:r w:rsidRPr="00AD1091">
        <w:rPr>
          <w:rFonts w:cstheme="minorHAnsi"/>
          <w:b/>
        </w:rPr>
        <w:t>Wykonawca</w:t>
      </w:r>
      <w:r w:rsidRPr="00AD1091">
        <w:rPr>
          <w:rFonts w:cstheme="minorHAnsi"/>
        </w:rPr>
        <w:t xml:space="preserve"> zobowiązuje się do odbioru zgłoszonego przez </w:t>
      </w:r>
      <w:r w:rsidRPr="00AD1091">
        <w:rPr>
          <w:rFonts w:cstheme="minorHAnsi"/>
          <w:b/>
        </w:rPr>
        <w:t>Zamawiającego</w:t>
      </w:r>
      <w:r w:rsidRPr="00AD1091">
        <w:rPr>
          <w:rFonts w:cstheme="minorHAnsi"/>
        </w:rPr>
        <w:t xml:space="preserve"> do badania materiału biologicznego i zapewnienia optymalnych warunków do transportu i przetrzymywania przekazanego materiału biologicznego w celu utrzymania homogenności uzyskanych wyników od wszystkich uczestników projektów</w:t>
      </w:r>
      <w:r w:rsidRPr="00AD1091">
        <w:rPr>
          <w:rFonts w:cstheme="minorHAnsi"/>
          <w:color w:val="FF0000"/>
        </w:rPr>
        <w:t>.</w:t>
      </w:r>
    </w:p>
    <w:p w:rsidR="00B63711" w:rsidRPr="00AD1091" w:rsidRDefault="00B63711" w:rsidP="00AD109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color w:val="FF0000"/>
        </w:rPr>
      </w:pPr>
      <w:r w:rsidRPr="00AD1091">
        <w:rPr>
          <w:rFonts w:cstheme="minorHAnsi"/>
          <w:b/>
        </w:rPr>
        <w:t>Wykonawca</w:t>
      </w:r>
      <w:r w:rsidRPr="00AD1091">
        <w:rPr>
          <w:rFonts w:cstheme="minorHAnsi"/>
        </w:rPr>
        <w:t xml:space="preserve"> zobowiązuje się przekazywać drogą elektroniczną wyniki zleconych badań.</w:t>
      </w:r>
    </w:p>
    <w:p w:rsidR="00B63711" w:rsidRPr="00AD1091" w:rsidRDefault="00B63711" w:rsidP="00AD109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</w:rPr>
      </w:pPr>
      <w:r w:rsidRPr="00AD1091">
        <w:rPr>
          <w:rFonts w:cstheme="minorHAnsi"/>
          <w:b/>
        </w:rPr>
        <w:lastRenderedPageBreak/>
        <w:t xml:space="preserve">Wykonawca </w:t>
      </w:r>
      <w:r w:rsidRPr="00AD1091">
        <w:rPr>
          <w:rFonts w:cstheme="minorHAnsi"/>
        </w:rPr>
        <w:t>zobowiązuje się do przechowywania materiału biologicznego przez 48</w:t>
      </w:r>
      <w:r w:rsidR="00461ABA">
        <w:rPr>
          <w:rFonts w:cstheme="minorHAnsi"/>
        </w:rPr>
        <w:t xml:space="preserve"> </w:t>
      </w:r>
      <w:bookmarkStart w:id="0" w:name="_GoBack"/>
      <w:bookmarkEnd w:id="0"/>
      <w:r w:rsidRPr="00AD1091">
        <w:rPr>
          <w:rFonts w:cstheme="minorHAnsi"/>
        </w:rPr>
        <w:t xml:space="preserve">godz od otrzymania w celu wykonania ewentualnych powtórzeń. </w:t>
      </w:r>
    </w:p>
    <w:p w:rsidR="00B63711" w:rsidRPr="00AD1091" w:rsidRDefault="00B63711" w:rsidP="00AD109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</w:rPr>
      </w:pPr>
      <w:r w:rsidRPr="00AD1091">
        <w:rPr>
          <w:rFonts w:cstheme="minorHAnsi"/>
          <w:b/>
        </w:rPr>
        <w:t xml:space="preserve">Wykonawca </w:t>
      </w:r>
      <w:r w:rsidRPr="00AD1091">
        <w:rPr>
          <w:rFonts w:cstheme="minorHAnsi"/>
        </w:rPr>
        <w:t xml:space="preserve">zobowiązuje się do wykonania powtórzeń oznaczeń na zlecenie </w:t>
      </w:r>
      <w:r w:rsidRPr="00AD1091">
        <w:rPr>
          <w:rFonts w:cstheme="minorHAnsi"/>
          <w:b/>
        </w:rPr>
        <w:t>Zamawiającego</w:t>
      </w:r>
      <w:r w:rsidRPr="00AD1091">
        <w:rPr>
          <w:rFonts w:cstheme="minorHAnsi"/>
        </w:rPr>
        <w:t>.</w:t>
      </w:r>
    </w:p>
    <w:p w:rsidR="00B63711" w:rsidRPr="00AD1091" w:rsidRDefault="00B63711" w:rsidP="00AD109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091">
        <w:rPr>
          <w:rFonts w:cstheme="minorHAnsi"/>
          <w:b/>
        </w:rPr>
        <w:t>Wykonawca</w:t>
      </w:r>
      <w:r w:rsidRPr="00AD1091">
        <w:rPr>
          <w:rFonts w:cstheme="minorHAnsi"/>
        </w:rPr>
        <w:t xml:space="preserve"> zobowiązuje się do poinformowania </w:t>
      </w:r>
      <w:r w:rsidRPr="00AD1091">
        <w:rPr>
          <w:rFonts w:cstheme="minorHAnsi"/>
          <w:b/>
        </w:rPr>
        <w:t>Zamawiającego</w:t>
      </w:r>
      <w:r w:rsidRPr="00AD1091">
        <w:rPr>
          <w:rFonts w:cstheme="minorHAnsi"/>
        </w:rPr>
        <w:t xml:space="preserve"> niezwłocznie o krytycznych wynikach laboratoryjnych, zgodnie z zasadami PTDL</w:t>
      </w:r>
    </w:p>
    <w:p w:rsidR="00B63711" w:rsidRPr="00AD1091" w:rsidRDefault="00B63711" w:rsidP="00AD109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AD1091">
        <w:rPr>
          <w:rFonts w:asciiTheme="minorHAnsi" w:hAnsiTheme="minorHAnsi" w:cstheme="minorHAnsi"/>
          <w:b/>
          <w:sz w:val="22"/>
          <w:szCs w:val="22"/>
        </w:rPr>
        <w:t>Wykonawca</w:t>
      </w:r>
      <w:r w:rsidRPr="00AD1091">
        <w:rPr>
          <w:rFonts w:asciiTheme="minorHAnsi" w:hAnsiTheme="minorHAnsi" w:cstheme="minorHAnsi"/>
          <w:sz w:val="22"/>
          <w:szCs w:val="22"/>
        </w:rPr>
        <w:t xml:space="preserve"> do 10 dnia następnego miesiąca po miesiącu, w którym wykonane zostaną badania, wystawi fakturę za wykonaną usługę.</w:t>
      </w:r>
    </w:p>
    <w:p w:rsidR="00B63711" w:rsidRPr="00AD1091" w:rsidRDefault="00B63711" w:rsidP="00AD109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AD1091">
        <w:rPr>
          <w:rFonts w:asciiTheme="minorHAnsi" w:hAnsiTheme="minorHAnsi" w:cstheme="minorHAnsi"/>
          <w:b/>
          <w:sz w:val="22"/>
          <w:szCs w:val="22"/>
        </w:rPr>
        <w:t>Wykonawca</w:t>
      </w:r>
      <w:r w:rsidRPr="00AD1091">
        <w:rPr>
          <w:rFonts w:asciiTheme="minorHAnsi" w:hAnsiTheme="minorHAnsi" w:cstheme="minorHAnsi"/>
          <w:sz w:val="22"/>
          <w:szCs w:val="22"/>
        </w:rPr>
        <w:t xml:space="preserve"> zobowiązuje się dołączyć do każdej faktury podpisany przez </w:t>
      </w:r>
      <w:r w:rsidRPr="00AD1091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AD1091">
        <w:rPr>
          <w:rFonts w:asciiTheme="minorHAnsi" w:hAnsiTheme="minorHAnsi" w:cstheme="minorHAnsi"/>
          <w:sz w:val="22"/>
          <w:szCs w:val="22"/>
        </w:rPr>
        <w:t>wykaz wykonanych badań potwierdzony przez upoważnionego pracownika Udzielającego zamówienia.</w:t>
      </w:r>
    </w:p>
    <w:p w:rsidR="00B63711" w:rsidRPr="00AD1091" w:rsidRDefault="00B63711" w:rsidP="00AD109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AD1091">
        <w:rPr>
          <w:rFonts w:asciiTheme="minorHAnsi" w:hAnsiTheme="minorHAnsi" w:cstheme="minorHAnsi"/>
          <w:sz w:val="22"/>
          <w:szCs w:val="22"/>
        </w:rPr>
        <w:t>Płatność faktury będzie następować w terminie do 30 dni od daty otrzymania oryginału prawidłowo wystawionej faktury wraz z wykazem wykonanych badań.</w:t>
      </w:r>
    </w:p>
    <w:p w:rsidR="00193FE2" w:rsidRDefault="00AD1091" w:rsidP="001B3B24">
      <w:pPr>
        <w:pStyle w:val="Akapitzlist"/>
        <w:numPr>
          <w:ilvl w:val="0"/>
          <w:numId w:val="3"/>
        </w:numPr>
        <w:tabs>
          <w:tab w:val="clear" w:pos="1080"/>
        </w:tabs>
        <w:spacing w:line="360" w:lineRule="auto"/>
        <w:ind w:hanging="1080"/>
        <w:rPr>
          <w:rFonts w:cstheme="minorHAnsi"/>
          <w:b/>
        </w:rPr>
      </w:pPr>
      <w:r w:rsidRPr="001B3B24">
        <w:rPr>
          <w:rFonts w:cstheme="minorHAnsi"/>
          <w:b/>
        </w:rPr>
        <w:t>Wykaz badań laboratoryjnych będących przedmiotem zamówienia:</w:t>
      </w:r>
    </w:p>
    <w:tbl>
      <w:tblPr>
        <w:tblW w:w="10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635"/>
        <w:gridCol w:w="6995"/>
        <w:gridCol w:w="954"/>
      </w:tblGrid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2D52C0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52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2D52C0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52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SKRÓT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2D52C0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badania laboratoryjnego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2D52C0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52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ACTH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ACTH - Hormon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adrenokortykotropowy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ALB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Albumina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ALT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ALT- aminotransferaza alaninowa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AST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AST- aminotransferaza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asparaginianowa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Amylaza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ATG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anty TG - Przeciwciała przeciw tyreoglobulinie (anty-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Tg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ATPO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anty TPO - Przeciwciała przeciw peroksydazie tarczycowej (anty-TPO)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HbsAg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Antygen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HBs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HbsAg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) w surowicy (wirusowe zapalenie wątroby typu B)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B-HCG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Beta - HCG - Gonadotropina kosmówkowa, podjednostka b (b-HCG)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TP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Białko całkowite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CRP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CRP - Białko C reaktywne w surowicy (badanie ilościowe)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BIL- P, BIL-D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BILIRUBINA BEZPOŚREDNIA + POŚREDNIA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BIL-T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BILIRUBINA CAŁKOWITA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BUN-DM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BUN - azot mocznika w moczu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BUN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BUN - azot mocznika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C-PEPT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 - Peptyd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CA125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 125 - Antygen CA 125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CA15-3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 15-3 - Antygen CA 15-3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CA19-9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 19-9 - Antygen CA 19-9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Ca72-4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 72-4 - Antygen Ca 72-4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CEA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CEA - Antygen karcynoembrionalny (CEA)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CHOL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CHOLESTEROL CAŁKOWITY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LDL-D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LDL - Cholesterol LDL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CK-MBM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CK-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mass – stężenie izoenzymu MB kinazy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kreatynowej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Cl - Chlorki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CYFRA21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Cyfra 21-1 - Antygen Cyfra 21-1 w surowicy (fragment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cytokeratyny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CZAS FIBRYN.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fibrynolizy (lizy skrzepu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euglobulin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) w osoczu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APTT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kaolinowo-kefalinowy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(APTT) w osoczu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protrombinowy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(PT) w osoczu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trombinowy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(TT) w osoczu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D-dimery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D-dimery w osoczu (badanie ilościowe)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LDH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LDH - dehydrogenaza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FERR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Ferrytyna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Fibrynogen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Fibrynogen w osoczu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ALP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ALP - fosfataza alkaliczna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FOSFORAN NIEORGANICZNY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FSH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FSH - Hormon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folikulotropowy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GGTP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GGTP -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gammaglutamylotranspeptydaza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GLU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GLUKOZA w surowicy (osoczu)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16500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HDL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HDL - Cholesterol HDL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HBA1C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HbA1c - Hemoglobina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glikowana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 krwi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HOMOCYS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HOMOCYSTEINA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TSH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TSH - hormon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tyreotropowy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INSULIN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INSULINA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 - Potas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KALCYT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hCT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Kalcytonina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CK-MBA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CK-MB - kinaza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fosfokreatynowa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izoenzym sercowy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CK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CK - kinaza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fosfokreatynowa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KORT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Kortyzol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KRE-DM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KREATYNINA w moczu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KRE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KREATYNINA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KW-FOL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Kwas foliowy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UA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KWAS MOCZOWY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KW-ZOL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Kwasy żółciowe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LH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LH - Hormon luteinizujący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LIPAZA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Lipaza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Mg - MAGNEZ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LACT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Mleczany we krwi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Mocz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b.o.c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Mocz - badanie ogólne wraz z cytodiagnostyką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953F04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URE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MOCZNIK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Morfologia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rozm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Morfologia krwi obwodowej z rozmazem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Morfol.rozm+ret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Morfologia krwi obwodowej z rozmazem i z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retikulocytami</w:t>
            </w:r>
            <w:proofErr w:type="spellEnd"/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Na - SÓD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D3-25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Witamina D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PTH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PTH - parathormon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Cytrynian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Płytki krwi na Cytrynian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PROGESTERON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PCT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Prokalcytonina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(PCT)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PROLAKTYNA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HBs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Przeciwciała anty-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HBs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 (wirusowe zapalenie wątroby typu B)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HCV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Przeciwciała anty-HCV w surowicy (wirusowe zapalenie wątroby typu C)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HIV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Przeciwciała anty-HIV w surowicy (HIV)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COV2-G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Miano przeciwciał SARS-CoV-2 S1/S2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IgG</w:t>
            </w:r>
            <w:proofErr w:type="spellEnd"/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PSA-T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PSA - Antygen swoisty dla stercza (PSA)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PSA-F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PSA wolne - Antygen swoisty dla stercza - frakcja wolna (PSA wolny)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SARS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IgG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SARS CoV-2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IgG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przeciwciała przeciw białku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nukleokapsydowemu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SARS-CoV-2 w klasie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IgG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S-SARS-G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S-SARS CoV-2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IgG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przeciwciała przeciw białku S wirusa SARS CoV-2 w klasie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IgG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TESTOS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TESTOSTERON całkowity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TYREOGL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TG - Tyreoglobulina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TRANSF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Transferyna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TG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TRIGLICERYDY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FT3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fT3 -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trijodotyronina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wolna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TROPIHS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Troponina</w:t>
            </w:r>
            <w:proofErr w:type="spellEnd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oznaczana metodą ultraczułą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BF1C8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FT4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fT4 - tyroksyna wolna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6401A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CA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WAPŃ CAŁKOWITY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6401A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WIT-B12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Witamina B12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6401A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Wskaźnik ACR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Wskaźnik ACR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6401A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Mocz </w:t>
            </w:r>
            <w:proofErr w:type="spellStart"/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Giensb</w:t>
            </w:r>
            <w:proofErr w:type="spellEnd"/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Wskaźnik PCR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6401A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D52C0" w:rsidRPr="00547761" w:rsidTr="002D52C0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ind w:left="317" w:firstLine="14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FE</w:t>
            </w:r>
          </w:p>
        </w:tc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2D52C0" w:rsidRPr="00547761" w:rsidRDefault="002D52C0" w:rsidP="00D50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Fe- żelazo w surowicy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2D52C0" w:rsidRPr="00547761" w:rsidRDefault="006401AC" w:rsidP="00D50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2D52C0" w:rsidRPr="0054776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:rsidR="002D52C0" w:rsidRPr="001B3B24" w:rsidRDefault="002D52C0" w:rsidP="002D52C0">
      <w:pPr>
        <w:pStyle w:val="Akapitzlist"/>
        <w:spacing w:line="360" w:lineRule="auto"/>
        <w:ind w:left="1080"/>
        <w:rPr>
          <w:rFonts w:cstheme="minorHAnsi"/>
          <w:b/>
        </w:rPr>
      </w:pPr>
    </w:p>
    <w:p w:rsidR="00AD1091" w:rsidRDefault="00AD1091" w:rsidP="00AD1091">
      <w:pPr>
        <w:pStyle w:val="Akapitzlist"/>
        <w:ind w:left="1080"/>
      </w:pPr>
    </w:p>
    <w:sectPr w:rsidR="00AD1091" w:rsidSect="002D52C0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3A7"/>
    <w:multiLevelType w:val="hybridMultilevel"/>
    <w:tmpl w:val="70EA612A"/>
    <w:lvl w:ilvl="0" w:tplc="53BCE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0E7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DC61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EAB512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C0F74"/>
    <w:multiLevelType w:val="hybridMultilevel"/>
    <w:tmpl w:val="F5E4E1A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1C7945"/>
    <w:multiLevelType w:val="hybridMultilevel"/>
    <w:tmpl w:val="373438C4"/>
    <w:lvl w:ilvl="0" w:tplc="42F653EC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B42"/>
    <w:multiLevelType w:val="hybridMultilevel"/>
    <w:tmpl w:val="AE3A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52EF"/>
    <w:multiLevelType w:val="hybridMultilevel"/>
    <w:tmpl w:val="5546D7A0"/>
    <w:lvl w:ilvl="0" w:tplc="9FF292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2"/>
    <w:rsid w:val="00193FE2"/>
    <w:rsid w:val="001B3B24"/>
    <w:rsid w:val="002D52C0"/>
    <w:rsid w:val="00461ABA"/>
    <w:rsid w:val="00525B9E"/>
    <w:rsid w:val="006401AC"/>
    <w:rsid w:val="00953F04"/>
    <w:rsid w:val="00957E53"/>
    <w:rsid w:val="00AD1091"/>
    <w:rsid w:val="00B63711"/>
    <w:rsid w:val="00B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F16F-F7A7-430B-9565-E83BED51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FE2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193FE2"/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193FE2"/>
    <w:pPr>
      <w:spacing w:after="0" w:line="240" w:lineRule="auto"/>
      <w:jc w:val="both"/>
    </w:pPr>
    <w:rPr>
      <w:rFonts w:ascii="Tahoma" w:hAnsi="Tahoma" w:cs="Tahoma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FE2"/>
  </w:style>
  <w:style w:type="paragraph" w:styleId="NormalnyWeb">
    <w:name w:val="Normal (Web)"/>
    <w:basedOn w:val="Normalny"/>
    <w:uiPriority w:val="99"/>
    <w:unhideWhenUsed/>
    <w:rsid w:val="0019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8961-3E86-471C-9BD1-7F2F3A8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Citko</dc:creator>
  <cp:keywords/>
  <dc:description/>
  <cp:lastModifiedBy>Barbara Dokert-Świsłocka</cp:lastModifiedBy>
  <cp:revision>7</cp:revision>
  <dcterms:created xsi:type="dcterms:W3CDTF">2023-07-04T10:11:00Z</dcterms:created>
  <dcterms:modified xsi:type="dcterms:W3CDTF">2023-07-11T07:33:00Z</dcterms:modified>
</cp:coreProperties>
</file>